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4523"/>
      </w:tblGrid>
      <w:tr w:rsidR="005737E0" w:rsidRPr="004A4B03" w:rsidTr="004B66F0">
        <w:trPr>
          <w:trHeight w:val="509"/>
        </w:trPr>
        <w:tc>
          <w:tcPr>
            <w:tcW w:w="9640" w:type="dxa"/>
            <w:gridSpan w:val="2"/>
          </w:tcPr>
          <w:p w:rsidR="005737E0" w:rsidRPr="00CE73E8" w:rsidRDefault="005737E0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 w:rsidRPr="00CE73E8">
              <w:rPr>
                <w:sz w:val="18"/>
                <w:lang w:val="pt-BR"/>
              </w:rPr>
              <w:t xml:space="preserve">1. Nome </w:t>
            </w:r>
            <w:proofErr w:type="gramStart"/>
            <w:r w:rsidRPr="00CE73E8">
              <w:rPr>
                <w:sz w:val="18"/>
                <w:lang w:val="pt-BR"/>
              </w:rPr>
              <w:t>do(</w:t>
            </w:r>
            <w:proofErr w:type="gramEnd"/>
            <w:r w:rsidRPr="00CE73E8">
              <w:rPr>
                <w:sz w:val="18"/>
                <w:lang w:val="pt-BR"/>
              </w:rPr>
              <w:t>a) Conselheiro(a) Fiscal declarante:</w:t>
            </w:r>
          </w:p>
        </w:tc>
      </w:tr>
      <w:tr w:rsidR="005737E0" w:rsidRPr="004A4B03" w:rsidTr="004B66F0">
        <w:trPr>
          <w:trHeight w:val="325"/>
        </w:trPr>
        <w:tc>
          <w:tcPr>
            <w:tcW w:w="9640" w:type="dxa"/>
            <w:gridSpan w:val="2"/>
          </w:tcPr>
          <w:p w:rsidR="005737E0" w:rsidRPr="00CE73E8" w:rsidRDefault="005737E0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 w:rsidRPr="00CE73E8">
              <w:rPr>
                <w:sz w:val="18"/>
                <w:lang w:val="pt-BR"/>
              </w:rPr>
              <w:t xml:space="preserve">2. Empresa onde atua como </w:t>
            </w:r>
            <w:proofErr w:type="gramStart"/>
            <w:r w:rsidRPr="00CE73E8">
              <w:rPr>
                <w:sz w:val="18"/>
                <w:lang w:val="pt-BR"/>
              </w:rPr>
              <w:t>Conselheiro(</w:t>
            </w:r>
            <w:proofErr w:type="gramEnd"/>
            <w:r w:rsidRPr="00CE73E8">
              <w:rPr>
                <w:sz w:val="18"/>
                <w:lang w:val="pt-BR"/>
              </w:rPr>
              <w:t>a) :</w:t>
            </w:r>
          </w:p>
        </w:tc>
      </w:tr>
      <w:tr w:rsidR="005737E0" w:rsidRPr="004A4B03" w:rsidTr="004B66F0">
        <w:trPr>
          <w:trHeight w:val="326"/>
        </w:trPr>
        <w:tc>
          <w:tcPr>
            <w:tcW w:w="9640" w:type="dxa"/>
            <w:gridSpan w:val="2"/>
          </w:tcPr>
          <w:p w:rsidR="005737E0" w:rsidRPr="00CE73E8" w:rsidRDefault="005737E0" w:rsidP="004B66F0">
            <w:pPr>
              <w:pStyle w:val="TableParagraph"/>
              <w:spacing w:before="54"/>
              <w:ind w:left="53"/>
              <w:rPr>
                <w:sz w:val="18"/>
                <w:lang w:val="pt-BR"/>
              </w:rPr>
            </w:pPr>
            <w:r w:rsidRPr="00CE73E8">
              <w:rPr>
                <w:sz w:val="18"/>
                <w:lang w:val="pt-BR"/>
              </w:rPr>
              <w:t xml:space="preserve">3. Prazo de Atuação </w:t>
            </w:r>
            <w:proofErr w:type="gramStart"/>
            <w:r w:rsidRPr="00CE73E8">
              <w:rPr>
                <w:sz w:val="18"/>
                <w:lang w:val="pt-BR"/>
              </w:rPr>
              <w:t>do(</w:t>
            </w:r>
            <w:proofErr w:type="gramEnd"/>
            <w:r w:rsidRPr="00CE73E8">
              <w:rPr>
                <w:sz w:val="18"/>
                <w:lang w:val="pt-BR"/>
              </w:rPr>
              <w:t>a) Conselheiro(a):</w:t>
            </w:r>
          </w:p>
        </w:tc>
      </w:tr>
      <w:tr w:rsidR="005737E0" w:rsidRPr="004A4B03" w:rsidTr="004B66F0">
        <w:trPr>
          <w:trHeight w:val="326"/>
        </w:trPr>
        <w:tc>
          <w:tcPr>
            <w:tcW w:w="9640" w:type="dxa"/>
            <w:gridSpan w:val="2"/>
          </w:tcPr>
          <w:p w:rsidR="005737E0" w:rsidRPr="00CE73E8" w:rsidRDefault="005737E0" w:rsidP="005737E0">
            <w:pPr>
              <w:pStyle w:val="TableParagraph"/>
              <w:spacing w:before="54"/>
              <w:ind w:left="53"/>
              <w:rPr>
                <w:sz w:val="18"/>
                <w:lang w:val="pt-BR"/>
              </w:rPr>
            </w:pPr>
            <w:r w:rsidRPr="00CE73E8">
              <w:rPr>
                <w:sz w:val="18"/>
                <w:lang w:val="pt-BR"/>
              </w:rPr>
              <w:t xml:space="preserve">4. Lotação </w:t>
            </w:r>
            <w:proofErr w:type="gramStart"/>
            <w:r w:rsidRPr="00CE73E8">
              <w:rPr>
                <w:sz w:val="18"/>
                <w:lang w:val="pt-BR"/>
              </w:rPr>
              <w:t>do(</w:t>
            </w:r>
            <w:proofErr w:type="gramEnd"/>
            <w:r w:rsidRPr="00CE73E8">
              <w:rPr>
                <w:sz w:val="18"/>
                <w:lang w:val="pt-BR"/>
              </w:rPr>
              <w:t xml:space="preserve">a) Conselheiro(a) na </w:t>
            </w:r>
            <w:r w:rsidR="005F2B3A">
              <w:rPr>
                <w:sz w:val="18"/>
                <w:lang w:val="pt-BR"/>
              </w:rPr>
              <w:t>Empresa</w:t>
            </w:r>
            <w:r w:rsidRPr="00CE73E8">
              <w:rPr>
                <w:sz w:val="18"/>
                <w:lang w:val="pt-BR"/>
              </w:rPr>
              <w:t>:</w:t>
            </w:r>
          </w:p>
        </w:tc>
      </w:tr>
      <w:tr w:rsidR="005737E0" w:rsidRPr="00CE73E8" w:rsidTr="004B66F0">
        <w:trPr>
          <w:trHeight w:val="326"/>
        </w:trPr>
        <w:tc>
          <w:tcPr>
            <w:tcW w:w="9640" w:type="dxa"/>
            <w:gridSpan w:val="2"/>
          </w:tcPr>
          <w:p w:rsidR="005737E0" w:rsidRPr="00CE73E8" w:rsidRDefault="005737E0" w:rsidP="002D322C">
            <w:pPr>
              <w:pStyle w:val="TableParagraph"/>
              <w:spacing w:before="54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5. Formação </w:t>
            </w:r>
            <w:r w:rsidR="002D322C">
              <w:rPr>
                <w:sz w:val="18"/>
                <w:lang w:val="pt-BR"/>
              </w:rPr>
              <w:t>Acadêmica</w:t>
            </w:r>
            <w:r>
              <w:rPr>
                <w:sz w:val="18"/>
                <w:lang w:val="pt-BR"/>
              </w:rPr>
              <w:t>:</w:t>
            </w:r>
          </w:p>
        </w:tc>
      </w:tr>
      <w:tr w:rsidR="005737E0" w:rsidRPr="004A4B03" w:rsidTr="004B66F0">
        <w:trPr>
          <w:trHeight w:val="326"/>
        </w:trPr>
        <w:tc>
          <w:tcPr>
            <w:tcW w:w="9640" w:type="dxa"/>
            <w:gridSpan w:val="2"/>
          </w:tcPr>
          <w:p w:rsidR="005737E0" w:rsidRDefault="005737E0" w:rsidP="005737E0">
            <w:pPr>
              <w:pStyle w:val="TableParagraph"/>
              <w:spacing w:before="54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6. Experiência profissional: </w:t>
            </w:r>
          </w:p>
          <w:p w:rsidR="005737E0" w:rsidRDefault="005737E0" w:rsidP="005737E0">
            <w:pPr>
              <w:pStyle w:val="TableParagraph"/>
              <w:spacing w:before="54"/>
              <w:ind w:left="53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>
              <w:rPr>
                <w:sz w:val="18"/>
                <w:lang w:val="pt-BR"/>
              </w:rPr>
              <w:t xml:space="preserve">(    </w:t>
            </w:r>
            <w:proofErr w:type="gramEnd"/>
            <w:r>
              <w:rPr>
                <w:sz w:val="18"/>
                <w:lang w:val="pt-BR"/>
              </w:rPr>
              <w:t xml:space="preserve">) anos em </w:t>
            </w:r>
            <w:r w:rsidRPr="005737E0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cargo de administrador de empresa </w:t>
            </w:r>
          </w:p>
          <w:p w:rsidR="005737E0" w:rsidRDefault="005737E0" w:rsidP="005737E0">
            <w:pPr>
              <w:pStyle w:val="TableParagraph"/>
              <w:spacing w:before="54"/>
              <w:ind w:left="53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 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) anos em cargo de conselheiro fiscal</w:t>
            </w:r>
          </w:p>
          <w:p w:rsidR="001E4459" w:rsidRPr="002D322C" w:rsidRDefault="001E4459" w:rsidP="005737E0">
            <w:pPr>
              <w:pStyle w:val="TableParagraph"/>
              <w:spacing w:before="54"/>
              <w:ind w:left="53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 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)</w:t>
            </w:r>
            <w:r w:rsidR="002D322C" w:rsidRPr="002D322C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 w:rsidR="002D322C" w:rsidRPr="002D322C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cargo de direção ou assessoramento na administração pública</w:t>
            </w:r>
          </w:p>
          <w:p w:rsidR="005737E0" w:rsidRPr="00CE73E8" w:rsidRDefault="005737E0" w:rsidP="005737E0">
            <w:pPr>
              <w:pStyle w:val="TableParagraph"/>
              <w:spacing w:before="54"/>
              <w:ind w:left="53"/>
              <w:rPr>
                <w:sz w:val="18"/>
                <w:lang w:val="pt-BR"/>
              </w:rPr>
            </w:pPr>
          </w:p>
        </w:tc>
      </w:tr>
      <w:tr w:rsidR="005737E0" w:rsidRPr="005737E0" w:rsidTr="004B66F0">
        <w:trPr>
          <w:trHeight w:val="326"/>
        </w:trPr>
        <w:tc>
          <w:tcPr>
            <w:tcW w:w="5117" w:type="dxa"/>
          </w:tcPr>
          <w:p w:rsidR="005737E0" w:rsidRPr="005737E0" w:rsidRDefault="002D322C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7</w:t>
            </w:r>
            <w:r w:rsidR="005737E0" w:rsidRPr="005737E0">
              <w:rPr>
                <w:sz w:val="18"/>
                <w:lang w:val="pt-BR"/>
              </w:rPr>
              <w:t>. Telefone profissional:</w:t>
            </w:r>
          </w:p>
        </w:tc>
        <w:tc>
          <w:tcPr>
            <w:tcW w:w="4523" w:type="dxa"/>
          </w:tcPr>
          <w:p w:rsidR="005737E0" w:rsidRPr="005737E0" w:rsidRDefault="002D322C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8</w:t>
            </w:r>
            <w:r w:rsidR="005737E0" w:rsidRPr="005737E0">
              <w:rPr>
                <w:sz w:val="18"/>
                <w:lang w:val="pt-BR"/>
              </w:rPr>
              <w:t xml:space="preserve">. </w:t>
            </w:r>
            <w:r w:rsidR="005737E0" w:rsidRPr="005737E0">
              <w:rPr>
                <w:i/>
                <w:sz w:val="18"/>
                <w:lang w:val="pt-BR"/>
              </w:rPr>
              <w:t xml:space="preserve">E-mail </w:t>
            </w:r>
            <w:r w:rsidR="005737E0" w:rsidRPr="005737E0">
              <w:rPr>
                <w:sz w:val="18"/>
                <w:lang w:val="pt-BR"/>
              </w:rPr>
              <w:t>profissional:</w:t>
            </w:r>
          </w:p>
        </w:tc>
      </w:tr>
      <w:tr w:rsidR="005737E0" w:rsidRPr="005737E0" w:rsidTr="004B66F0">
        <w:trPr>
          <w:trHeight w:val="326"/>
        </w:trPr>
        <w:tc>
          <w:tcPr>
            <w:tcW w:w="5117" w:type="dxa"/>
          </w:tcPr>
          <w:p w:rsidR="005737E0" w:rsidRPr="005737E0" w:rsidRDefault="002D322C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</w:t>
            </w:r>
            <w:r w:rsidR="005737E0">
              <w:rPr>
                <w:sz w:val="18"/>
                <w:lang w:val="pt-BR"/>
              </w:rPr>
              <w:t>. Telefone pessoal:</w:t>
            </w:r>
          </w:p>
        </w:tc>
        <w:tc>
          <w:tcPr>
            <w:tcW w:w="4523" w:type="dxa"/>
          </w:tcPr>
          <w:p w:rsidR="005737E0" w:rsidRPr="005737E0" w:rsidRDefault="002D322C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10</w:t>
            </w:r>
            <w:r w:rsidR="005737E0">
              <w:rPr>
                <w:sz w:val="18"/>
                <w:lang w:val="pt-BR"/>
              </w:rPr>
              <w:t xml:space="preserve">. </w:t>
            </w:r>
            <w:r w:rsidR="005737E0" w:rsidRPr="005737E0">
              <w:rPr>
                <w:i/>
                <w:sz w:val="18"/>
                <w:lang w:val="pt-BR"/>
              </w:rPr>
              <w:t>E-mail</w:t>
            </w:r>
            <w:r w:rsidR="005737E0">
              <w:rPr>
                <w:sz w:val="18"/>
                <w:lang w:val="pt-BR"/>
              </w:rPr>
              <w:t xml:space="preserve"> alternativo:</w:t>
            </w:r>
          </w:p>
        </w:tc>
      </w:tr>
    </w:tbl>
    <w:p w:rsidR="005737E0" w:rsidRPr="005737E0" w:rsidRDefault="005737E0" w:rsidP="005737E0">
      <w:pPr>
        <w:pStyle w:val="Corpodetexto"/>
        <w:rPr>
          <w:b/>
          <w:sz w:val="20"/>
          <w:lang w:val="pt-BR"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4523"/>
      </w:tblGrid>
      <w:tr w:rsidR="005737E0" w:rsidRPr="004A4B03" w:rsidTr="002D322C">
        <w:trPr>
          <w:trHeight w:val="562"/>
        </w:trPr>
        <w:tc>
          <w:tcPr>
            <w:tcW w:w="9640" w:type="dxa"/>
            <w:gridSpan w:val="2"/>
          </w:tcPr>
          <w:p w:rsidR="005F2B3A" w:rsidRDefault="005737E0" w:rsidP="001E4459">
            <w:pPr>
              <w:pStyle w:val="TableParagraph"/>
              <w:spacing w:before="53"/>
              <w:ind w:left="63" w:right="49"/>
              <w:jc w:val="both"/>
              <w:rPr>
                <w:lang w:val="pt-BR"/>
              </w:rPr>
            </w:pPr>
            <w:r w:rsidRPr="00CE73E8">
              <w:rPr>
                <w:sz w:val="18"/>
                <w:lang w:val="pt-BR"/>
              </w:rPr>
              <w:t>Pelo presente instrumento, (</w:t>
            </w:r>
            <w:r w:rsidRPr="00CE73E8">
              <w:rPr>
                <w:b/>
                <w:sz w:val="18"/>
                <w:lang w:val="pt-BR"/>
              </w:rPr>
              <w:t>inserir o nome</w:t>
            </w:r>
            <w:r w:rsidRPr="00CE73E8">
              <w:rPr>
                <w:sz w:val="18"/>
                <w:lang w:val="pt-BR"/>
              </w:rPr>
              <w:t>), (</w:t>
            </w:r>
            <w:r w:rsidRPr="00CE73E8">
              <w:rPr>
                <w:b/>
                <w:sz w:val="18"/>
                <w:lang w:val="pt-BR"/>
              </w:rPr>
              <w:t>inserir nacionalidade, estado civil e profissão</w:t>
            </w:r>
            <w:r w:rsidRPr="00CE73E8">
              <w:rPr>
                <w:sz w:val="18"/>
                <w:lang w:val="pt-BR"/>
              </w:rPr>
              <w:t>), residente e domiciliado (a) (</w:t>
            </w:r>
            <w:r w:rsidRPr="00CE73E8">
              <w:rPr>
                <w:b/>
                <w:sz w:val="18"/>
                <w:lang w:val="pt-BR"/>
              </w:rPr>
              <w:t>inserir o endereço</w:t>
            </w:r>
            <w:r w:rsidRPr="00CE73E8">
              <w:rPr>
                <w:sz w:val="18"/>
                <w:lang w:val="pt-BR"/>
              </w:rPr>
              <w:t xml:space="preserve">), inscrito (a) no Cadastro de Pessoas Físicas do Ministério da Fazenda sob o </w:t>
            </w:r>
            <w:proofErr w:type="spellStart"/>
            <w:r w:rsidRPr="00CE73E8">
              <w:rPr>
                <w:sz w:val="18"/>
                <w:lang w:val="pt-BR"/>
              </w:rPr>
              <w:t>n.</w:t>
            </w:r>
            <w:r w:rsidRPr="00CE73E8">
              <w:rPr>
                <w:sz w:val="18"/>
                <w:vertAlign w:val="superscript"/>
                <w:lang w:val="pt-BR"/>
              </w:rPr>
              <w:t>o</w:t>
            </w:r>
            <w:proofErr w:type="spellEnd"/>
            <w:r w:rsidRPr="00CE73E8">
              <w:rPr>
                <w:sz w:val="18"/>
                <w:lang w:val="pt-BR"/>
              </w:rPr>
              <w:t xml:space="preserve"> (</w:t>
            </w:r>
            <w:r w:rsidRPr="00CE73E8">
              <w:rPr>
                <w:b/>
                <w:sz w:val="18"/>
                <w:lang w:val="pt-BR"/>
              </w:rPr>
              <w:t>inserir CPF</w:t>
            </w:r>
            <w:r w:rsidRPr="00CE73E8">
              <w:rPr>
                <w:sz w:val="18"/>
                <w:lang w:val="pt-BR"/>
              </w:rPr>
              <w:t xml:space="preserve">) e portador (a) da Cédula de Identidade </w:t>
            </w:r>
            <w:proofErr w:type="spellStart"/>
            <w:r w:rsidRPr="00CE73E8">
              <w:rPr>
                <w:sz w:val="18"/>
                <w:lang w:val="pt-BR"/>
              </w:rPr>
              <w:t>n.</w:t>
            </w:r>
            <w:r w:rsidRPr="00CE73E8">
              <w:rPr>
                <w:sz w:val="18"/>
                <w:vertAlign w:val="superscript"/>
                <w:lang w:val="pt-BR"/>
              </w:rPr>
              <w:t>o</w:t>
            </w:r>
            <w:proofErr w:type="spellEnd"/>
            <w:r w:rsidRPr="00CE73E8">
              <w:rPr>
                <w:sz w:val="18"/>
                <w:lang w:val="pt-BR"/>
              </w:rPr>
              <w:t xml:space="preserve"> (</w:t>
            </w:r>
            <w:r w:rsidRPr="00CE73E8">
              <w:rPr>
                <w:b/>
                <w:sz w:val="18"/>
                <w:lang w:val="pt-BR"/>
              </w:rPr>
              <w:t>inserir número</w:t>
            </w:r>
            <w:r w:rsidRPr="00CE73E8">
              <w:rPr>
                <w:sz w:val="18"/>
                <w:lang w:val="pt-BR"/>
              </w:rPr>
              <w:t>), expedida pelo (</w:t>
            </w:r>
            <w:r w:rsidRPr="00CE73E8">
              <w:rPr>
                <w:b/>
                <w:sz w:val="18"/>
                <w:lang w:val="pt-BR"/>
              </w:rPr>
              <w:t>inserir órgão expedidor e data de expedição</w:t>
            </w:r>
            <w:r w:rsidRPr="00CE73E8">
              <w:rPr>
                <w:sz w:val="18"/>
                <w:lang w:val="pt-BR"/>
              </w:rPr>
              <w:t>), doravante denominado (a) simplesmente “</w:t>
            </w:r>
            <w:r w:rsidRPr="00CE73E8">
              <w:rPr>
                <w:b/>
                <w:sz w:val="18"/>
                <w:lang w:val="pt-BR"/>
              </w:rPr>
              <w:t>Declarante</w:t>
            </w:r>
            <w:r w:rsidRPr="00CE73E8">
              <w:rPr>
                <w:sz w:val="18"/>
                <w:lang w:val="pt-BR"/>
              </w:rPr>
              <w:t>”, vem por meio de este Termo assumir e manifestar expressamente a respectiva responsabilidade pessoal como representante (</w:t>
            </w:r>
            <w:r w:rsidRPr="00CE73E8">
              <w:rPr>
                <w:b/>
                <w:sz w:val="18"/>
                <w:lang w:val="pt-BR"/>
              </w:rPr>
              <w:t>inserir se titular ou suplente</w:t>
            </w:r>
            <w:r w:rsidRPr="00CE73E8">
              <w:rPr>
                <w:sz w:val="18"/>
                <w:lang w:val="pt-BR"/>
              </w:rPr>
              <w:t xml:space="preserve">), desta </w:t>
            </w:r>
            <w:r w:rsidR="00F71853" w:rsidRPr="00CE73E8">
              <w:rPr>
                <w:sz w:val="18"/>
                <w:lang w:val="pt-BR"/>
              </w:rPr>
              <w:t>(</w:t>
            </w:r>
            <w:r w:rsidR="00F71853" w:rsidRPr="00CE73E8">
              <w:rPr>
                <w:b/>
                <w:sz w:val="18"/>
                <w:lang w:val="pt-BR"/>
              </w:rPr>
              <w:t xml:space="preserve">inserir </w:t>
            </w:r>
            <w:r w:rsidR="00F71853">
              <w:rPr>
                <w:b/>
                <w:sz w:val="18"/>
                <w:lang w:val="pt-BR"/>
              </w:rPr>
              <w:t>nome da empresa</w:t>
            </w:r>
            <w:r w:rsidR="00F71853" w:rsidRPr="00CE73E8">
              <w:rPr>
                <w:sz w:val="18"/>
                <w:lang w:val="pt-BR"/>
              </w:rPr>
              <w:t>)</w:t>
            </w:r>
            <w:r w:rsidRPr="00CE73E8">
              <w:rPr>
                <w:sz w:val="18"/>
                <w:lang w:val="pt-BR"/>
              </w:rPr>
              <w:t xml:space="preserve">, </w:t>
            </w:r>
            <w:r w:rsidR="00F71853" w:rsidRPr="00CE73E8">
              <w:rPr>
                <w:sz w:val="18"/>
                <w:lang w:val="pt-BR"/>
              </w:rPr>
              <w:t>(</w:t>
            </w:r>
            <w:r w:rsidR="00F71853" w:rsidRPr="00CE73E8">
              <w:rPr>
                <w:b/>
                <w:sz w:val="18"/>
                <w:lang w:val="pt-BR"/>
              </w:rPr>
              <w:t xml:space="preserve">inserir </w:t>
            </w:r>
            <w:r w:rsidR="00F71853">
              <w:rPr>
                <w:b/>
                <w:sz w:val="18"/>
                <w:lang w:val="pt-BR"/>
              </w:rPr>
              <w:t>se</w:t>
            </w:r>
            <w:r w:rsidR="00F71853" w:rsidRPr="00CE73E8">
              <w:rPr>
                <w:sz w:val="18"/>
                <w:lang w:val="pt-BR"/>
              </w:rPr>
              <w:t xml:space="preserve"> </w:t>
            </w:r>
            <w:r w:rsidRPr="00F71853">
              <w:rPr>
                <w:b/>
                <w:sz w:val="18"/>
                <w:lang w:val="pt-BR"/>
              </w:rPr>
              <w:t>sociedade de economia mista</w:t>
            </w:r>
            <w:r w:rsidR="00F71853" w:rsidRPr="00F71853">
              <w:rPr>
                <w:b/>
                <w:sz w:val="18"/>
                <w:lang w:val="pt-BR"/>
              </w:rPr>
              <w:t xml:space="preserve"> ou empresa pública</w:t>
            </w:r>
            <w:r w:rsidR="00F71853">
              <w:rPr>
                <w:sz w:val="18"/>
                <w:lang w:val="pt-BR"/>
              </w:rPr>
              <w:t>)</w:t>
            </w:r>
            <w:r w:rsidRPr="00CE73E8">
              <w:rPr>
                <w:sz w:val="18"/>
                <w:lang w:val="pt-BR"/>
              </w:rPr>
              <w:t>, constituída na forma da</w:t>
            </w:r>
            <w:r w:rsidR="00F71853">
              <w:rPr>
                <w:sz w:val="18"/>
                <w:lang w:val="pt-BR"/>
              </w:rPr>
              <w:t xml:space="preserve"> (</w:t>
            </w:r>
            <w:r w:rsidR="00F71853" w:rsidRPr="00F71853">
              <w:rPr>
                <w:b/>
                <w:sz w:val="18"/>
                <w:lang w:val="pt-BR"/>
              </w:rPr>
              <w:t xml:space="preserve">lei </w:t>
            </w:r>
            <w:proofErr w:type="spellStart"/>
            <w:r w:rsidR="00F71853" w:rsidRPr="00F71853">
              <w:rPr>
                <w:b/>
                <w:sz w:val="18"/>
                <w:lang w:val="pt-BR"/>
              </w:rPr>
              <w:t>autorizatória</w:t>
            </w:r>
            <w:proofErr w:type="spellEnd"/>
            <w:r w:rsidR="00F71853" w:rsidRPr="00F71853">
              <w:rPr>
                <w:b/>
                <w:sz w:val="18"/>
                <w:lang w:val="pt-BR"/>
              </w:rPr>
              <w:t xml:space="preserve"> e ato constitutivo</w:t>
            </w:r>
            <w:r w:rsidR="00F71853">
              <w:rPr>
                <w:sz w:val="18"/>
                <w:lang w:val="pt-BR"/>
              </w:rPr>
              <w:t>)</w:t>
            </w:r>
            <w:r w:rsidRPr="00CE73E8">
              <w:rPr>
                <w:sz w:val="18"/>
                <w:lang w:val="pt-BR"/>
              </w:rPr>
              <w:t xml:space="preserve">, com sede </w:t>
            </w:r>
            <w:r w:rsidR="00F71853">
              <w:rPr>
                <w:sz w:val="18"/>
                <w:lang w:val="pt-BR"/>
              </w:rPr>
              <w:t>de São Paulo</w:t>
            </w:r>
            <w:r w:rsidRPr="00CE73E8">
              <w:rPr>
                <w:sz w:val="18"/>
                <w:lang w:val="pt-BR"/>
              </w:rPr>
              <w:t>,</w:t>
            </w:r>
            <w:r w:rsidR="00F71853">
              <w:rPr>
                <w:sz w:val="18"/>
                <w:lang w:val="pt-BR"/>
              </w:rPr>
              <w:t xml:space="preserve"> SP</w:t>
            </w:r>
            <w:r w:rsidRPr="00CE73E8">
              <w:rPr>
                <w:sz w:val="18"/>
                <w:lang w:val="pt-BR"/>
              </w:rPr>
              <w:t xml:space="preserve"> e com escritório central na </w:t>
            </w:r>
            <w:r w:rsidR="00F71853">
              <w:rPr>
                <w:sz w:val="18"/>
                <w:lang w:val="pt-BR"/>
              </w:rPr>
              <w:t>(endereço da empresa)</w:t>
            </w:r>
            <w:r w:rsidRPr="00CE73E8">
              <w:rPr>
                <w:sz w:val="18"/>
                <w:lang w:val="pt-BR"/>
              </w:rPr>
              <w:t xml:space="preserve">, inscrita no Cadastro Nacional de Pessoa Jurídica (CNPJ/MF) sob o </w:t>
            </w:r>
            <w:r w:rsidR="00F71853" w:rsidRPr="00CE73E8">
              <w:rPr>
                <w:sz w:val="18"/>
                <w:lang w:val="pt-BR"/>
              </w:rPr>
              <w:t>(</w:t>
            </w:r>
            <w:r w:rsidR="00F71853">
              <w:rPr>
                <w:b/>
                <w:sz w:val="18"/>
                <w:lang w:val="pt-BR"/>
              </w:rPr>
              <w:t>inserir CNPJ</w:t>
            </w:r>
            <w:r w:rsidR="00F71853" w:rsidRPr="00CE73E8">
              <w:rPr>
                <w:sz w:val="18"/>
                <w:lang w:val="pt-BR"/>
              </w:rPr>
              <w:t>)</w:t>
            </w:r>
            <w:r w:rsidRPr="00CE73E8">
              <w:rPr>
                <w:sz w:val="18"/>
                <w:lang w:val="pt-BR"/>
              </w:rPr>
              <w:t>, pelo cumpr</w:t>
            </w:r>
            <w:r w:rsidR="001E4459">
              <w:rPr>
                <w:sz w:val="18"/>
                <w:lang w:val="pt-BR"/>
              </w:rPr>
              <w:t xml:space="preserve">imento das regras </w:t>
            </w:r>
            <w:r w:rsidR="00F67B00">
              <w:rPr>
                <w:sz w:val="18"/>
                <w:lang w:val="pt-BR"/>
              </w:rPr>
              <w:t>abaixo constantes:</w:t>
            </w:r>
          </w:p>
          <w:p w:rsidR="00F67B00" w:rsidRPr="00D50BA9" w:rsidRDefault="00F67B00" w:rsidP="00D50BA9">
            <w:pPr>
              <w:pStyle w:val="NormalWeb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Das Atividades do Conselheiro</w:t>
            </w:r>
          </w:p>
          <w:p w:rsidR="00F67B00" w:rsidRPr="00374F2A" w:rsidRDefault="00F67B00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São atividades do conselheiro </w:t>
            </w:r>
            <w:r w:rsidR="00A2515B" w:rsidRPr="00D50BA9">
              <w:rPr>
                <w:rFonts w:ascii="Verdana" w:hAnsi="Verdana" w:cs="Arial"/>
                <w:color w:val="000000"/>
                <w:sz w:val="18"/>
                <w:szCs w:val="18"/>
              </w:rPr>
              <w:t>fiscal: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0" w:name="art163i"/>
            <w:bookmarkEnd w:id="0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 - fiscalizar, por qualquer de seus membros, os atos dos administradores e verificar o cumprimento dos seus deveres legais e estatutários; 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II - opinar sobre o relatório anual da administração, fazendo constar do seu parecer </w:t>
            </w:r>
            <w:proofErr w:type="gram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as</w:t>
            </w:r>
            <w:proofErr w:type="gram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informações complementares que julgar necessárias ou úteis à deliberação da </w:t>
            </w:r>
            <w:proofErr w:type="spell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-geral;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1" w:name="art163iii"/>
            <w:bookmarkEnd w:id="1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III - opinar sobre as propostas dos órgãos da administração, a serem submetidas à </w:t>
            </w:r>
            <w:proofErr w:type="spell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-geral, relativas </w:t>
            </w:r>
            <w:proofErr w:type="gram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</w:t>
            </w:r>
            <w:proofErr w:type="gram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modificação do capital social, emissão de debêntures ou bônus de subscrição, planos de investimento ou orçamentos de capital, distribuição de dividendos, transformação, incorporação, fusão ou cisão; 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2" w:name="art163iv"/>
            <w:bookmarkEnd w:id="2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IV - denunciar, por qualquer de seus membros, aos órgãos de administração e, se estes não tomarem as providências necessárias para a proteção dos interesses da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à </w:t>
            </w:r>
            <w:proofErr w:type="spell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-geral, os erros, fraudes ou crimes que descobrirem, e sugerir providências úteis à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="006665BC">
              <w:rPr>
                <w:sz w:val="18"/>
              </w:rPr>
              <w:t>.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- convocar a </w:t>
            </w:r>
            <w:proofErr w:type="spell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-geral ordinária, se os órgãos da administração retardarem por mais de </w:t>
            </w:r>
            <w:proofErr w:type="gram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  <w:proofErr w:type="gram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(um) mês essa convocação, e a extraordinária, sempre que ocorrerem motivos graves ou urgentes, incluindo na agenda das </w:t>
            </w:r>
            <w:proofErr w:type="spell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assembléias</w:t>
            </w:r>
            <w:proofErr w:type="spell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as matérias que considerarem necessárias;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VI - analisar, ao menos trimestralmente, o balancete e demais demonstrações financeiras elaboradas </w:t>
            </w: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periodicamente pela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;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VII - examinar as demonstrações financeiras do exercício social e sobre elas opinar;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VIII - exercer essas atribuições, durante a liquidação, tendo em vista as disposições especiais que a regulam.</w:t>
            </w:r>
          </w:p>
          <w:p w:rsidR="00D50BA9" w:rsidRPr="00D50BA9" w:rsidRDefault="00D50BA9" w:rsidP="00D50BA9">
            <w:pPr>
              <w:pStyle w:val="NormalWeb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Prerrogativas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do Conselheiro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conselho fiscal, a pedido de qualquer dos seus membros, solicitará aos órgãos de administração esclarecimentos ou informações, desde que relativas à sua função fiscalizadora, assim como a elaboração de demonstrações financeiras ou contábeis especiais, devendo </w:t>
            </w:r>
            <w:r w:rsidR="00D50BA9"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estes </w:t>
            </w:r>
            <w:bookmarkStart w:id="3" w:name="art163§1"/>
            <w:bookmarkEnd w:id="3"/>
            <w:proofErr w:type="gram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colocar</w:t>
            </w:r>
            <w:proofErr w:type="gram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à disposição dos </w:t>
            </w:r>
            <w:r w:rsidR="00D50BA9" w:rsidRPr="00D50BA9">
              <w:rPr>
                <w:rFonts w:ascii="Verdana" w:hAnsi="Verdana" w:cs="Arial"/>
                <w:color w:val="000000"/>
                <w:sz w:val="18"/>
                <w:szCs w:val="18"/>
              </w:rPr>
              <w:t>conselheiros</w:t>
            </w: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, dentro de 10 (dez) dias, cópias das atas de suas reuniões e, dentro de 15 (quinze) dias do seu recebimento, cópias dos balancetes e demais demonstrações financeiras elaboradas periodicamente e, quando houver, dos relatórios de execução de orçamentos.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4" w:name="art163§2"/>
            <w:bookmarkStart w:id="5" w:name="art163§3"/>
            <w:bookmarkEnd w:id="4"/>
            <w:bookmarkEnd w:id="5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Os membros do conselho fiscal assistirão às reuniões do conselho de administração, se houver, ou da diretoria, em que se deliberar sobre os assuntos em que devam </w:t>
            </w:r>
            <w:proofErr w:type="gram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opinar</w:t>
            </w:r>
            <w:proofErr w:type="gram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A2515B" w:rsidRPr="00D50BA9" w:rsidRDefault="00D50BA9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6" w:name="art163§4"/>
            <w:bookmarkEnd w:id="6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O</w:t>
            </w:r>
            <w:r w:rsidR="00A2515B"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conselho fiscal, a pedido de qualquer de seus membros, poderá so</w:t>
            </w: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licitar ao Comitê de Auditoria Estatutário, se couber, </w:t>
            </w:r>
            <w:r w:rsidR="00A2515B" w:rsidRPr="00D50BA9">
              <w:rPr>
                <w:rFonts w:ascii="Verdana" w:hAnsi="Verdana" w:cs="Arial"/>
                <w:color w:val="000000"/>
                <w:sz w:val="18"/>
                <w:szCs w:val="18"/>
              </w:rPr>
              <w:t>esclarecimentos ou informações, e a apuração de fatos específicos. </w:t>
            </w: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Caso que não haja referido comitê, o conselho fiscal poderá, para melhor desempenho das suas funções, escolher contador ou firma de auditoria e fixar-lhes os honorários, dentro de níveis razoáveis, vigentes na praça e compatíveis com a dimensão econômica da empresa estatal, os quais serão pagos por esta.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7" w:name="art163§8"/>
            <w:bookmarkEnd w:id="7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conselho fiscal poderá, para apurar fato cujo esclarecimento seja necessário ao desempenho de suas funções, formular, com justificativa, questões a serem respondidas por perito e solicitar à diretoria que </w:t>
            </w:r>
            <w:proofErr w:type="gram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indique,</w:t>
            </w:r>
            <w:proofErr w:type="gram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para esse fim, no prazo máximo de trinta dias, três peritos, que podem ser pessoas físicas ou jurídicas, de notório conhecimento na área em questão, entre os quais o conselho fiscal escolherá um, cujos honorários serão pagos pela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="00D50BA9" w:rsidRPr="00D50BA9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A2515B" w:rsidRPr="00D50BA9" w:rsidRDefault="00D50BA9" w:rsidP="00D50BA9">
            <w:pPr>
              <w:pStyle w:val="NormalWeb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Pareceres e</w:t>
            </w:r>
            <w:r w:rsidRPr="00D50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Representações dos Membros do Conselho Fiscal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8" w:name="art164"/>
            <w:bookmarkEnd w:id="8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Os membros do conselho fiscal, ou ao menos um deles, deverão comparecer às reuniões da </w:t>
            </w:r>
            <w:proofErr w:type="spell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-geral e responder aos pedidos de informações formulados pelos acionistas, tendo seus </w:t>
            </w:r>
            <w:bookmarkStart w:id="9" w:name="art164p"/>
            <w:bookmarkEnd w:id="9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pareceres e representações ser apresentados e lidos na </w:t>
            </w:r>
            <w:proofErr w:type="spell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-geral, independentemente de publicação e ainda que a matéria não conste da ordem do </w:t>
            </w:r>
            <w:proofErr w:type="gram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dia</w:t>
            </w:r>
            <w:proofErr w:type="gramEnd"/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bookmarkStart w:id="10" w:name="art165"/>
            <w:bookmarkEnd w:id="10"/>
            <w:r w:rsidRPr="00D50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Deveres e Responsabilidades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Dever de Diligência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conselheiro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fiscal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 </w:t>
            </w:r>
            <w:r w:rsidR="004A4B03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proofErr w:type="gramStart"/>
            <w:r w:rsidR="004A4B03">
              <w:rPr>
                <w:sz w:val="18"/>
              </w:rPr>
              <w:t xml:space="preserve"> 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deve empregar, no exercício de suas funções, o cuidado e diligência que todo homem ativo e probo costuma empregar na administração dos seus próprios negócios.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Finalidade das Atribuições e Desvio de Poder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conselheiro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fiscal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deve exercer as atribuições que a lei e o estatuto lhe conferem para lograr os fins e no interesse da </w:t>
            </w:r>
            <w:r w:rsidR="004A4B03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, satisfeitas as exigências do bem público e da função social da empresa.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É vedado ao conselheiro: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a) praticar ato de liberalidade à custa da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empresa estatal </w:t>
            </w:r>
            <w:proofErr w:type="gramStart"/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municipal</w:t>
            </w:r>
            <w:r w:rsidR="006665BC">
              <w:rPr>
                <w:sz w:val="18"/>
              </w:rPr>
              <w:t xml:space="preserve"> 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;</w:t>
            </w:r>
            <w:proofErr w:type="gramEnd"/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b) sem prévia autorização da </w:t>
            </w:r>
            <w:proofErr w:type="spell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-geral ou do conselho de administração, tomar por empréstimo recursos ou bens da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empresa estatal </w:t>
            </w:r>
            <w:proofErr w:type="gramStart"/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municipal</w:t>
            </w:r>
            <w:r w:rsidR="006665BC">
              <w:rPr>
                <w:sz w:val="18"/>
              </w:rPr>
              <w:t xml:space="preserve"> </w:t>
            </w:r>
            <w:r w:rsidR="006665BC"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ou usar, em proveito próprio, de sociedade em que tenha interesse, ou de terceiros, os seus bens, serviços ou crédito;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c) receber de terceiros, sem autorização estatutária ou da </w:t>
            </w:r>
            <w:proofErr w:type="spell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-geral, qualquer modalidade de vantagem pessoal, direta ou indireta, em razão do exercício de seu cargo.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O conselho de administração ou a diretoria podem autorizar a prática de atos gratuitos razoáveis em benefício dos empregados ou da comunidade de que participe a empresa, tendo em vista suas responsabilidades sociais.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Dever de Lealdade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conselheiro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fiscal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deve servir com lealdade à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="006665BC">
              <w:rPr>
                <w:sz w:val="18"/>
              </w:rPr>
              <w:t xml:space="preserve"> 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e manter reserva sobre os seus negócios, sendo-lhe vedado: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 - usar, em benefício próprio ou de outrem, com ou sem prejuízo para a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, as oportunidades comerciais de que tenha conhecimento em razão do exercício de seu cargo;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II - omitir-se no exercício ou proteção de direitos da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="006665BC">
              <w:rPr>
                <w:sz w:val="18"/>
              </w:rPr>
              <w:t xml:space="preserve"> 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ou, visando à obtenção de vantagens, para si ou para outrem, deixar de aproveitar oportunidades de negócio de interesse da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="006665BC">
              <w:rPr>
                <w:sz w:val="18"/>
              </w:rPr>
              <w:t>;</w:t>
            </w:r>
            <w:bookmarkStart w:id="11" w:name="_GoBack"/>
            <w:bookmarkEnd w:id="11"/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III - adquirir, para revender com lucro, bem ou direito que sabe necessário à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proofErr w:type="gramStart"/>
            <w:r w:rsidR="006665BC">
              <w:rPr>
                <w:sz w:val="18"/>
              </w:rPr>
              <w:t xml:space="preserve"> </w:t>
            </w:r>
            <w:r w:rsidR="006665BC"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, ou que esta tencione adquirir.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Cumpre, ademais, ao conselheiro de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, guardar sigilo sobre qualquer informação que ainda não tenha sido divulgada para conhecimento do mercado, obtida em razão do cargo e capaz de influir de modo ponderável na cotação de valores mobiliários, sendo-lhe vedado valer-se da informação para obter, para si ou para outrem, vantagem mediante compra ou venda de valores mobiliários.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conselheiro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fiscal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deve zelar para que a violação acima descrita não possa ocorrer através de subordinados ou terceiros de sua confiança.</w:t>
            </w:r>
          </w:p>
          <w:p w:rsidR="00A2515B" w:rsidRPr="00F67B00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É vedada ao conselheiro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fiscal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 utilização de informação relevante ainda não divulgada, por qualquer pessoa que a ela tenha tido acesso, com a finalidade de auferir vantagem, para si ou para outrem, no mercado de valores mobiliários. 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Responsabilidade</w:t>
            </w:r>
            <w:r w:rsidR="00D50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do Conselheiro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Os membros do conselho fiscal respondem pelos danos resultantes de omissão no cumprimento de seus deveres e de atos praticados com culpa ou dolo, ou com violação da lei ou do estatuto. 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12" w:name="art165§1"/>
            <w:bookmarkEnd w:id="12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Os membros do conselho fiscal deverão exercer suas funções no exclusivo interesse da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; considerar-se-á abusivo o exercício da função com o fim de causar dano à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ou aos seus acionistas ou administradores, ou de obter, para si ou para outrem, vantagem a que não faz jus e de que resulte, ou possa </w:t>
            </w:r>
            <w:proofErr w:type="gram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resultar,</w:t>
            </w:r>
            <w:proofErr w:type="gram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prejuízo para a </w:t>
            </w:r>
            <w:r w:rsidR="006665BC" w:rsidRPr="004A4B03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seus acionistas ou administradores. </w:t>
            </w:r>
          </w:p>
          <w:p w:rsidR="00A2515B" w:rsidRPr="00D50BA9" w:rsidRDefault="00A2515B" w:rsidP="00D50BA9">
            <w:pPr>
              <w:pStyle w:val="Norm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13" w:name="art165§2"/>
            <w:bookmarkEnd w:id="13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O membro do conselho fiscal não é responsável pelos atos ilícitos de outros membros, salvo se com eles foi conivente, ou se concorrer para a prática do </w:t>
            </w:r>
            <w:proofErr w:type="gram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ato</w:t>
            </w:r>
            <w:proofErr w:type="gramEnd"/>
          </w:p>
          <w:p w:rsidR="00A2515B" w:rsidRDefault="00A2515B" w:rsidP="00D50BA9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" w:name="art165§3"/>
            <w:bookmarkEnd w:id="14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 responsabilidade dos membros do conselho fiscal por omissão no cumprimento de seus deveres é solidária, mas dela se exime o membro dissidente que fizer consignar sua divergência em ata da reunião do órgão e a comunicar aos órgãos da administração e à </w:t>
            </w:r>
            <w:proofErr w:type="spell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-</w:t>
            </w:r>
            <w:proofErr w:type="gramStart"/>
            <w:r w:rsidRPr="00D50BA9">
              <w:rPr>
                <w:rFonts w:ascii="Verdana" w:hAnsi="Verdana" w:cs="Arial"/>
                <w:color w:val="000000"/>
                <w:sz w:val="18"/>
                <w:szCs w:val="18"/>
              </w:rPr>
              <w:t>geral</w:t>
            </w:r>
            <w:proofErr w:type="gramEnd"/>
          </w:p>
          <w:p w:rsidR="00A576E7" w:rsidRDefault="00A576E7" w:rsidP="00A576E7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  <w:bookmarkStart w:id="15" w:name="art165a"/>
            <w:bookmarkEnd w:id="15"/>
            <w:proofErr w:type="gramStart"/>
            <w:r w:rsidRPr="00CE73E8">
              <w:rPr>
                <w:sz w:val="18"/>
                <w:lang w:val="pt-BR"/>
              </w:rPr>
              <w:t>O(</w:t>
            </w:r>
            <w:proofErr w:type="gramEnd"/>
            <w:r w:rsidRPr="00CE73E8">
              <w:rPr>
                <w:sz w:val="18"/>
                <w:lang w:val="pt-BR"/>
              </w:rPr>
              <w:t xml:space="preserve">A) declarante compromete-se tanto pelas obrigações a ele(a) diretamente atribuíveis, quanto a fazer com que a </w:t>
            </w:r>
            <w:r>
              <w:rPr>
                <w:sz w:val="18"/>
                <w:lang w:val="pt-BR"/>
              </w:rPr>
              <w:t>empresa estatal</w:t>
            </w:r>
            <w:r w:rsidRPr="00CE73E8">
              <w:rPr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 xml:space="preserve">municipal </w:t>
            </w:r>
            <w:r w:rsidRPr="00CE73E8">
              <w:rPr>
                <w:sz w:val="18"/>
                <w:lang w:val="pt-BR"/>
              </w:rPr>
              <w:t xml:space="preserve">em que atua cumpra os seus deveres estabelecidos em normas. </w:t>
            </w:r>
          </w:p>
          <w:p w:rsidR="00A576E7" w:rsidRDefault="00A576E7" w:rsidP="00A576E7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</w:p>
          <w:p w:rsidR="00A576E7" w:rsidRDefault="00A576E7" w:rsidP="00A576E7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  <w:proofErr w:type="gramStart"/>
            <w:r w:rsidRPr="00CE73E8">
              <w:rPr>
                <w:sz w:val="18"/>
                <w:lang w:val="pt-BR"/>
              </w:rPr>
              <w:t>O(</w:t>
            </w:r>
            <w:proofErr w:type="gramEnd"/>
            <w:r w:rsidRPr="00CE73E8">
              <w:rPr>
                <w:sz w:val="18"/>
                <w:lang w:val="pt-BR"/>
              </w:rPr>
              <w:t xml:space="preserve">A) declarante firma o presente </w:t>
            </w:r>
            <w:r w:rsidRPr="00CE73E8">
              <w:rPr>
                <w:b/>
                <w:sz w:val="18"/>
                <w:lang w:val="pt-BR"/>
              </w:rPr>
              <w:t xml:space="preserve">Termo </w:t>
            </w:r>
            <w:r w:rsidRPr="00CE73E8">
              <w:rPr>
                <w:sz w:val="18"/>
                <w:lang w:val="pt-BR"/>
              </w:rPr>
              <w:t>em duas vias de igual teor e conteúdo, na presença de duas testemunhas signatárias.</w:t>
            </w:r>
          </w:p>
          <w:p w:rsidR="00F67B00" w:rsidRDefault="00F67B00" w:rsidP="00764692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</w:p>
          <w:p w:rsidR="00547C7E" w:rsidRPr="00764692" w:rsidRDefault="00547C7E" w:rsidP="001246B6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</w:p>
        </w:tc>
      </w:tr>
      <w:tr w:rsidR="005737E0" w:rsidTr="004B66F0">
        <w:trPr>
          <w:trHeight w:val="348"/>
        </w:trPr>
        <w:tc>
          <w:tcPr>
            <w:tcW w:w="5117" w:type="dxa"/>
          </w:tcPr>
          <w:p w:rsidR="005737E0" w:rsidRDefault="005737E0" w:rsidP="004B66F0"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lastRenderedPageBreak/>
              <w:t>Local:</w:t>
            </w:r>
          </w:p>
        </w:tc>
        <w:tc>
          <w:tcPr>
            <w:tcW w:w="4523" w:type="dxa"/>
          </w:tcPr>
          <w:p w:rsidR="005737E0" w:rsidRDefault="005737E0" w:rsidP="004B66F0"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5737E0" w:rsidRPr="004A4B03" w:rsidTr="004B66F0">
        <w:trPr>
          <w:trHeight w:val="1081"/>
        </w:trPr>
        <w:tc>
          <w:tcPr>
            <w:tcW w:w="9640" w:type="dxa"/>
            <w:gridSpan w:val="2"/>
          </w:tcPr>
          <w:p w:rsidR="005737E0" w:rsidRDefault="005737E0" w:rsidP="004B66F0">
            <w:pPr>
              <w:pStyle w:val="TableParagraph"/>
              <w:rPr>
                <w:b/>
                <w:sz w:val="20"/>
              </w:rPr>
            </w:pPr>
          </w:p>
          <w:p w:rsidR="005737E0" w:rsidRDefault="005737E0" w:rsidP="004B66F0">
            <w:pPr>
              <w:pStyle w:val="TableParagraph"/>
              <w:rPr>
                <w:b/>
                <w:sz w:val="20"/>
              </w:rPr>
            </w:pPr>
          </w:p>
          <w:p w:rsidR="005737E0" w:rsidRDefault="005737E0" w:rsidP="004B66F0">
            <w:pPr>
              <w:pStyle w:val="TableParagraph"/>
              <w:spacing w:before="5"/>
              <w:rPr>
                <w:b/>
              </w:rPr>
            </w:pPr>
          </w:p>
          <w:p w:rsidR="005737E0" w:rsidRDefault="005737E0" w:rsidP="004B66F0">
            <w:pPr>
              <w:pStyle w:val="TableParagraph"/>
              <w:spacing w:line="20" w:lineRule="exact"/>
              <w:ind w:left="278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A31E8EE" wp14:editId="47C1E15B">
                      <wp:extent cx="2585720" cy="7620"/>
                      <wp:effectExtent l="10160" t="5080" r="4445" b="635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7620"/>
                                <a:chOff x="0" y="0"/>
                                <a:chExt cx="4072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40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">
                      <v:line id="Line 3" o:spid="_x0000_s1027" style="position:absolute;visibility:visible;mso-wrap-style:square" from="0,6" to="40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Vy8QAAADaAAAADwAAAGRycy9kb3ducmV2LnhtbESPT2sCMRTE7wW/Q3iCt5rUg5TVrBRL&#10;i4KU1j+wx+fmubs2eVk2qa7fvikUPA4z8xtmvuidFRfqQuNZw9NYgSAuvWm40rDfvT0+gwgR2aD1&#10;TBpuFGCRDx7mmBl/5S+6bGMlEoRDhhrqGNtMylDW5DCMfUucvJPvHMYku0qaDq8J7qycKDWVDhtO&#10;CzW2tKyp/N7+OA3qdl4q+7lpX4/r8+Y9FDYWHwetR8P+ZQYiUh/v4f/2ymiYwN+Vd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cRXLxAAAANoAAAAPAAAAAAAAAAAA&#10;AAAAAKECAABkcnMvZG93bnJldi54bWxQSwUGAAAAAAQABAD5AAAAkgMAAAAA&#10;" strokeweight=".20856mm"/>
                      <w10:anchorlock/>
                    </v:group>
                  </w:pict>
                </mc:Fallback>
              </mc:AlternateContent>
            </w:r>
          </w:p>
          <w:p w:rsidR="005737E0" w:rsidRPr="00CE73E8" w:rsidRDefault="005737E0" w:rsidP="004B66F0">
            <w:pPr>
              <w:pStyle w:val="TableParagraph"/>
              <w:spacing w:before="5"/>
              <w:ind w:left="3213"/>
              <w:rPr>
                <w:sz w:val="20"/>
                <w:lang w:val="pt-BR"/>
              </w:rPr>
            </w:pPr>
            <w:r w:rsidRPr="00CE73E8">
              <w:rPr>
                <w:sz w:val="20"/>
                <w:lang w:val="pt-BR"/>
              </w:rPr>
              <w:t xml:space="preserve">Assinatura </w:t>
            </w:r>
            <w:proofErr w:type="gramStart"/>
            <w:r w:rsidRPr="00CE73E8">
              <w:rPr>
                <w:sz w:val="20"/>
                <w:lang w:val="pt-BR"/>
              </w:rPr>
              <w:t>do(</w:t>
            </w:r>
            <w:proofErr w:type="gramEnd"/>
            <w:r w:rsidRPr="00CE73E8">
              <w:rPr>
                <w:sz w:val="20"/>
                <w:lang w:val="pt-BR"/>
              </w:rPr>
              <w:t>a) Conselheiro(a)</w:t>
            </w:r>
          </w:p>
        </w:tc>
      </w:tr>
      <w:tr w:rsidR="002D322C" w:rsidRPr="004A4B03" w:rsidTr="00BD3561">
        <w:trPr>
          <w:trHeight w:val="348"/>
        </w:trPr>
        <w:tc>
          <w:tcPr>
            <w:tcW w:w="5117" w:type="dxa"/>
          </w:tcPr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 xml:space="preserve">Testemunha </w:t>
            </w:r>
            <w:proofErr w:type="gramStart"/>
            <w:r w:rsidRPr="00F67B00">
              <w:rPr>
                <w:sz w:val="20"/>
                <w:lang w:val="pt-BR"/>
              </w:rPr>
              <w:t>1</w:t>
            </w:r>
            <w:proofErr w:type="gramEnd"/>
          </w:p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Nome</w:t>
            </w:r>
          </w:p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CPF</w:t>
            </w:r>
          </w:p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RG:</w:t>
            </w:r>
          </w:p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Assinatura:</w:t>
            </w:r>
          </w:p>
        </w:tc>
        <w:tc>
          <w:tcPr>
            <w:tcW w:w="4523" w:type="dxa"/>
          </w:tcPr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 xml:space="preserve">Testemunha </w:t>
            </w:r>
            <w:proofErr w:type="gramStart"/>
            <w:r w:rsidRPr="00F67B00">
              <w:rPr>
                <w:sz w:val="20"/>
                <w:lang w:val="pt-BR"/>
              </w:rPr>
              <w:t>2</w:t>
            </w:r>
            <w:proofErr w:type="gramEnd"/>
          </w:p>
          <w:p w:rsidR="002D322C" w:rsidRPr="00F67B00" w:rsidRDefault="002D322C" w:rsidP="002D322C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Nome</w:t>
            </w:r>
          </w:p>
          <w:p w:rsidR="002D322C" w:rsidRPr="00F67B00" w:rsidRDefault="002D322C" w:rsidP="002D322C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CPF</w:t>
            </w:r>
          </w:p>
          <w:p w:rsidR="002D322C" w:rsidRPr="00F67B00" w:rsidRDefault="002D322C" w:rsidP="002D322C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RG:</w:t>
            </w:r>
          </w:p>
          <w:p w:rsidR="002D322C" w:rsidRPr="00F67B00" w:rsidRDefault="002D322C" w:rsidP="002D322C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Assinatura:</w:t>
            </w:r>
          </w:p>
        </w:tc>
      </w:tr>
    </w:tbl>
    <w:p w:rsidR="005737E0" w:rsidRPr="00CE73E8" w:rsidRDefault="005737E0" w:rsidP="005737E0">
      <w:pPr>
        <w:rPr>
          <w:sz w:val="20"/>
          <w:lang w:val="pt-BR"/>
        </w:rPr>
        <w:sectPr w:rsidR="005737E0" w:rsidRPr="00CE73E8" w:rsidSect="005F2B3A">
          <w:headerReference w:type="default" r:id="rId9"/>
          <w:pgSz w:w="11910" w:h="16840"/>
          <w:pgMar w:top="3119" w:right="740" w:bottom="1100" w:left="760" w:header="1297" w:footer="902" w:gutter="0"/>
          <w:cols w:space="720"/>
        </w:sectPr>
      </w:pPr>
    </w:p>
    <w:p w:rsidR="00DD5060" w:rsidRPr="005737E0" w:rsidRDefault="00DD5060" w:rsidP="00F67B00">
      <w:pPr>
        <w:rPr>
          <w:lang w:val="pt-BR"/>
        </w:rPr>
      </w:pPr>
    </w:p>
    <w:sectPr w:rsidR="00DD5060" w:rsidRPr="00573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3A" w:rsidRDefault="005F2B3A" w:rsidP="005F2B3A">
      <w:r>
        <w:separator/>
      </w:r>
    </w:p>
  </w:endnote>
  <w:endnote w:type="continuationSeparator" w:id="0">
    <w:p w:rsidR="005F2B3A" w:rsidRDefault="005F2B3A" w:rsidP="005F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3A" w:rsidRDefault="005F2B3A" w:rsidP="005F2B3A">
      <w:r>
        <w:separator/>
      </w:r>
    </w:p>
  </w:footnote>
  <w:footnote w:type="continuationSeparator" w:id="0">
    <w:p w:rsidR="005F2B3A" w:rsidRDefault="005F2B3A" w:rsidP="005F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00" w:rsidRDefault="00F67B00">
    <w:pPr>
      <w:pStyle w:val="Cabealho"/>
    </w:pPr>
    <w:r w:rsidRPr="00F67B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92986" wp14:editId="1EBAA810">
              <wp:simplePos x="0" y="0"/>
              <wp:positionH relativeFrom="column">
                <wp:posOffset>157646</wp:posOffset>
              </wp:positionH>
              <wp:positionV relativeFrom="paragraph">
                <wp:posOffset>-543560</wp:posOffset>
              </wp:positionV>
              <wp:extent cx="6122035" cy="802640"/>
              <wp:effectExtent l="0" t="0" r="12065" b="1651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035" cy="8026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7B00" w:rsidRDefault="00F67B00" w:rsidP="00F67B0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0819EBB8" wp14:editId="6574B308">
                                <wp:extent cx="1713579" cy="707666"/>
                                <wp:effectExtent l="0" t="0" r="127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3735" cy="707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6" o:spid="_x0000_s1026" style="position:absolute;margin-left:12.4pt;margin-top:-42.8pt;width:48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" fillcolor="white [3201]" strokecolor="black [3213]" strokeweight="2pt">
              <v:textbox>
                <w:txbxContent>
                  <w:p w:rsidR="00F67B00" w:rsidRDefault="00F67B00" w:rsidP="00F67B00">
                    <w:pPr>
                      <w:jc w:val="center"/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0819EBB8" wp14:editId="6574B308">
                          <wp:extent cx="1713579" cy="707666"/>
                          <wp:effectExtent l="0" t="0" r="127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3735" cy="707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5F2B3A" w:rsidRDefault="00F67B00">
    <w:pPr>
      <w:pStyle w:val="Cabealho"/>
    </w:pPr>
    <w:r w:rsidRPr="00F67B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E31FE" wp14:editId="7660E8B6">
              <wp:simplePos x="0" y="0"/>
              <wp:positionH relativeFrom="column">
                <wp:posOffset>158915</wp:posOffset>
              </wp:positionH>
              <wp:positionV relativeFrom="paragraph">
                <wp:posOffset>184785</wp:posOffset>
              </wp:positionV>
              <wp:extent cx="6122035" cy="802640"/>
              <wp:effectExtent l="0" t="0" r="12065" b="1651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035" cy="802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7B00" w:rsidRPr="005737E0" w:rsidRDefault="00F67B00" w:rsidP="00F67B00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t xml:space="preserve">TERMO DE COMPROMISSO DE CONSELHEIRO </w:t>
                          </w:r>
                          <w:r w:rsidR="00D50BA9">
                            <w:rPr>
                              <w:noProof/>
                              <w:lang w:val="pt-BR" w:eastAsia="pt-BR"/>
                            </w:rPr>
                            <w:t>FISCAL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o:spid="_x0000_s1027" style="position:absolute;margin-left:12.5pt;margin-top:14.55pt;width:482.0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" fillcolor="white [3212]" strokecolor="black [3213]" strokeweight="2pt">
              <v:textbox>
                <w:txbxContent>
                  <w:p w:rsidR="00F67B00" w:rsidRPr="005737E0" w:rsidRDefault="00F67B00" w:rsidP="00F67B00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t xml:space="preserve">TERMO DE COMPROMISSO DE CONSELHEIRO </w:t>
                    </w:r>
                    <w:r w:rsidR="00D50BA9">
                      <w:rPr>
                        <w:noProof/>
                        <w:lang w:val="pt-BR" w:eastAsia="pt-BR"/>
                      </w:rPr>
                      <w:t>FISCAL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8E4"/>
    <w:multiLevelType w:val="hybridMultilevel"/>
    <w:tmpl w:val="3FF4BFFE"/>
    <w:lvl w:ilvl="0" w:tplc="0B201626">
      <w:start w:val="1"/>
      <w:numFmt w:val="upperLetter"/>
      <w:lvlText w:val="%1)"/>
      <w:lvlJc w:val="left"/>
      <w:pPr>
        <w:ind w:left="680" w:hanging="399"/>
        <w:jc w:val="left"/>
      </w:pPr>
      <w:rPr>
        <w:rFonts w:ascii="Verdana" w:eastAsia="Verdana" w:hAnsi="Verdana" w:cs="Verdana" w:hint="default"/>
        <w:b/>
        <w:bCs/>
        <w:color w:val="4F81BD"/>
        <w:spacing w:val="-1"/>
        <w:w w:val="99"/>
        <w:sz w:val="24"/>
        <w:szCs w:val="24"/>
      </w:rPr>
    </w:lvl>
    <w:lvl w:ilvl="1" w:tplc="14229D7A">
      <w:numFmt w:val="bullet"/>
      <w:lvlText w:val="•"/>
      <w:lvlJc w:val="left"/>
      <w:pPr>
        <w:ind w:left="1652" w:hanging="399"/>
      </w:pPr>
      <w:rPr>
        <w:rFonts w:hint="default"/>
      </w:rPr>
    </w:lvl>
    <w:lvl w:ilvl="2" w:tplc="FC725254">
      <w:numFmt w:val="bullet"/>
      <w:lvlText w:val="•"/>
      <w:lvlJc w:val="left"/>
      <w:pPr>
        <w:ind w:left="2625" w:hanging="399"/>
      </w:pPr>
      <w:rPr>
        <w:rFonts w:hint="default"/>
      </w:rPr>
    </w:lvl>
    <w:lvl w:ilvl="3" w:tplc="D35041D6">
      <w:numFmt w:val="bullet"/>
      <w:lvlText w:val="•"/>
      <w:lvlJc w:val="left"/>
      <w:pPr>
        <w:ind w:left="3598" w:hanging="399"/>
      </w:pPr>
      <w:rPr>
        <w:rFonts w:hint="default"/>
      </w:rPr>
    </w:lvl>
    <w:lvl w:ilvl="4" w:tplc="F9CA41B6">
      <w:numFmt w:val="bullet"/>
      <w:lvlText w:val="•"/>
      <w:lvlJc w:val="left"/>
      <w:pPr>
        <w:ind w:left="4571" w:hanging="399"/>
      </w:pPr>
      <w:rPr>
        <w:rFonts w:hint="default"/>
      </w:rPr>
    </w:lvl>
    <w:lvl w:ilvl="5" w:tplc="374EFF38">
      <w:numFmt w:val="bullet"/>
      <w:lvlText w:val="•"/>
      <w:lvlJc w:val="left"/>
      <w:pPr>
        <w:ind w:left="5543" w:hanging="399"/>
      </w:pPr>
      <w:rPr>
        <w:rFonts w:hint="default"/>
      </w:rPr>
    </w:lvl>
    <w:lvl w:ilvl="6" w:tplc="BADC2D24">
      <w:numFmt w:val="bullet"/>
      <w:lvlText w:val="•"/>
      <w:lvlJc w:val="left"/>
      <w:pPr>
        <w:ind w:left="6516" w:hanging="399"/>
      </w:pPr>
      <w:rPr>
        <w:rFonts w:hint="default"/>
      </w:rPr>
    </w:lvl>
    <w:lvl w:ilvl="7" w:tplc="41549B8A">
      <w:numFmt w:val="bullet"/>
      <w:lvlText w:val="•"/>
      <w:lvlJc w:val="left"/>
      <w:pPr>
        <w:ind w:left="7489" w:hanging="399"/>
      </w:pPr>
      <w:rPr>
        <w:rFonts w:hint="default"/>
      </w:rPr>
    </w:lvl>
    <w:lvl w:ilvl="8" w:tplc="65F26D24">
      <w:numFmt w:val="bullet"/>
      <w:lvlText w:val="•"/>
      <w:lvlJc w:val="left"/>
      <w:pPr>
        <w:ind w:left="8462" w:hanging="399"/>
      </w:pPr>
      <w:rPr>
        <w:rFonts w:hint="default"/>
      </w:rPr>
    </w:lvl>
  </w:abstractNum>
  <w:abstractNum w:abstractNumId="1">
    <w:nsid w:val="12C00355"/>
    <w:multiLevelType w:val="hybridMultilevel"/>
    <w:tmpl w:val="7AB267EA"/>
    <w:lvl w:ilvl="0" w:tplc="3B6860AE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3" w:hanging="360"/>
      </w:pPr>
    </w:lvl>
    <w:lvl w:ilvl="2" w:tplc="0416001B" w:tentative="1">
      <w:start w:val="1"/>
      <w:numFmt w:val="lowerRoman"/>
      <w:lvlText w:val="%3."/>
      <w:lvlJc w:val="right"/>
      <w:pPr>
        <w:ind w:left="1863" w:hanging="180"/>
      </w:pPr>
    </w:lvl>
    <w:lvl w:ilvl="3" w:tplc="0416000F" w:tentative="1">
      <w:start w:val="1"/>
      <w:numFmt w:val="decimal"/>
      <w:lvlText w:val="%4."/>
      <w:lvlJc w:val="left"/>
      <w:pPr>
        <w:ind w:left="2583" w:hanging="360"/>
      </w:pPr>
    </w:lvl>
    <w:lvl w:ilvl="4" w:tplc="04160019" w:tentative="1">
      <w:start w:val="1"/>
      <w:numFmt w:val="lowerLetter"/>
      <w:lvlText w:val="%5."/>
      <w:lvlJc w:val="left"/>
      <w:pPr>
        <w:ind w:left="3303" w:hanging="360"/>
      </w:pPr>
    </w:lvl>
    <w:lvl w:ilvl="5" w:tplc="0416001B" w:tentative="1">
      <w:start w:val="1"/>
      <w:numFmt w:val="lowerRoman"/>
      <w:lvlText w:val="%6."/>
      <w:lvlJc w:val="right"/>
      <w:pPr>
        <w:ind w:left="4023" w:hanging="180"/>
      </w:pPr>
    </w:lvl>
    <w:lvl w:ilvl="6" w:tplc="0416000F" w:tentative="1">
      <w:start w:val="1"/>
      <w:numFmt w:val="decimal"/>
      <w:lvlText w:val="%7."/>
      <w:lvlJc w:val="left"/>
      <w:pPr>
        <w:ind w:left="4743" w:hanging="360"/>
      </w:pPr>
    </w:lvl>
    <w:lvl w:ilvl="7" w:tplc="04160019" w:tentative="1">
      <w:start w:val="1"/>
      <w:numFmt w:val="lowerLetter"/>
      <w:lvlText w:val="%8."/>
      <w:lvlJc w:val="left"/>
      <w:pPr>
        <w:ind w:left="5463" w:hanging="360"/>
      </w:pPr>
    </w:lvl>
    <w:lvl w:ilvl="8" w:tplc="0416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E0"/>
    <w:rsid w:val="001246B6"/>
    <w:rsid w:val="001A0873"/>
    <w:rsid w:val="001E4459"/>
    <w:rsid w:val="002D322C"/>
    <w:rsid w:val="0037466E"/>
    <w:rsid w:val="003B3563"/>
    <w:rsid w:val="004118E8"/>
    <w:rsid w:val="004A4B03"/>
    <w:rsid w:val="005429D7"/>
    <w:rsid w:val="00547C7E"/>
    <w:rsid w:val="005737E0"/>
    <w:rsid w:val="005F2B3A"/>
    <w:rsid w:val="00613E4E"/>
    <w:rsid w:val="006665BC"/>
    <w:rsid w:val="00764692"/>
    <w:rsid w:val="00A2515B"/>
    <w:rsid w:val="00A271A0"/>
    <w:rsid w:val="00A576E7"/>
    <w:rsid w:val="00CA79B8"/>
    <w:rsid w:val="00D50BA9"/>
    <w:rsid w:val="00DD5060"/>
    <w:rsid w:val="00EF45CF"/>
    <w:rsid w:val="00F063ED"/>
    <w:rsid w:val="00F67B00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7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4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737E0"/>
    <w:pPr>
      <w:ind w:left="124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5737E0"/>
    <w:rPr>
      <w:rFonts w:ascii="Verdana" w:eastAsia="Verdana" w:hAnsi="Verdana" w:cs="Verdan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73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37E0"/>
  </w:style>
  <w:style w:type="character" w:customStyle="1" w:styleId="CorpodetextoChar">
    <w:name w:val="Corpo de texto Char"/>
    <w:basedOn w:val="Fontepargpadro"/>
    <w:link w:val="Corpodetexto"/>
    <w:uiPriority w:val="1"/>
    <w:rsid w:val="005737E0"/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5737E0"/>
  </w:style>
  <w:style w:type="paragraph" w:styleId="Textodebalo">
    <w:name w:val="Balloon Text"/>
    <w:basedOn w:val="Normal"/>
    <w:link w:val="TextodebaloChar"/>
    <w:uiPriority w:val="99"/>
    <w:semiHidden/>
    <w:unhideWhenUsed/>
    <w:rsid w:val="005737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E0"/>
    <w:rPr>
      <w:rFonts w:ascii="Tahoma" w:eastAsia="Verdan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E44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1E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1E445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13E4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7185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2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B3A"/>
    <w:rPr>
      <w:rFonts w:ascii="Verdana" w:eastAsia="Verdana" w:hAnsi="Verdana" w:cs="Verdana"/>
      <w:lang w:val="en-US"/>
    </w:rPr>
  </w:style>
  <w:style w:type="paragraph" w:styleId="Rodap">
    <w:name w:val="footer"/>
    <w:basedOn w:val="Normal"/>
    <w:link w:val="RodapChar"/>
    <w:uiPriority w:val="99"/>
    <w:unhideWhenUsed/>
    <w:rsid w:val="005F2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B3A"/>
    <w:rPr>
      <w:rFonts w:ascii="Verdana" w:eastAsia="Verdana" w:hAnsi="Verdana" w:cs="Verdana"/>
      <w:lang w:val="en-US"/>
    </w:rPr>
  </w:style>
  <w:style w:type="paragraph" w:customStyle="1" w:styleId="artigo">
    <w:name w:val="artigo"/>
    <w:basedOn w:val="Normal"/>
    <w:rsid w:val="00F67B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7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4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737E0"/>
    <w:pPr>
      <w:ind w:left="124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5737E0"/>
    <w:rPr>
      <w:rFonts w:ascii="Verdana" w:eastAsia="Verdana" w:hAnsi="Verdana" w:cs="Verdan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73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37E0"/>
  </w:style>
  <w:style w:type="character" w:customStyle="1" w:styleId="CorpodetextoChar">
    <w:name w:val="Corpo de texto Char"/>
    <w:basedOn w:val="Fontepargpadro"/>
    <w:link w:val="Corpodetexto"/>
    <w:uiPriority w:val="1"/>
    <w:rsid w:val="005737E0"/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5737E0"/>
  </w:style>
  <w:style w:type="paragraph" w:styleId="Textodebalo">
    <w:name w:val="Balloon Text"/>
    <w:basedOn w:val="Normal"/>
    <w:link w:val="TextodebaloChar"/>
    <w:uiPriority w:val="99"/>
    <w:semiHidden/>
    <w:unhideWhenUsed/>
    <w:rsid w:val="005737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E0"/>
    <w:rPr>
      <w:rFonts w:ascii="Tahoma" w:eastAsia="Verdan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E44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1E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1E445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13E4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7185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2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B3A"/>
    <w:rPr>
      <w:rFonts w:ascii="Verdana" w:eastAsia="Verdana" w:hAnsi="Verdana" w:cs="Verdana"/>
      <w:lang w:val="en-US"/>
    </w:rPr>
  </w:style>
  <w:style w:type="paragraph" w:styleId="Rodap">
    <w:name w:val="footer"/>
    <w:basedOn w:val="Normal"/>
    <w:link w:val="RodapChar"/>
    <w:uiPriority w:val="99"/>
    <w:unhideWhenUsed/>
    <w:rsid w:val="005F2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B3A"/>
    <w:rPr>
      <w:rFonts w:ascii="Verdana" w:eastAsia="Verdana" w:hAnsi="Verdana" w:cs="Verdana"/>
      <w:lang w:val="en-US"/>
    </w:rPr>
  </w:style>
  <w:style w:type="paragraph" w:customStyle="1" w:styleId="artigo">
    <w:name w:val="artigo"/>
    <w:basedOn w:val="Normal"/>
    <w:rsid w:val="00F67B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18A18A-A938-412A-A0F1-AFBD1815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1480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Ribeiro Barcelos</dc:creator>
  <cp:lastModifiedBy>Daniel Ribeiro Barcelos</cp:lastModifiedBy>
  <cp:revision>5</cp:revision>
  <cp:lastPrinted>2018-08-22T18:58:00Z</cp:lastPrinted>
  <dcterms:created xsi:type="dcterms:W3CDTF">2018-08-22T19:24:00Z</dcterms:created>
  <dcterms:modified xsi:type="dcterms:W3CDTF">2018-08-22T19:31:00Z</dcterms:modified>
</cp:coreProperties>
</file>