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523"/>
      </w:tblGrid>
      <w:tr w:rsidR="005737E0" w:rsidRPr="00423F78" w:rsidTr="004B66F0">
        <w:trPr>
          <w:trHeight w:val="509"/>
        </w:trPr>
        <w:tc>
          <w:tcPr>
            <w:tcW w:w="9640" w:type="dxa"/>
            <w:gridSpan w:val="2"/>
          </w:tcPr>
          <w:p w:rsidR="005737E0" w:rsidRPr="00CE73E8" w:rsidRDefault="005737E0" w:rsidP="00423F78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1. Nome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 xml:space="preserve">a) Conselheiro(a) </w:t>
            </w:r>
            <w:r w:rsidR="00423F78">
              <w:rPr>
                <w:sz w:val="18"/>
                <w:lang w:val="pt-BR"/>
              </w:rPr>
              <w:t>de Administração</w:t>
            </w:r>
            <w:r w:rsidRPr="00CE73E8">
              <w:rPr>
                <w:sz w:val="18"/>
                <w:lang w:val="pt-BR"/>
              </w:rPr>
              <w:t xml:space="preserve"> declarante:</w:t>
            </w:r>
          </w:p>
        </w:tc>
      </w:tr>
      <w:tr w:rsidR="005737E0" w:rsidRPr="00423F78" w:rsidTr="004B66F0">
        <w:trPr>
          <w:trHeight w:val="325"/>
        </w:trPr>
        <w:tc>
          <w:tcPr>
            <w:tcW w:w="9640" w:type="dxa"/>
            <w:gridSpan w:val="2"/>
          </w:tcPr>
          <w:p w:rsidR="005737E0" w:rsidRPr="00CE73E8" w:rsidRDefault="005737E0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2. Empresa onde atua como </w:t>
            </w:r>
            <w:proofErr w:type="gramStart"/>
            <w:r w:rsidRPr="00CE73E8">
              <w:rPr>
                <w:sz w:val="18"/>
                <w:lang w:val="pt-BR"/>
              </w:rPr>
              <w:t>Conselheiro(</w:t>
            </w:r>
            <w:proofErr w:type="gramEnd"/>
            <w:r w:rsidRPr="00CE73E8">
              <w:rPr>
                <w:sz w:val="18"/>
                <w:lang w:val="pt-BR"/>
              </w:rPr>
              <w:t>a) :</w:t>
            </w:r>
          </w:p>
        </w:tc>
      </w:tr>
      <w:tr w:rsidR="005737E0" w:rsidRPr="00423F78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4B66F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3. Prazo de Atuação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>a) Conselheiro(a):</w:t>
            </w:r>
          </w:p>
        </w:tc>
      </w:tr>
      <w:tr w:rsidR="005737E0" w:rsidRPr="00423F78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5737E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 w:rsidRPr="00CE73E8">
              <w:rPr>
                <w:sz w:val="18"/>
                <w:lang w:val="pt-BR"/>
              </w:rPr>
              <w:t xml:space="preserve">4. Lotação </w:t>
            </w:r>
            <w:proofErr w:type="gramStart"/>
            <w:r w:rsidRPr="00CE73E8">
              <w:rPr>
                <w:sz w:val="18"/>
                <w:lang w:val="pt-BR"/>
              </w:rPr>
              <w:t>do(</w:t>
            </w:r>
            <w:proofErr w:type="gramEnd"/>
            <w:r w:rsidRPr="00CE73E8">
              <w:rPr>
                <w:sz w:val="18"/>
                <w:lang w:val="pt-BR"/>
              </w:rPr>
              <w:t xml:space="preserve">a) Conselheiro(a) na </w:t>
            </w:r>
            <w:r w:rsidR="005F2B3A">
              <w:rPr>
                <w:sz w:val="18"/>
                <w:lang w:val="pt-BR"/>
              </w:rPr>
              <w:t>Empresa</w:t>
            </w:r>
            <w:r w:rsidRPr="00CE73E8">
              <w:rPr>
                <w:sz w:val="18"/>
                <w:lang w:val="pt-BR"/>
              </w:rPr>
              <w:t>:</w:t>
            </w:r>
          </w:p>
        </w:tc>
      </w:tr>
      <w:tr w:rsidR="005737E0" w:rsidRPr="00CE73E8" w:rsidTr="004B66F0">
        <w:trPr>
          <w:trHeight w:val="326"/>
        </w:trPr>
        <w:tc>
          <w:tcPr>
            <w:tcW w:w="9640" w:type="dxa"/>
            <w:gridSpan w:val="2"/>
          </w:tcPr>
          <w:p w:rsidR="005737E0" w:rsidRPr="00CE73E8" w:rsidRDefault="005737E0" w:rsidP="002D322C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5. Formação </w:t>
            </w:r>
            <w:r w:rsidR="002D322C">
              <w:rPr>
                <w:sz w:val="18"/>
                <w:lang w:val="pt-BR"/>
              </w:rPr>
              <w:t>Acadêmica</w:t>
            </w:r>
            <w:r>
              <w:rPr>
                <w:sz w:val="18"/>
                <w:lang w:val="pt-BR"/>
              </w:rPr>
              <w:t>:</w:t>
            </w:r>
          </w:p>
        </w:tc>
      </w:tr>
      <w:tr w:rsidR="005737E0" w:rsidRPr="00423F78" w:rsidTr="004B66F0">
        <w:trPr>
          <w:trHeight w:val="326"/>
        </w:trPr>
        <w:tc>
          <w:tcPr>
            <w:tcW w:w="9640" w:type="dxa"/>
            <w:gridSpan w:val="2"/>
          </w:tcPr>
          <w:p w:rsidR="005737E0" w:rsidRDefault="005737E0" w:rsidP="005737E0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6. Experiência profissional: 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 xml:space="preserve">(    </w:t>
            </w:r>
            <w:proofErr w:type="gramEnd"/>
            <w:r w:rsidRPr="00423F78">
              <w:rPr>
                <w:sz w:val="18"/>
                <w:lang w:val="pt-BR"/>
              </w:rPr>
              <w:t xml:space="preserve">) </w:t>
            </w:r>
            <w:r w:rsidRPr="00423F78">
              <w:rPr>
                <w:sz w:val="18"/>
                <w:lang w:val="pt-BR"/>
              </w:rPr>
              <w:t xml:space="preserve">10 (dez) </w:t>
            </w:r>
            <w:r w:rsidR="002337F9">
              <w:rPr>
                <w:sz w:val="18"/>
                <w:lang w:val="pt-BR"/>
              </w:rPr>
              <w:t xml:space="preserve">ou mais </w:t>
            </w:r>
            <w:r w:rsidRPr="00423F78">
              <w:rPr>
                <w:sz w:val="18"/>
                <w:lang w:val="pt-BR"/>
              </w:rPr>
              <w:t>anos, no setor público ou privado, na área de atuação da empresa pública ou da sociedade de economia mista ou em área conexa àquela para a qual forem indicados em função de direção superior;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>ou</w:t>
            </w:r>
            <w:proofErr w:type="gramEnd"/>
            <w:r w:rsidRPr="00423F78">
              <w:rPr>
                <w:sz w:val="18"/>
                <w:lang w:val="pt-BR"/>
              </w:rPr>
              <w:t> 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r w:rsidRPr="00423F78">
              <w:rPr>
                <w:sz w:val="18"/>
                <w:lang w:val="pt-BR"/>
              </w:rPr>
              <w:t xml:space="preserve">(    ) </w:t>
            </w:r>
            <w:r w:rsidRPr="00423F78">
              <w:rPr>
                <w:sz w:val="18"/>
                <w:lang w:val="pt-BR"/>
              </w:rPr>
              <w:t>4 (quatro)</w:t>
            </w:r>
            <w:r w:rsidR="002337F9">
              <w:rPr>
                <w:sz w:val="18"/>
                <w:lang w:val="pt-BR"/>
              </w:rPr>
              <w:t xml:space="preserve"> </w:t>
            </w:r>
            <w:r w:rsidR="002337F9">
              <w:rPr>
                <w:sz w:val="18"/>
                <w:lang w:val="pt-BR"/>
              </w:rPr>
              <w:t>ou mais</w:t>
            </w:r>
            <w:r w:rsidR="002337F9">
              <w:rPr>
                <w:sz w:val="18"/>
                <w:lang w:val="pt-BR"/>
              </w:rPr>
              <w:t xml:space="preserve"> anos ocupando</w:t>
            </w:r>
            <w:bookmarkStart w:id="0" w:name="_GoBack"/>
            <w:bookmarkEnd w:id="0"/>
            <w:r w:rsidRPr="00423F78">
              <w:rPr>
                <w:sz w:val="18"/>
                <w:lang w:val="pt-BR"/>
              </w:rPr>
              <w:t>: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 xml:space="preserve">(    </w:t>
            </w:r>
            <w:proofErr w:type="gramEnd"/>
            <w:r w:rsidRPr="00423F78">
              <w:rPr>
                <w:sz w:val="18"/>
                <w:lang w:val="pt-BR"/>
              </w:rPr>
              <w:t xml:space="preserve">) </w:t>
            </w:r>
            <w:r w:rsidRPr="00423F78">
              <w:rPr>
                <w:sz w:val="18"/>
                <w:lang w:val="pt-BR"/>
              </w:rPr>
              <w:t>cargo de direção ou de chefia superior em empresa de porte ou objeto social semelhante ao da empresa pública ou da sociedade de economia mista, entendendo-se como cargo de chefia superior aquele situado nos 2 (dois) níveis hierárquicos não estatutários mais altos da empresa; 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 xml:space="preserve">(    </w:t>
            </w:r>
            <w:proofErr w:type="gramEnd"/>
            <w:r w:rsidRPr="00423F78">
              <w:rPr>
                <w:sz w:val="18"/>
                <w:lang w:val="pt-BR"/>
              </w:rPr>
              <w:t>) cargo em comissão ou função de confiança equivalente a DAS-4 ou superior, no setor público; 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 xml:space="preserve">(    </w:t>
            </w:r>
            <w:proofErr w:type="gramEnd"/>
            <w:r w:rsidRPr="00423F78">
              <w:rPr>
                <w:sz w:val="18"/>
                <w:lang w:val="pt-BR"/>
              </w:rPr>
              <w:t xml:space="preserve">) </w:t>
            </w:r>
            <w:r w:rsidRPr="00423F78">
              <w:rPr>
                <w:sz w:val="18"/>
                <w:lang w:val="pt-BR"/>
              </w:rPr>
              <w:t>cargo de docente ou de pesquisador em áreas de atuação da empresa pública ou da sociedade de economia mista; </w:t>
            </w:r>
          </w:p>
          <w:p w:rsidR="00423F78" w:rsidRPr="00423F78" w:rsidRDefault="00423F78" w:rsidP="00423F78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lang w:val="pt-BR"/>
              </w:rPr>
            </w:pPr>
            <w:proofErr w:type="gramStart"/>
            <w:r w:rsidRPr="00423F78">
              <w:rPr>
                <w:sz w:val="18"/>
                <w:lang w:val="pt-BR"/>
              </w:rPr>
              <w:t xml:space="preserve">(    </w:t>
            </w:r>
            <w:proofErr w:type="gramEnd"/>
            <w:r w:rsidRPr="00423F78">
              <w:rPr>
                <w:sz w:val="18"/>
                <w:lang w:val="pt-BR"/>
              </w:rPr>
              <w:t xml:space="preserve">) </w:t>
            </w:r>
            <w:r w:rsidRPr="00423F78">
              <w:rPr>
                <w:sz w:val="18"/>
                <w:lang w:val="pt-BR"/>
              </w:rPr>
              <w:t xml:space="preserve"> no mínimo 4 (quatro) anos de experiência como profissional liberal em atividade direta ou indiretamente vinculada à área de atuação da empresa pública ou sociedade de economia mista</w:t>
            </w:r>
          </w:p>
          <w:p w:rsidR="005737E0" w:rsidRPr="00CE73E8" w:rsidRDefault="005737E0" w:rsidP="00423F78">
            <w:pPr>
              <w:pStyle w:val="TableParagraph"/>
              <w:spacing w:before="54"/>
              <w:ind w:left="53"/>
              <w:rPr>
                <w:sz w:val="18"/>
                <w:lang w:val="pt-BR"/>
              </w:rPr>
            </w:pPr>
          </w:p>
        </w:tc>
      </w:tr>
      <w:tr w:rsidR="005737E0" w:rsidRPr="005737E0" w:rsidTr="004B66F0">
        <w:trPr>
          <w:trHeight w:val="326"/>
        </w:trPr>
        <w:tc>
          <w:tcPr>
            <w:tcW w:w="5117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7</w:t>
            </w:r>
            <w:r w:rsidR="005737E0" w:rsidRPr="005737E0">
              <w:rPr>
                <w:sz w:val="18"/>
                <w:lang w:val="pt-BR"/>
              </w:rPr>
              <w:t>. Telefone profissional:</w:t>
            </w:r>
          </w:p>
        </w:tc>
        <w:tc>
          <w:tcPr>
            <w:tcW w:w="4523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8</w:t>
            </w:r>
            <w:r w:rsidR="005737E0" w:rsidRPr="005737E0">
              <w:rPr>
                <w:sz w:val="18"/>
                <w:lang w:val="pt-BR"/>
              </w:rPr>
              <w:t xml:space="preserve">. </w:t>
            </w:r>
            <w:r w:rsidR="005737E0" w:rsidRPr="005737E0">
              <w:rPr>
                <w:i/>
                <w:sz w:val="18"/>
                <w:lang w:val="pt-BR"/>
              </w:rPr>
              <w:t xml:space="preserve">E-mail </w:t>
            </w:r>
            <w:r w:rsidR="005737E0" w:rsidRPr="005737E0">
              <w:rPr>
                <w:sz w:val="18"/>
                <w:lang w:val="pt-BR"/>
              </w:rPr>
              <w:t>profissional:</w:t>
            </w:r>
          </w:p>
        </w:tc>
      </w:tr>
      <w:tr w:rsidR="005737E0" w:rsidRPr="005737E0" w:rsidTr="004B66F0">
        <w:trPr>
          <w:trHeight w:val="326"/>
        </w:trPr>
        <w:tc>
          <w:tcPr>
            <w:tcW w:w="5117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9</w:t>
            </w:r>
            <w:r w:rsidR="005737E0">
              <w:rPr>
                <w:sz w:val="18"/>
                <w:lang w:val="pt-BR"/>
              </w:rPr>
              <w:t>. Telefone pessoal:</w:t>
            </w:r>
          </w:p>
        </w:tc>
        <w:tc>
          <w:tcPr>
            <w:tcW w:w="4523" w:type="dxa"/>
          </w:tcPr>
          <w:p w:rsidR="005737E0" w:rsidRPr="005737E0" w:rsidRDefault="002D322C" w:rsidP="004B66F0">
            <w:pPr>
              <w:pStyle w:val="TableParagraph"/>
              <w:spacing w:before="53"/>
              <w:ind w:left="53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10</w:t>
            </w:r>
            <w:r w:rsidR="005737E0">
              <w:rPr>
                <w:sz w:val="18"/>
                <w:lang w:val="pt-BR"/>
              </w:rPr>
              <w:t xml:space="preserve">. </w:t>
            </w:r>
            <w:r w:rsidR="005737E0" w:rsidRPr="005737E0">
              <w:rPr>
                <w:i/>
                <w:sz w:val="18"/>
                <w:lang w:val="pt-BR"/>
              </w:rPr>
              <w:t>E-mail</w:t>
            </w:r>
            <w:r w:rsidR="005737E0">
              <w:rPr>
                <w:sz w:val="18"/>
                <w:lang w:val="pt-BR"/>
              </w:rPr>
              <w:t xml:space="preserve"> alternativo:</w:t>
            </w:r>
          </w:p>
        </w:tc>
      </w:tr>
    </w:tbl>
    <w:p w:rsidR="005737E0" w:rsidRPr="005737E0" w:rsidRDefault="005737E0" w:rsidP="005737E0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523"/>
      </w:tblGrid>
      <w:tr w:rsidR="005737E0" w:rsidRPr="00423F78" w:rsidTr="002D322C">
        <w:trPr>
          <w:trHeight w:val="562"/>
        </w:trPr>
        <w:tc>
          <w:tcPr>
            <w:tcW w:w="9640" w:type="dxa"/>
            <w:gridSpan w:val="2"/>
          </w:tcPr>
          <w:p w:rsidR="005F2B3A" w:rsidRDefault="005737E0" w:rsidP="001E4459">
            <w:pPr>
              <w:pStyle w:val="TableParagraph"/>
              <w:spacing w:before="53"/>
              <w:ind w:left="63" w:right="49"/>
              <w:jc w:val="both"/>
              <w:rPr>
                <w:lang w:val="pt-BR"/>
              </w:rPr>
            </w:pPr>
            <w:r w:rsidRPr="00CE73E8">
              <w:rPr>
                <w:sz w:val="18"/>
                <w:lang w:val="pt-BR"/>
              </w:rPr>
              <w:t>Pelo presente instrumento, (</w:t>
            </w:r>
            <w:r w:rsidRPr="00CE73E8">
              <w:rPr>
                <w:b/>
                <w:sz w:val="18"/>
                <w:lang w:val="pt-BR"/>
              </w:rPr>
              <w:t>inserir o nome</w:t>
            </w:r>
            <w:r w:rsidRPr="00CE73E8">
              <w:rPr>
                <w:sz w:val="18"/>
                <w:lang w:val="pt-BR"/>
              </w:rPr>
              <w:t>), (</w:t>
            </w:r>
            <w:r w:rsidRPr="00CE73E8">
              <w:rPr>
                <w:b/>
                <w:sz w:val="18"/>
                <w:lang w:val="pt-BR"/>
              </w:rPr>
              <w:t>inserir nacionalidade, estado civil e profissão</w:t>
            </w:r>
            <w:r w:rsidRPr="00CE73E8">
              <w:rPr>
                <w:sz w:val="18"/>
                <w:lang w:val="pt-BR"/>
              </w:rPr>
              <w:t>), residente e domiciliado (a) (</w:t>
            </w:r>
            <w:r w:rsidRPr="00CE73E8">
              <w:rPr>
                <w:b/>
                <w:sz w:val="18"/>
                <w:lang w:val="pt-BR"/>
              </w:rPr>
              <w:t>inserir o endereço</w:t>
            </w:r>
            <w:r w:rsidRPr="00CE73E8">
              <w:rPr>
                <w:sz w:val="18"/>
                <w:lang w:val="pt-BR"/>
              </w:rPr>
              <w:t xml:space="preserve">), inscrito (a) no Cadastro de Pessoas Físicas do Ministério da Fazenda sob o </w:t>
            </w:r>
            <w:proofErr w:type="spellStart"/>
            <w:r w:rsidRPr="00CE73E8">
              <w:rPr>
                <w:sz w:val="18"/>
                <w:lang w:val="pt-BR"/>
              </w:rPr>
              <w:t>n.</w:t>
            </w:r>
            <w:r w:rsidRPr="00CE73E8">
              <w:rPr>
                <w:sz w:val="18"/>
                <w:vertAlign w:val="superscript"/>
                <w:lang w:val="pt-BR"/>
              </w:rPr>
              <w:t>o</w:t>
            </w:r>
            <w:proofErr w:type="spellEnd"/>
            <w:r w:rsidRPr="00CE73E8">
              <w:rPr>
                <w:sz w:val="18"/>
                <w:lang w:val="pt-BR"/>
              </w:rPr>
              <w:t xml:space="preserve"> (</w:t>
            </w:r>
            <w:r w:rsidRPr="00CE73E8">
              <w:rPr>
                <w:b/>
                <w:sz w:val="18"/>
                <w:lang w:val="pt-BR"/>
              </w:rPr>
              <w:t>inserir CPF</w:t>
            </w:r>
            <w:r w:rsidRPr="00CE73E8">
              <w:rPr>
                <w:sz w:val="18"/>
                <w:lang w:val="pt-BR"/>
              </w:rPr>
              <w:t xml:space="preserve">) e portador (a) da Cédula de Identidade </w:t>
            </w:r>
            <w:proofErr w:type="spellStart"/>
            <w:r w:rsidRPr="00CE73E8">
              <w:rPr>
                <w:sz w:val="18"/>
                <w:lang w:val="pt-BR"/>
              </w:rPr>
              <w:t>n.</w:t>
            </w:r>
            <w:r w:rsidRPr="00CE73E8">
              <w:rPr>
                <w:sz w:val="18"/>
                <w:vertAlign w:val="superscript"/>
                <w:lang w:val="pt-BR"/>
              </w:rPr>
              <w:t>o</w:t>
            </w:r>
            <w:proofErr w:type="spellEnd"/>
            <w:r w:rsidRPr="00CE73E8">
              <w:rPr>
                <w:sz w:val="18"/>
                <w:lang w:val="pt-BR"/>
              </w:rPr>
              <w:t xml:space="preserve"> (</w:t>
            </w:r>
            <w:r w:rsidRPr="00CE73E8">
              <w:rPr>
                <w:b/>
                <w:sz w:val="18"/>
                <w:lang w:val="pt-BR"/>
              </w:rPr>
              <w:t>inserir número</w:t>
            </w:r>
            <w:r w:rsidRPr="00CE73E8">
              <w:rPr>
                <w:sz w:val="18"/>
                <w:lang w:val="pt-BR"/>
              </w:rPr>
              <w:t>), expedida pelo (</w:t>
            </w:r>
            <w:r w:rsidRPr="00CE73E8">
              <w:rPr>
                <w:b/>
                <w:sz w:val="18"/>
                <w:lang w:val="pt-BR"/>
              </w:rPr>
              <w:t>inserir órgão expedidor e data de expedição</w:t>
            </w:r>
            <w:r w:rsidRPr="00CE73E8">
              <w:rPr>
                <w:sz w:val="18"/>
                <w:lang w:val="pt-BR"/>
              </w:rPr>
              <w:t>), doravante denominado (a) simplesmente “</w:t>
            </w:r>
            <w:r w:rsidRPr="00CE73E8">
              <w:rPr>
                <w:b/>
                <w:sz w:val="18"/>
                <w:lang w:val="pt-BR"/>
              </w:rPr>
              <w:t>Declarante</w:t>
            </w:r>
            <w:r w:rsidRPr="00CE73E8">
              <w:rPr>
                <w:sz w:val="18"/>
                <w:lang w:val="pt-BR"/>
              </w:rPr>
              <w:t>”, vem por meio de este Termo assumir e manifestar expressamente a respectiva responsabilidade pessoal como representante (</w:t>
            </w:r>
            <w:r w:rsidRPr="00CE73E8">
              <w:rPr>
                <w:b/>
                <w:sz w:val="18"/>
                <w:lang w:val="pt-BR"/>
              </w:rPr>
              <w:t>inserir se titular ou suplente</w:t>
            </w:r>
            <w:r w:rsidRPr="00CE73E8">
              <w:rPr>
                <w:sz w:val="18"/>
                <w:lang w:val="pt-BR"/>
              </w:rPr>
              <w:t xml:space="preserve">), desta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 w:rsidRPr="00CE73E8">
              <w:rPr>
                <w:b/>
                <w:sz w:val="18"/>
                <w:lang w:val="pt-BR"/>
              </w:rPr>
              <w:t xml:space="preserve">inserir </w:t>
            </w:r>
            <w:r w:rsidR="00F71853">
              <w:rPr>
                <w:b/>
                <w:sz w:val="18"/>
                <w:lang w:val="pt-BR"/>
              </w:rPr>
              <w:t>nome da empresa</w:t>
            </w:r>
            <w:r w:rsidR="00F71853" w:rsidRPr="00CE73E8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 xml:space="preserve">,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 w:rsidRPr="00CE73E8">
              <w:rPr>
                <w:b/>
                <w:sz w:val="18"/>
                <w:lang w:val="pt-BR"/>
              </w:rPr>
              <w:t xml:space="preserve">inserir </w:t>
            </w:r>
            <w:r w:rsidR="00F71853">
              <w:rPr>
                <w:b/>
                <w:sz w:val="18"/>
                <w:lang w:val="pt-BR"/>
              </w:rPr>
              <w:t>se</w:t>
            </w:r>
            <w:r w:rsidR="00F71853" w:rsidRPr="00CE73E8">
              <w:rPr>
                <w:sz w:val="18"/>
                <w:lang w:val="pt-BR"/>
              </w:rPr>
              <w:t xml:space="preserve"> </w:t>
            </w:r>
            <w:r w:rsidRPr="00F71853">
              <w:rPr>
                <w:b/>
                <w:sz w:val="18"/>
                <w:lang w:val="pt-BR"/>
              </w:rPr>
              <w:t>sociedade de economia mista</w:t>
            </w:r>
            <w:r w:rsidR="00F71853" w:rsidRPr="00F71853">
              <w:rPr>
                <w:b/>
                <w:sz w:val="18"/>
                <w:lang w:val="pt-BR"/>
              </w:rPr>
              <w:t xml:space="preserve"> ou empresa pública</w:t>
            </w:r>
            <w:r w:rsidR="00F71853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>, constituída na forma da</w:t>
            </w:r>
            <w:r w:rsidR="00F71853">
              <w:rPr>
                <w:sz w:val="18"/>
                <w:lang w:val="pt-BR"/>
              </w:rPr>
              <w:t xml:space="preserve"> (</w:t>
            </w:r>
            <w:r w:rsidR="00F71853" w:rsidRPr="00F71853">
              <w:rPr>
                <w:b/>
                <w:sz w:val="18"/>
                <w:lang w:val="pt-BR"/>
              </w:rPr>
              <w:t xml:space="preserve">lei </w:t>
            </w:r>
            <w:proofErr w:type="spellStart"/>
            <w:r w:rsidR="00F71853" w:rsidRPr="00F71853">
              <w:rPr>
                <w:b/>
                <w:sz w:val="18"/>
                <w:lang w:val="pt-BR"/>
              </w:rPr>
              <w:t>autorizatória</w:t>
            </w:r>
            <w:proofErr w:type="spellEnd"/>
            <w:r w:rsidR="00F71853" w:rsidRPr="00F71853">
              <w:rPr>
                <w:b/>
                <w:sz w:val="18"/>
                <w:lang w:val="pt-BR"/>
              </w:rPr>
              <w:t xml:space="preserve"> e ato constitutivo</w:t>
            </w:r>
            <w:r w:rsidR="00F71853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 xml:space="preserve">, com sede </w:t>
            </w:r>
            <w:r w:rsidR="00F71853">
              <w:rPr>
                <w:sz w:val="18"/>
                <w:lang w:val="pt-BR"/>
              </w:rPr>
              <w:t>de São Paulo</w:t>
            </w:r>
            <w:r w:rsidRPr="00CE73E8">
              <w:rPr>
                <w:sz w:val="18"/>
                <w:lang w:val="pt-BR"/>
              </w:rPr>
              <w:t>,</w:t>
            </w:r>
            <w:r w:rsidR="00F71853">
              <w:rPr>
                <w:sz w:val="18"/>
                <w:lang w:val="pt-BR"/>
              </w:rPr>
              <w:t xml:space="preserve"> SP</w:t>
            </w:r>
            <w:r w:rsidRPr="00CE73E8">
              <w:rPr>
                <w:sz w:val="18"/>
                <w:lang w:val="pt-BR"/>
              </w:rPr>
              <w:t xml:space="preserve"> e com escritório central na </w:t>
            </w:r>
            <w:r w:rsidR="00F71853">
              <w:rPr>
                <w:sz w:val="18"/>
                <w:lang w:val="pt-BR"/>
              </w:rPr>
              <w:t>(endereço da empresa)</w:t>
            </w:r>
            <w:r w:rsidRPr="00CE73E8">
              <w:rPr>
                <w:sz w:val="18"/>
                <w:lang w:val="pt-BR"/>
              </w:rPr>
              <w:t xml:space="preserve">, inscrita no Cadastro Nacional de Pessoa Jurídica (CNPJ/MF) sob o </w:t>
            </w:r>
            <w:r w:rsidR="00F71853" w:rsidRPr="00CE73E8">
              <w:rPr>
                <w:sz w:val="18"/>
                <w:lang w:val="pt-BR"/>
              </w:rPr>
              <w:t>(</w:t>
            </w:r>
            <w:r w:rsidR="00F71853">
              <w:rPr>
                <w:b/>
                <w:sz w:val="18"/>
                <w:lang w:val="pt-BR"/>
              </w:rPr>
              <w:t>inserir CNPJ</w:t>
            </w:r>
            <w:r w:rsidR="00F71853" w:rsidRPr="00CE73E8">
              <w:rPr>
                <w:sz w:val="18"/>
                <w:lang w:val="pt-BR"/>
              </w:rPr>
              <w:t>)</w:t>
            </w:r>
            <w:r w:rsidRPr="00CE73E8">
              <w:rPr>
                <w:sz w:val="18"/>
                <w:lang w:val="pt-BR"/>
              </w:rPr>
              <w:t>, pelo cumpr</w:t>
            </w:r>
            <w:r w:rsidR="001E4459">
              <w:rPr>
                <w:sz w:val="18"/>
                <w:lang w:val="pt-BR"/>
              </w:rPr>
              <w:t xml:space="preserve">imento das regras </w:t>
            </w:r>
            <w:r w:rsidR="00F67B00">
              <w:rPr>
                <w:sz w:val="18"/>
                <w:lang w:val="pt-BR"/>
              </w:rPr>
              <w:t>abaixo constantes:</w:t>
            </w:r>
          </w:p>
          <w:p w:rsidR="00F67B00" w:rsidRPr="00F67B00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18"/>
                <w:szCs w:val="18"/>
                <w:lang w:val="pt-BR" w:eastAsia="pt-BR"/>
              </w:rPr>
            </w:pPr>
            <w:r w:rsidRPr="00F67B00">
              <w:rPr>
                <w:rFonts w:eastAsia="Times New Roman" w:cs="Arial"/>
                <w:b/>
                <w:color w:val="000000"/>
                <w:sz w:val="18"/>
                <w:szCs w:val="18"/>
                <w:lang w:val="pt-BR" w:eastAsia="pt-BR"/>
              </w:rPr>
              <w:t>Das Atividades do Conselheiro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F67B00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São atividades do conselheiro de administração, que por meio do seu voto no colegiado irá: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 xml:space="preserve">I - fixar a orientação geral dos negócios da </w:t>
            </w:r>
            <w:r w:rsidR="00A53D6D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empresa estatal municipal</w:t>
            </w: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;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 xml:space="preserve">II - eleger e destituir os diretores da companhia e fixar-lhes as atribuições, observado o que a respeito </w:t>
            </w: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lastRenderedPageBreak/>
              <w:t>dispuser o estatuto;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 xml:space="preserve">III - fiscalizar a gestão dos diretores, examinar, a qualquer tempo, os livros e papéis da </w:t>
            </w:r>
            <w:r w:rsidR="00A53D6D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empresa estatal municipal</w:t>
            </w: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, solicitar informações sobre contratos celebrados ou em via de celebração, e quaisquer outros atos;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74F2A">
              <w:rPr>
                <w:rFonts w:ascii="Verdana" w:hAnsi="Verdana" w:cs="Arial"/>
                <w:color w:val="000000"/>
                <w:sz w:val="18"/>
                <w:szCs w:val="18"/>
              </w:rPr>
              <w:t>I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- convocar a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-geral: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a) </w:t>
            </w:r>
            <w:r w:rsidRPr="00374F2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quando julgar conveniente, </w:t>
            </w:r>
            <w:proofErr w:type="gramStart"/>
            <w:r w:rsidRPr="00374F2A">
              <w:rPr>
                <w:rFonts w:ascii="Verdana" w:hAnsi="Verdana" w:cs="Arial"/>
                <w:color w:val="000000"/>
                <w:sz w:val="18"/>
                <w:szCs w:val="18"/>
              </w:rPr>
              <w:t>ou</w:t>
            </w:r>
            <w:proofErr w:type="gramEnd"/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b)</w:t>
            </w:r>
            <w:r w:rsidRPr="00374F2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anualmente, nos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(quatro) primeiros meses seguintes ao término do exercício social, para: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tomar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 contas dos administradores, examinar, discutir e votar as demonstrações financeiras;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deliberar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sobre a destinação do lucro líquido do exercício e a distribuição de dividendos;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 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eleger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os administradores e os membros do conselho fiscal, quando for o caso;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4. 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aprovar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 correção da expressão monetária do capital social 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V - manifestar-se sobre o relatório da administração e as contas da diretoria;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VI - manifestar-se previamente sobre atos ou contratos, quando o estatuto assim o exigir;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bookmarkStart w:id="1" w:name="art142vii"/>
            <w:bookmarkEnd w:id="1"/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VII - deliberar, quando autorizado pelo estatuto, sobre a emissão de ações ou de bônus de subscrição;</w:t>
            </w:r>
            <w:r w:rsidRPr="00F67B00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bookmarkStart w:id="2" w:name="art142viii."/>
            <w:bookmarkEnd w:id="2"/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VIII – autorizar, se o estatuto não dispuser em contrário, a alienação de bens do ativo não circulante, a constituição de ônus</w:t>
            </w:r>
            <w:r w:rsidRPr="00374F2A">
              <w:rPr>
                <w:rFonts w:eastAsia="Times New Roman" w:cs="Arial"/>
                <w:color w:val="000000"/>
                <w:spacing w:val="-20"/>
                <w:sz w:val="18"/>
                <w:szCs w:val="18"/>
                <w:lang w:val="pt-BR" w:eastAsia="pt-BR"/>
              </w:rPr>
              <w:t> </w:t>
            </w: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reais</w:t>
            </w:r>
            <w:r w:rsidRPr="00374F2A">
              <w:rPr>
                <w:rFonts w:eastAsia="Times New Roman" w:cs="Arial"/>
                <w:color w:val="000000"/>
                <w:spacing w:val="-20"/>
                <w:sz w:val="18"/>
                <w:szCs w:val="18"/>
                <w:lang w:val="pt-BR" w:eastAsia="pt-BR"/>
              </w:rPr>
              <w:t> </w:t>
            </w: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e a prestação de garantias a obrigações de terceiros;</w:t>
            </w:r>
            <w:r w:rsidRPr="00F67B00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</w:p>
          <w:p w:rsidR="00F67B00" w:rsidRPr="00374F2A" w:rsidRDefault="00F67B00" w:rsidP="00F67B0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</w:pPr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IX - escolher e destituir os auditores independentes</w:t>
            </w:r>
            <w:proofErr w:type="gramStart"/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, se houver</w:t>
            </w:r>
            <w:proofErr w:type="gramEnd"/>
            <w:r w:rsidRPr="00374F2A">
              <w:rPr>
                <w:rFonts w:eastAsia="Times New Roman" w:cs="Arial"/>
                <w:color w:val="000000"/>
                <w:sz w:val="18"/>
                <w:szCs w:val="18"/>
                <w:lang w:val="pt-BR" w:eastAsia="pt-BR"/>
              </w:rPr>
              <w:t>.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3" w:name="art142§1"/>
            <w:bookmarkEnd w:id="3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X - discutir, aprovar e monitorar decisões envolvendo práticas de governança corporativa, relacionamento com partes interessadas, política de gestão de pessoas e código de conduta dos agentes;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XI -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implementar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 supervisionar os sistemas de gestão de riscos e de controle interno estabelecidos para a prevenção e mitigação dos principais riscos a que está exposta a empresa pública ou a sociedade de economia mista, inclusive os riscos relacionados à integridade das informações contábeis e financeiras e os relacionados à ocorrência de corrupção e fraude;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XII - estabelecer política de porta-vozes visando a eliminar risco de contradição entre informações de diversas áreas e as dos executivos da empresa pública ou da sociedade de economia mista;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XIII - avaliar o desempenho, individual e coletivo, anualmente, dos administradores e dos membros de comitês, podendo contar com apoio metodológico e procedimental do comitê estatutário, observados os seguintes quesitos mínimos: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a) exposição dos atos de gestão praticados, quanto à licitude e à eficácia da ação administrativa;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b) contribuição para o resultado do exercício; </w:t>
            </w:r>
          </w:p>
          <w:p w:rsid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c) consecução dos objetivos estabelecidos no plano de negócios e atendimento à estratégia de longo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prazo; 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XIV – conhecer e avaliar o desempenho da empresa estatal em relação ao Compromisso de Desempenho Institucional (CDI), com conhecimento específico sobre os seguintes instrumentos/documentos:</w:t>
            </w:r>
          </w:p>
          <w:p w:rsid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planejamento estratégico;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b)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planejamento tático, contendo: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resultado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econômico;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resultado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financeiro;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despesa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 pessoal;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plano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 investimentos;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indicadores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 qualidade na prestação de atividades de interesse público;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ações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voltadas ao aumento da produtividade;</w:t>
            </w:r>
          </w:p>
          <w:p w:rsid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c) me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tas de desempenho para os </w:t>
            </w:r>
            <w:proofErr w:type="gram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proofErr w:type="gram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(dois) primeiros anos, podendo ser prorrogáveis; e</w:t>
            </w:r>
          </w:p>
          <w:p w:rsidR="00F67B00" w:rsidRPr="00F67B00" w:rsidRDefault="00F67B00" w:rsidP="00F67B00">
            <w:pPr>
              <w:pStyle w:val="artig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) adoção de instrumentos de governança corporativa e desenvolvimento sustentável.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Dever de Diligência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4" w:name="art153"/>
            <w:bookmarkEnd w:id="4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de administração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deve empregar, no exercício de suas funções, o cuidado e diligência que todo homem ativo e probo costuma empregar na administração dos seus próprios negócios.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Finalidade das Atribuições e Desvio de Poder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5" w:name="art154"/>
            <w:bookmarkEnd w:id="5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de administração deve exercer as atribuições que a lei e o estatuto lhe conferem para lograr os fins e no interesse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satisfeitas as exigências do bem público e da função social da empresa.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É vedado ao conselheiro: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a) praticar ato de liberalidade à custa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b) sem prévia autorização da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-geral ou do conselho de administração, tomar por empréstimo recursos ou bens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ou usar, em proveito próprio, de sociedade em que tenha interesse, ou de terceiros, os seus bens, serviços ou crédito;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c) receber de terceiros, sem autorização estatutária ou da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-geral, qualquer modalidade de vantagem pessoal, direta ou indireta, em razão do exercício de seu cargo.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O conselho de administração ou a diretoria podem autorizar a prática de atos gratuitos razoáveis em benefício dos empregados ou da comunidade de que participe a empresa, tendo em vista suas responsabilidades sociais.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Dever de Lealdade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6" w:name="art155"/>
            <w:bookmarkEnd w:id="6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de administração deve servir com lealdade à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 manter reserva sobre os seus negócios, sendo-lhe vedado: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- usar, em benefício próprio ou de outrem, com ou sem prejuízo para 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as 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oportunidades comerciais de que tenha conhecimento em razão do exercício de seu cargo;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 - omitir-se no exercício ou proteção de direitos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ou, visando à obtenção de vantagens, para si ou para outrem, deixar de aproveitar oportunidades de negócio de interesse da </w:t>
            </w:r>
            <w:r w:rsidR="00B45068">
              <w:rPr>
                <w:rFonts w:ascii="Verdana" w:hAnsi="Verdana" w:cs="Arial"/>
                <w:color w:val="000000"/>
                <w:sz w:val="18"/>
                <w:szCs w:val="18"/>
              </w:rPr>
              <w:t>e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III - adquirir, para revender com lucro, bem ou direito que sabe necessário à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ou que esta tencione adquirir.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Cumpre, ademais, ao conselheiro de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aberta, guardar sigilo sobre qualquer informação que ainda não tenha sido divulgada para conhecimento do mercado, obtida em razão do cargo e capaz de influir de modo ponderável na cotação de valores mobiliários, sendo-lhe vedado valer-se da informação para obter, para si ou para outrem, vantagem mediante compra ou venda de valores mobiliários.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O conselheiro de administração deve zelar para que a violação acima descrita não possa ocorrer através de subordinados ou terceiros de sua confiança.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7" w:name="art155§4"/>
            <w:bookmarkEnd w:id="7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É vedada ao conselheiro de administração a utilização de informação relevante ainda não divulgada, por qualquer pessoa que a ela tenha tido acesso, com a finalidade de auferir vantagem, para si ou para outrem, no mercado de valores mobiliários. 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Conflito de Interesses</w:t>
            </w:r>
            <w:bookmarkStart w:id="8" w:name="art156"/>
            <w:bookmarkEnd w:id="8"/>
          </w:p>
          <w:p w:rsidR="00F67B00" w:rsidRPr="00F67B00" w:rsidRDefault="00F67B00" w:rsidP="00F67B00">
            <w:pPr>
              <w:pStyle w:val="NormalWeb"/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É vedado ao conselheiro intervir em qualquer operação social em que tiver interesse conflitante com o da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bem como na deliberação que a respeito tomarem os demais administradores, cumprindo-lhe cientificá-los do seu impedimento e fazer consignar, em ata de reunião do conselho de administração ou da diretoria, a natureza e extensão do seu interesse.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 contratação somente pode ocorrer em condições razoáveis ou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eqüitativas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idênticas às que prevalecem no mercado ou em que a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contrataria com terceiros.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negócio contratado com infração ao disposto acima é anulável, e o conselheiro interessado será obrigado a transferir para a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as vantagens que dele tiver auferido.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9" w:name="art157"/>
            <w:bookmarkStart w:id="10" w:name="art157§6"/>
            <w:bookmarkEnd w:id="9"/>
            <w:bookmarkEnd w:id="10"/>
            <w:r w:rsidRPr="00F67B0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Responsabilidade dos Administradores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1" w:name="art158"/>
            <w:bookmarkEnd w:id="11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O conselheiro de administração não é pessoalmente responsável pelas obrigações que seu voto possibilitou contrair em nome da sociedade e em virtude de ato regular de gestão; responde, porém, civilmente, pelos prejuízos que causar, quando proceder: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2" w:name="art158i"/>
            <w:bookmarkEnd w:id="12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I - dentro de suas atribuições ou poderes, com culpa ou dolo;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II - com violação da lei ou do estatuto.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3" w:name="art158§1"/>
            <w:bookmarkEnd w:id="13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de administração não é responsável por atos ilícitos de outros conselheiros, salvo se com eles for conivente, se negligenciar em descobri-los ou se, deles tendo conhecimento, deixar de agir para impedir a sua prática. 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Exime-se de responsabilidade o conselheiro dissidente que faça consignar sua divergência em ata de reunião do órgão de administração ou, não sendo possível, dela dê ciência imediata e por escrito ao órgão da administração, no conselho fiscal, se em funcionamento, ou à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-geral.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Os conselheiros de administração são solidariamente responsáveis pelos prejuízos causados em virtude do não cumprimento dos deveres impostos por lei para assegurar o funcionamento normal da </w:t>
            </w:r>
            <w:r w:rsidR="00A53D6D">
              <w:rPr>
                <w:rFonts w:ascii="Verdana" w:hAnsi="Verdana" w:cs="Arial"/>
                <w:color w:val="000000"/>
                <w:sz w:val="18"/>
                <w:szCs w:val="18"/>
              </w:rPr>
              <w:t>empresa estatal municipal</w:t>
            </w: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, ainda que, pelo estatuto, tais deveres não caibam a todos eles.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conselheiro que, tendo conhecimento do não cumprimento desses deveres por seu predecessor, ou pelo administrador competente, deixar de comunicar o fato à </w:t>
            </w:r>
            <w:proofErr w:type="spellStart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assembléia</w:t>
            </w:r>
            <w:proofErr w:type="spellEnd"/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-geral, tornar-se-á por ele solidariamente responsável.</w:t>
            </w:r>
          </w:p>
          <w:p w:rsidR="00F67B00" w:rsidRPr="00F67B00" w:rsidRDefault="00F67B00" w:rsidP="00F67B00">
            <w:pPr>
              <w:pStyle w:val="NormalWeb"/>
              <w:shd w:val="clear" w:color="auto" w:fill="FFFFFF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67B00">
              <w:rPr>
                <w:rFonts w:ascii="Verdana" w:hAnsi="Verdana" w:cs="Arial"/>
                <w:color w:val="000000"/>
                <w:sz w:val="18"/>
                <w:szCs w:val="18"/>
              </w:rPr>
              <w:t>Responderá solidariamente com o administrador/conselheiro quem, com o fim de obter vantagem para si ou para outrem, concorrer para a prática de ato com violação da lei ou do estatuto.</w:t>
            </w:r>
          </w:p>
          <w:p w:rsidR="00613E4E" w:rsidRPr="00613E4E" w:rsidRDefault="00613E4E" w:rsidP="00613E4E">
            <w:pPr>
              <w:pStyle w:val="TableParagraph"/>
              <w:spacing w:before="53"/>
              <w:ind w:left="423" w:right="49"/>
              <w:jc w:val="both"/>
              <w:rPr>
                <w:sz w:val="18"/>
                <w:lang w:val="pt-BR"/>
              </w:rPr>
            </w:pPr>
          </w:p>
          <w:p w:rsidR="001246B6" w:rsidRDefault="005737E0" w:rsidP="004B66F0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  <w:proofErr w:type="gramStart"/>
            <w:r w:rsidRPr="00CE73E8">
              <w:rPr>
                <w:sz w:val="18"/>
                <w:lang w:val="pt-BR"/>
              </w:rPr>
              <w:t>O(</w:t>
            </w:r>
            <w:proofErr w:type="gramEnd"/>
            <w:r w:rsidRPr="00CE73E8">
              <w:rPr>
                <w:sz w:val="18"/>
                <w:lang w:val="pt-BR"/>
              </w:rPr>
              <w:t xml:space="preserve">A) declarante compromete-se tanto pelas obrigações a ele(a) diretamente atribuíveis, quanto a fazer com que a </w:t>
            </w:r>
            <w:r w:rsidR="000C03E5">
              <w:rPr>
                <w:sz w:val="18"/>
                <w:lang w:val="pt-BR"/>
              </w:rPr>
              <w:t xml:space="preserve">empresa estatal municipal </w:t>
            </w:r>
            <w:r w:rsidRPr="00CE73E8">
              <w:rPr>
                <w:sz w:val="18"/>
                <w:lang w:val="pt-BR"/>
              </w:rPr>
              <w:t xml:space="preserve">em que atua cumpra os seus deveres estabelecidos em normas. </w:t>
            </w:r>
          </w:p>
          <w:p w:rsidR="00547C7E" w:rsidRDefault="00547C7E" w:rsidP="001246B6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  <w:p w:rsidR="00764692" w:rsidRDefault="00764692" w:rsidP="00764692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  <w:proofErr w:type="gramStart"/>
            <w:r w:rsidRPr="00CE73E8">
              <w:rPr>
                <w:sz w:val="18"/>
                <w:lang w:val="pt-BR"/>
              </w:rPr>
              <w:t>O(</w:t>
            </w:r>
            <w:proofErr w:type="gramEnd"/>
            <w:r w:rsidRPr="00CE73E8">
              <w:rPr>
                <w:sz w:val="18"/>
                <w:lang w:val="pt-BR"/>
              </w:rPr>
              <w:t xml:space="preserve">A) declarante firma o presente </w:t>
            </w:r>
            <w:r w:rsidRPr="00CE73E8">
              <w:rPr>
                <w:b/>
                <w:sz w:val="18"/>
                <w:lang w:val="pt-BR"/>
              </w:rPr>
              <w:t xml:space="preserve">Termo </w:t>
            </w:r>
            <w:r w:rsidRPr="00CE73E8">
              <w:rPr>
                <w:sz w:val="18"/>
                <w:lang w:val="pt-BR"/>
              </w:rPr>
              <w:t>em duas vias de igual teor e conteúdo, na presença de duas testemunhas signatárias.</w:t>
            </w:r>
          </w:p>
          <w:p w:rsidR="00F67B00" w:rsidRDefault="00F67B00" w:rsidP="00764692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  <w:p w:rsidR="00F67B00" w:rsidRDefault="00F67B00" w:rsidP="00764692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  <w:p w:rsidR="00547C7E" w:rsidRPr="00764692" w:rsidRDefault="00547C7E" w:rsidP="001246B6">
            <w:pPr>
              <w:pStyle w:val="TableParagraph"/>
              <w:spacing w:before="1"/>
              <w:ind w:left="63" w:right="50"/>
              <w:jc w:val="both"/>
              <w:rPr>
                <w:sz w:val="18"/>
                <w:lang w:val="pt-BR"/>
              </w:rPr>
            </w:pPr>
          </w:p>
        </w:tc>
      </w:tr>
      <w:tr w:rsidR="005737E0" w:rsidTr="004B66F0">
        <w:trPr>
          <w:trHeight w:val="348"/>
        </w:trPr>
        <w:tc>
          <w:tcPr>
            <w:tcW w:w="5117" w:type="dxa"/>
          </w:tcPr>
          <w:p w:rsidR="005737E0" w:rsidRDefault="005737E0" w:rsidP="004B66F0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lastRenderedPageBreak/>
              <w:t>Local:</w:t>
            </w:r>
          </w:p>
        </w:tc>
        <w:tc>
          <w:tcPr>
            <w:tcW w:w="4523" w:type="dxa"/>
          </w:tcPr>
          <w:p w:rsidR="005737E0" w:rsidRDefault="005737E0" w:rsidP="004B66F0"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5737E0" w:rsidRPr="00423F78" w:rsidTr="004B66F0">
        <w:trPr>
          <w:trHeight w:val="1081"/>
        </w:trPr>
        <w:tc>
          <w:tcPr>
            <w:tcW w:w="9640" w:type="dxa"/>
            <w:gridSpan w:val="2"/>
          </w:tcPr>
          <w:p w:rsidR="005737E0" w:rsidRDefault="005737E0" w:rsidP="004B66F0">
            <w:pPr>
              <w:pStyle w:val="TableParagraph"/>
              <w:rPr>
                <w:b/>
                <w:sz w:val="20"/>
              </w:rPr>
            </w:pPr>
          </w:p>
          <w:p w:rsidR="005737E0" w:rsidRDefault="005737E0" w:rsidP="004B66F0">
            <w:pPr>
              <w:pStyle w:val="TableParagraph"/>
              <w:rPr>
                <w:b/>
                <w:sz w:val="20"/>
              </w:rPr>
            </w:pPr>
          </w:p>
          <w:p w:rsidR="005737E0" w:rsidRDefault="005737E0" w:rsidP="004B66F0">
            <w:pPr>
              <w:pStyle w:val="TableParagraph"/>
              <w:spacing w:before="5"/>
              <w:rPr>
                <w:b/>
              </w:rPr>
            </w:pPr>
          </w:p>
          <w:p w:rsidR="005737E0" w:rsidRDefault="005737E0" w:rsidP="004B66F0">
            <w:pPr>
              <w:pStyle w:val="TableParagraph"/>
              <w:spacing w:line="20" w:lineRule="exact"/>
              <w:ind w:left="27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31E8EE" wp14:editId="47C1E15B">
                      <wp:extent cx="2585720" cy="7620"/>
                      <wp:effectExtent l="10160" t="5080" r="4445" b="635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7620"/>
                                <a:chOff x="0" y="0"/>
                                <a:chExt cx="4072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0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">
                      <v:line id="Line 3" o:spid="_x0000_s1027" style="position:absolute;visibility:visible;mso-wrap-style:square" from="0,6" to="40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Vy8QAAADaAAAADwAAAGRycy9kb3ducmV2LnhtbESPT2sCMRTE7wW/Q3iCt5rUg5TVrBRL&#10;i4KU1j+wx+fmubs2eVk2qa7fvikUPA4z8xtmvuidFRfqQuNZw9NYgSAuvWm40rDfvT0+gwgR2aD1&#10;TBpuFGCRDx7mmBl/5S+6bGMlEoRDhhrqGNtMylDW5DCMfUucvJPvHMYku0qaDq8J7qycKDWVDhtO&#10;CzW2tKyp/N7+OA3qdl4q+7lpX4/r8+Y9FDYWHwetR8P+ZQYiUh/v4f/2ymiYwN+Vd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RXLxAAAANoAAAAPAAAAAAAAAAAA&#10;AAAAAKECAABkcnMvZG93bnJldi54bWxQSwUGAAAAAAQABAD5AAAAkgMAAAAA&#10;" strokeweight=".20856mm"/>
                      <w10:anchorlock/>
                    </v:group>
                  </w:pict>
                </mc:Fallback>
              </mc:AlternateContent>
            </w:r>
          </w:p>
          <w:p w:rsidR="005737E0" w:rsidRPr="00CE73E8" w:rsidRDefault="005737E0" w:rsidP="004B66F0">
            <w:pPr>
              <w:pStyle w:val="TableParagraph"/>
              <w:spacing w:before="5"/>
              <w:ind w:left="3213"/>
              <w:rPr>
                <w:sz w:val="20"/>
                <w:lang w:val="pt-BR"/>
              </w:rPr>
            </w:pPr>
            <w:r w:rsidRPr="00CE73E8">
              <w:rPr>
                <w:sz w:val="20"/>
                <w:lang w:val="pt-BR"/>
              </w:rPr>
              <w:t xml:space="preserve">Assinatura </w:t>
            </w:r>
            <w:proofErr w:type="gramStart"/>
            <w:r w:rsidRPr="00CE73E8">
              <w:rPr>
                <w:sz w:val="20"/>
                <w:lang w:val="pt-BR"/>
              </w:rPr>
              <w:t>do(</w:t>
            </w:r>
            <w:proofErr w:type="gramEnd"/>
            <w:r w:rsidRPr="00CE73E8">
              <w:rPr>
                <w:sz w:val="20"/>
                <w:lang w:val="pt-BR"/>
              </w:rPr>
              <w:t>a) Conselheiro(a)</w:t>
            </w:r>
          </w:p>
        </w:tc>
      </w:tr>
      <w:tr w:rsidR="002D322C" w:rsidRPr="00423F78" w:rsidTr="00BD3561">
        <w:trPr>
          <w:trHeight w:val="348"/>
        </w:trPr>
        <w:tc>
          <w:tcPr>
            <w:tcW w:w="5117" w:type="dxa"/>
          </w:tcPr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 xml:space="preserve">Testemunha </w:t>
            </w:r>
            <w:proofErr w:type="gramStart"/>
            <w:r w:rsidRPr="00F67B00">
              <w:rPr>
                <w:sz w:val="20"/>
                <w:lang w:val="pt-BR"/>
              </w:rPr>
              <w:t>1</w:t>
            </w:r>
            <w:proofErr w:type="gramEnd"/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Nome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CPF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RG:</w:t>
            </w:r>
          </w:p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Assinatura:</w:t>
            </w:r>
          </w:p>
        </w:tc>
        <w:tc>
          <w:tcPr>
            <w:tcW w:w="4523" w:type="dxa"/>
          </w:tcPr>
          <w:p w:rsidR="002D322C" w:rsidRPr="00F67B00" w:rsidRDefault="002D322C" w:rsidP="00BD3561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 xml:space="preserve">Testemunha </w:t>
            </w:r>
            <w:proofErr w:type="gramStart"/>
            <w:r w:rsidRPr="00F67B00">
              <w:rPr>
                <w:sz w:val="20"/>
                <w:lang w:val="pt-BR"/>
              </w:rPr>
              <w:t>2</w:t>
            </w:r>
            <w:proofErr w:type="gramEnd"/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Nome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CPF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RG:</w:t>
            </w:r>
          </w:p>
          <w:p w:rsidR="002D322C" w:rsidRPr="00F67B00" w:rsidRDefault="002D322C" w:rsidP="002D322C">
            <w:pPr>
              <w:pStyle w:val="TableParagraph"/>
              <w:spacing w:before="52"/>
              <w:ind w:left="53"/>
              <w:rPr>
                <w:sz w:val="20"/>
                <w:lang w:val="pt-BR"/>
              </w:rPr>
            </w:pPr>
            <w:r w:rsidRPr="00F67B00">
              <w:rPr>
                <w:sz w:val="20"/>
                <w:lang w:val="pt-BR"/>
              </w:rPr>
              <w:t>Assinatura:</w:t>
            </w:r>
          </w:p>
        </w:tc>
      </w:tr>
    </w:tbl>
    <w:p w:rsidR="005737E0" w:rsidRPr="00CE73E8" w:rsidRDefault="005737E0" w:rsidP="005737E0">
      <w:pPr>
        <w:rPr>
          <w:sz w:val="20"/>
          <w:lang w:val="pt-BR"/>
        </w:rPr>
        <w:sectPr w:rsidR="005737E0" w:rsidRPr="00CE73E8" w:rsidSect="005F2B3A">
          <w:headerReference w:type="default" r:id="rId9"/>
          <w:pgSz w:w="11910" w:h="16840"/>
          <w:pgMar w:top="3119" w:right="740" w:bottom="1100" w:left="760" w:header="1297" w:footer="902" w:gutter="0"/>
          <w:cols w:space="720"/>
        </w:sectPr>
      </w:pPr>
    </w:p>
    <w:p w:rsidR="00DD5060" w:rsidRPr="005737E0" w:rsidRDefault="00DD5060" w:rsidP="00F67B00">
      <w:pPr>
        <w:rPr>
          <w:lang w:val="pt-BR"/>
        </w:rPr>
      </w:pPr>
    </w:p>
    <w:sectPr w:rsidR="00DD5060" w:rsidRPr="00573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3A" w:rsidRDefault="005F2B3A" w:rsidP="005F2B3A">
      <w:r>
        <w:separator/>
      </w:r>
    </w:p>
  </w:endnote>
  <w:endnote w:type="continuationSeparator" w:id="0">
    <w:p w:rsidR="005F2B3A" w:rsidRDefault="005F2B3A" w:rsidP="005F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3A" w:rsidRDefault="005F2B3A" w:rsidP="005F2B3A">
      <w:r>
        <w:separator/>
      </w:r>
    </w:p>
  </w:footnote>
  <w:footnote w:type="continuationSeparator" w:id="0">
    <w:p w:rsidR="005F2B3A" w:rsidRDefault="005F2B3A" w:rsidP="005F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00" w:rsidRDefault="00F67B00">
    <w:pPr>
      <w:pStyle w:val="Cabealho"/>
    </w:pPr>
    <w:r w:rsidRPr="00F67B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92986" wp14:editId="1EBAA810">
              <wp:simplePos x="0" y="0"/>
              <wp:positionH relativeFrom="column">
                <wp:posOffset>157646</wp:posOffset>
              </wp:positionH>
              <wp:positionV relativeFrom="paragraph">
                <wp:posOffset>-543560</wp:posOffset>
              </wp:positionV>
              <wp:extent cx="6122035" cy="802640"/>
              <wp:effectExtent l="0" t="0" r="12065" b="1651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035" cy="8026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B00" w:rsidRDefault="00F67B00" w:rsidP="00F67B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819EBB8" wp14:editId="6574B308">
                                <wp:extent cx="1713579" cy="707666"/>
                                <wp:effectExtent l="0" t="0" r="127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3735" cy="707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6" o:spid="_x0000_s1026" style="position:absolute;margin-left:12.4pt;margin-top:-42.8pt;width:48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" fillcolor="white [3201]" strokecolor="black [3213]" strokeweight="2pt">
              <v:textbox>
                <w:txbxContent>
                  <w:p w:rsidR="00F67B00" w:rsidRDefault="00F67B00" w:rsidP="00F67B00">
                    <w:pPr>
                      <w:jc w:val="center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819EBB8" wp14:editId="6574B308">
                          <wp:extent cx="1713579" cy="707666"/>
                          <wp:effectExtent l="0" t="0" r="127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3735" cy="70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F2B3A" w:rsidRDefault="00F67B00">
    <w:pPr>
      <w:pStyle w:val="Cabealho"/>
    </w:pPr>
    <w:r w:rsidRPr="00F67B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E31FE" wp14:editId="7660E8B6">
              <wp:simplePos x="0" y="0"/>
              <wp:positionH relativeFrom="column">
                <wp:posOffset>158915</wp:posOffset>
              </wp:positionH>
              <wp:positionV relativeFrom="paragraph">
                <wp:posOffset>184785</wp:posOffset>
              </wp:positionV>
              <wp:extent cx="6122035" cy="802640"/>
              <wp:effectExtent l="0" t="0" r="12065" b="1651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035" cy="802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B00" w:rsidRPr="005737E0" w:rsidRDefault="00F67B00" w:rsidP="00F67B00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t>TERMO DE COMPROMISSO DE CONSELHEIRO DE ADMINISTRAÇÃO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7" style="position:absolute;margin-left:12.5pt;margin-top:14.55pt;width:482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" fillcolor="white [3212]" strokecolor="black [3213]" strokeweight="2pt">
              <v:textbox>
                <w:txbxContent>
                  <w:p w:rsidR="00F67B00" w:rsidRPr="005737E0" w:rsidRDefault="00F67B00" w:rsidP="00F67B00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t>TERMO DE COMPROMISSO DE CONSELHEIRO DE ADMINISTRAÇÃO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E4"/>
    <w:multiLevelType w:val="hybridMultilevel"/>
    <w:tmpl w:val="3FF4BFFE"/>
    <w:lvl w:ilvl="0" w:tplc="0B201626">
      <w:start w:val="1"/>
      <w:numFmt w:val="upperLetter"/>
      <w:lvlText w:val="%1)"/>
      <w:lvlJc w:val="left"/>
      <w:pPr>
        <w:ind w:left="680" w:hanging="399"/>
        <w:jc w:val="left"/>
      </w:pPr>
      <w:rPr>
        <w:rFonts w:ascii="Verdana" w:eastAsia="Verdana" w:hAnsi="Verdana" w:cs="Verdana" w:hint="default"/>
        <w:b/>
        <w:bCs/>
        <w:color w:val="4F81BD"/>
        <w:spacing w:val="-1"/>
        <w:w w:val="99"/>
        <w:sz w:val="24"/>
        <w:szCs w:val="24"/>
      </w:rPr>
    </w:lvl>
    <w:lvl w:ilvl="1" w:tplc="14229D7A">
      <w:numFmt w:val="bullet"/>
      <w:lvlText w:val="•"/>
      <w:lvlJc w:val="left"/>
      <w:pPr>
        <w:ind w:left="1652" w:hanging="399"/>
      </w:pPr>
      <w:rPr>
        <w:rFonts w:hint="default"/>
      </w:rPr>
    </w:lvl>
    <w:lvl w:ilvl="2" w:tplc="FC725254">
      <w:numFmt w:val="bullet"/>
      <w:lvlText w:val="•"/>
      <w:lvlJc w:val="left"/>
      <w:pPr>
        <w:ind w:left="2625" w:hanging="399"/>
      </w:pPr>
      <w:rPr>
        <w:rFonts w:hint="default"/>
      </w:rPr>
    </w:lvl>
    <w:lvl w:ilvl="3" w:tplc="D35041D6">
      <w:numFmt w:val="bullet"/>
      <w:lvlText w:val="•"/>
      <w:lvlJc w:val="left"/>
      <w:pPr>
        <w:ind w:left="3598" w:hanging="399"/>
      </w:pPr>
      <w:rPr>
        <w:rFonts w:hint="default"/>
      </w:rPr>
    </w:lvl>
    <w:lvl w:ilvl="4" w:tplc="F9CA41B6">
      <w:numFmt w:val="bullet"/>
      <w:lvlText w:val="•"/>
      <w:lvlJc w:val="left"/>
      <w:pPr>
        <w:ind w:left="4571" w:hanging="399"/>
      </w:pPr>
      <w:rPr>
        <w:rFonts w:hint="default"/>
      </w:rPr>
    </w:lvl>
    <w:lvl w:ilvl="5" w:tplc="374EFF38">
      <w:numFmt w:val="bullet"/>
      <w:lvlText w:val="•"/>
      <w:lvlJc w:val="left"/>
      <w:pPr>
        <w:ind w:left="5543" w:hanging="399"/>
      </w:pPr>
      <w:rPr>
        <w:rFonts w:hint="default"/>
      </w:rPr>
    </w:lvl>
    <w:lvl w:ilvl="6" w:tplc="BADC2D24">
      <w:numFmt w:val="bullet"/>
      <w:lvlText w:val="•"/>
      <w:lvlJc w:val="left"/>
      <w:pPr>
        <w:ind w:left="6516" w:hanging="399"/>
      </w:pPr>
      <w:rPr>
        <w:rFonts w:hint="default"/>
      </w:rPr>
    </w:lvl>
    <w:lvl w:ilvl="7" w:tplc="41549B8A">
      <w:numFmt w:val="bullet"/>
      <w:lvlText w:val="•"/>
      <w:lvlJc w:val="left"/>
      <w:pPr>
        <w:ind w:left="7489" w:hanging="399"/>
      </w:pPr>
      <w:rPr>
        <w:rFonts w:hint="default"/>
      </w:rPr>
    </w:lvl>
    <w:lvl w:ilvl="8" w:tplc="65F26D24">
      <w:numFmt w:val="bullet"/>
      <w:lvlText w:val="•"/>
      <w:lvlJc w:val="left"/>
      <w:pPr>
        <w:ind w:left="8462" w:hanging="399"/>
      </w:pPr>
      <w:rPr>
        <w:rFonts w:hint="default"/>
      </w:rPr>
    </w:lvl>
  </w:abstractNum>
  <w:abstractNum w:abstractNumId="1">
    <w:nsid w:val="12C00355"/>
    <w:multiLevelType w:val="hybridMultilevel"/>
    <w:tmpl w:val="7AB267EA"/>
    <w:lvl w:ilvl="0" w:tplc="3B6860AE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3" w:hanging="360"/>
      </w:pPr>
    </w:lvl>
    <w:lvl w:ilvl="2" w:tplc="0416001B" w:tentative="1">
      <w:start w:val="1"/>
      <w:numFmt w:val="lowerRoman"/>
      <w:lvlText w:val="%3."/>
      <w:lvlJc w:val="right"/>
      <w:pPr>
        <w:ind w:left="1863" w:hanging="180"/>
      </w:pPr>
    </w:lvl>
    <w:lvl w:ilvl="3" w:tplc="0416000F" w:tentative="1">
      <w:start w:val="1"/>
      <w:numFmt w:val="decimal"/>
      <w:lvlText w:val="%4."/>
      <w:lvlJc w:val="left"/>
      <w:pPr>
        <w:ind w:left="2583" w:hanging="360"/>
      </w:pPr>
    </w:lvl>
    <w:lvl w:ilvl="4" w:tplc="04160019" w:tentative="1">
      <w:start w:val="1"/>
      <w:numFmt w:val="lowerLetter"/>
      <w:lvlText w:val="%5."/>
      <w:lvlJc w:val="left"/>
      <w:pPr>
        <w:ind w:left="3303" w:hanging="360"/>
      </w:pPr>
    </w:lvl>
    <w:lvl w:ilvl="5" w:tplc="0416001B" w:tentative="1">
      <w:start w:val="1"/>
      <w:numFmt w:val="lowerRoman"/>
      <w:lvlText w:val="%6."/>
      <w:lvlJc w:val="right"/>
      <w:pPr>
        <w:ind w:left="4023" w:hanging="180"/>
      </w:pPr>
    </w:lvl>
    <w:lvl w:ilvl="6" w:tplc="0416000F" w:tentative="1">
      <w:start w:val="1"/>
      <w:numFmt w:val="decimal"/>
      <w:lvlText w:val="%7."/>
      <w:lvlJc w:val="left"/>
      <w:pPr>
        <w:ind w:left="4743" w:hanging="360"/>
      </w:pPr>
    </w:lvl>
    <w:lvl w:ilvl="7" w:tplc="04160019" w:tentative="1">
      <w:start w:val="1"/>
      <w:numFmt w:val="lowerLetter"/>
      <w:lvlText w:val="%8."/>
      <w:lvlJc w:val="left"/>
      <w:pPr>
        <w:ind w:left="5463" w:hanging="360"/>
      </w:pPr>
    </w:lvl>
    <w:lvl w:ilvl="8" w:tplc="0416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0"/>
    <w:rsid w:val="000C03E5"/>
    <w:rsid w:val="001246B6"/>
    <w:rsid w:val="001A0873"/>
    <w:rsid w:val="001E4459"/>
    <w:rsid w:val="002337F9"/>
    <w:rsid w:val="002D322C"/>
    <w:rsid w:val="0037466E"/>
    <w:rsid w:val="003B3563"/>
    <w:rsid w:val="004118E8"/>
    <w:rsid w:val="00423F78"/>
    <w:rsid w:val="005429D7"/>
    <w:rsid w:val="00547C7E"/>
    <w:rsid w:val="005737E0"/>
    <w:rsid w:val="005F2B3A"/>
    <w:rsid w:val="00613E4E"/>
    <w:rsid w:val="00764692"/>
    <w:rsid w:val="00A24386"/>
    <w:rsid w:val="00A271A0"/>
    <w:rsid w:val="00A53D6D"/>
    <w:rsid w:val="00B45068"/>
    <w:rsid w:val="00CA79B8"/>
    <w:rsid w:val="00DD5060"/>
    <w:rsid w:val="00EF45CF"/>
    <w:rsid w:val="00F063ED"/>
    <w:rsid w:val="00F67B00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7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4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737E0"/>
    <w:pPr>
      <w:ind w:left="124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737E0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73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37E0"/>
  </w:style>
  <w:style w:type="character" w:customStyle="1" w:styleId="CorpodetextoChar">
    <w:name w:val="Corpo de texto Char"/>
    <w:basedOn w:val="Fontepargpadro"/>
    <w:link w:val="Corpodetexto"/>
    <w:uiPriority w:val="1"/>
    <w:rsid w:val="005737E0"/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5737E0"/>
  </w:style>
  <w:style w:type="paragraph" w:styleId="Textodebalo">
    <w:name w:val="Balloon Text"/>
    <w:basedOn w:val="Normal"/>
    <w:link w:val="TextodebaloChar"/>
    <w:uiPriority w:val="99"/>
    <w:semiHidden/>
    <w:unhideWhenUsed/>
    <w:rsid w:val="00573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E0"/>
    <w:rPr>
      <w:rFonts w:ascii="Tahoma" w:eastAsia="Verdan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4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1E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E44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3E4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185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3A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3A"/>
    <w:rPr>
      <w:rFonts w:ascii="Verdana" w:eastAsia="Verdana" w:hAnsi="Verdana" w:cs="Verdana"/>
      <w:lang w:val="en-US"/>
    </w:rPr>
  </w:style>
  <w:style w:type="paragraph" w:customStyle="1" w:styleId="artigo">
    <w:name w:val="artigo"/>
    <w:basedOn w:val="Normal"/>
    <w:rsid w:val="00F67B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7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4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737E0"/>
    <w:pPr>
      <w:ind w:left="124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737E0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73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37E0"/>
  </w:style>
  <w:style w:type="character" w:customStyle="1" w:styleId="CorpodetextoChar">
    <w:name w:val="Corpo de texto Char"/>
    <w:basedOn w:val="Fontepargpadro"/>
    <w:link w:val="Corpodetexto"/>
    <w:uiPriority w:val="1"/>
    <w:rsid w:val="005737E0"/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5737E0"/>
  </w:style>
  <w:style w:type="paragraph" w:styleId="Textodebalo">
    <w:name w:val="Balloon Text"/>
    <w:basedOn w:val="Normal"/>
    <w:link w:val="TextodebaloChar"/>
    <w:uiPriority w:val="99"/>
    <w:semiHidden/>
    <w:unhideWhenUsed/>
    <w:rsid w:val="00573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E0"/>
    <w:rPr>
      <w:rFonts w:ascii="Tahoma" w:eastAsia="Verdan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4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1E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E44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3E4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185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3A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5F2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3A"/>
    <w:rPr>
      <w:rFonts w:ascii="Verdana" w:eastAsia="Verdana" w:hAnsi="Verdana" w:cs="Verdana"/>
      <w:lang w:val="en-US"/>
    </w:rPr>
  </w:style>
  <w:style w:type="paragraph" w:customStyle="1" w:styleId="artigo">
    <w:name w:val="artigo"/>
    <w:basedOn w:val="Normal"/>
    <w:rsid w:val="00F67B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B39767-C566-4951-A772-CF65DE52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1762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 Barcelos</dc:creator>
  <cp:lastModifiedBy>Daniel Ribeiro Barcelos</cp:lastModifiedBy>
  <cp:revision>6</cp:revision>
  <cp:lastPrinted>2018-08-22T19:59:00Z</cp:lastPrinted>
  <dcterms:created xsi:type="dcterms:W3CDTF">2018-08-22T19:27:00Z</dcterms:created>
  <dcterms:modified xsi:type="dcterms:W3CDTF">2018-08-22T20:00:00Z</dcterms:modified>
</cp:coreProperties>
</file>