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25" w:rsidRDefault="00164825" w:rsidP="00164825">
      <w:pPr>
        <w:pStyle w:val="Corpodetexto"/>
        <w:rPr>
          <w:b/>
          <w:bCs/>
        </w:rPr>
      </w:pPr>
      <w:r>
        <w:rPr>
          <w:b/>
          <w:bCs/>
        </w:rPr>
        <w:t>Secretaria de Cultura e Economia Criativa</w:t>
      </w:r>
    </w:p>
    <w:p w:rsidR="00164825" w:rsidRDefault="00164825" w:rsidP="00164825">
      <w:pPr>
        <w:pStyle w:val="Corpodetexto"/>
        <w:rPr>
          <w:b/>
          <w:bCs/>
        </w:rPr>
      </w:pPr>
      <w:r>
        <w:rPr>
          <w:b/>
          <w:bCs/>
        </w:rPr>
        <w:t xml:space="preserve">CONDEPHAAT – Conselho de Defesa do Patrimônio Histórico, Arqueológico, Artístico e Turístico do Estado de São </w:t>
      </w:r>
      <w:proofErr w:type="gramStart"/>
      <w:r>
        <w:rPr>
          <w:b/>
          <w:bCs/>
        </w:rPr>
        <w:t>Paulo</w:t>
      </w:r>
      <w:proofErr w:type="gramEnd"/>
    </w:p>
    <w:p w:rsidR="00164825" w:rsidRDefault="00164825" w:rsidP="00164825">
      <w:pPr>
        <w:pBdr>
          <w:bottom w:val="single" w:sz="12" w:space="1" w:color="auto"/>
        </w:pBdr>
        <w:jc w:val="center"/>
        <w:rPr>
          <w:rFonts w:ascii="Arial" w:hAnsi="Arial" w:cs="Arial"/>
        </w:rPr>
      </w:pPr>
    </w:p>
    <w:p w:rsidR="003D7340" w:rsidRPr="00164825" w:rsidRDefault="003D7340">
      <w:pPr>
        <w:rPr>
          <w:b/>
        </w:rPr>
      </w:pPr>
      <w:r w:rsidRPr="00164825">
        <w:rPr>
          <w:b/>
        </w:rPr>
        <w:t xml:space="preserve">Resolução SC </w:t>
      </w:r>
      <w:r w:rsidR="008232A9" w:rsidRPr="00164825">
        <w:rPr>
          <w:b/>
        </w:rPr>
        <w:t>3</w:t>
      </w:r>
      <w:r w:rsidR="00D10C5B" w:rsidRPr="00164825">
        <w:rPr>
          <w:b/>
        </w:rPr>
        <w:t>5</w:t>
      </w:r>
      <w:r w:rsidRPr="00164825">
        <w:rPr>
          <w:b/>
        </w:rPr>
        <w:t xml:space="preserve">, de </w:t>
      </w:r>
      <w:proofErr w:type="gramStart"/>
      <w:r w:rsidRPr="00164825">
        <w:rPr>
          <w:b/>
        </w:rPr>
        <w:t>19 dezembro</w:t>
      </w:r>
      <w:proofErr w:type="gramEnd"/>
      <w:r w:rsidRPr="00164825">
        <w:rPr>
          <w:b/>
        </w:rPr>
        <w:t xml:space="preserve"> de 2019, publicada no DOE de 21/12/2019, pág. </w:t>
      </w:r>
      <w:r w:rsidR="00C94B7F" w:rsidRPr="00164825">
        <w:rPr>
          <w:b/>
        </w:rPr>
        <w:t>7</w:t>
      </w:r>
      <w:r w:rsidR="006810B1" w:rsidRPr="00164825">
        <w:rPr>
          <w:b/>
        </w:rPr>
        <w:t>6</w:t>
      </w:r>
      <w:r w:rsidR="00D10C5B" w:rsidRPr="00164825">
        <w:rPr>
          <w:b/>
        </w:rPr>
        <w:t xml:space="preserve"> e 77</w:t>
      </w:r>
    </w:p>
    <w:p w:rsidR="00164825" w:rsidRDefault="00164825" w:rsidP="00D10C5B">
      <w:pPr>
        <w:ind w:left="3969"/>
        <w:jc w:val="both"/>
        <w:rPr>
          <w:i/>
          <w:iCs/>
        </w:rPr>
      </w:pPr>
    </w:p>
    <w:p w:rsidR="00D10C5B" w:rsidRPr="00164825" w:rsidRDefault="00D10C5B" w:rsidP="00D10C5B">
      <w:pPr>
        <w:ind w:left="3969"/>
        <w:jc w:val="both"/>
        <w:rPr>
          <w:rFonts w:ascii="Arial" w:hAnsi="Arial" w:cs="Arial"/>
          <w:i/>
          <w:iCs/>
          <w:sz w:val="20"/>
          <w:szCs w:val="20"/>
        </w:rPr>
      </w:pPr>
      <w:r w:rsidRPr="00164825">
        <w:rPr>
          <w:rFonts w:ascii="Arial" w:hAnsi="Arial" w:cs="Arial"/>
          <w:i/>
          <w:iCs/>
          <w:sz w:val="20"/>
          <w:szCs w:val="20"/>
        </w:rPr>
        <w:t xml:space="preserve">Dispõe sobre o tombamento do Terreiro de Candomblé Santa Bárbara, situado na Rua Ruiva 90, nesta </w:t>
      </w:r>
      <w:proofErr w:type="gramStart"/>
      <w:r w:rsidRPr="00164825">
        <w:rPr>
          <w:rFonts w:ascii="Arial" w:hAnsi="Arial" w:cs="Arial"/>
          <w:i/>
          <w:iCs/>
          <w:sz w:val="20"/>
          <w:szCs w:val="20"/>
        </w:rPr>
        <w:t>Capital</w:t>
      </w:r>
      <w:proofErr w:type="gramEnd"/>
    </w:p>
    <w:p w:rsidR="00D10C5B" w:rsidRDefault="00D10C5B" w:rsidP="00164825">
      <w:pPr>
        <w:spacing w:line="360" w:lineRule="auto"/>
      </w:pPr>
    </w:p>
    <w:p w:rsidR="00164825" w:rsidRDefault="00D10C5B" w:rsidP="00164825">
      <w:pPr>
        <w:spacing w:line="360" w:lineRule="auto"/>
        <w:ind w:firstLine="567"/>
        <w:jc w:val="both"/>
        <w:rPr>
          <w:rFonts w:ascii="Arial" w:hAnsi="Arial" w:cs="Arial"/>
          <w:sz w:val="20"/>
          <w:szCs w:val="20"/>
        </w:rPr>
      </w:pPr>
      <w:r w:rsidRPr="00164825">
        <w:rPr>
          <w:rFonts w:ascii="Arial" w:hAnsi="Arial" w:cs="Arial"/>
          <w:sz w:val="20"/>
          <w:szCs w:val="20"/>
        </w:rPr>
        <w:t xml:space="preserve">O Secretário de Cultura e Economia Criativa do Estado de São Paulo, nos termos do artigo 1º do Decreto Lei 149, de 15-08-1969, e do Decreto Estadual 13.426, de 16-03-1979, cujos artigos 134 a 149 permanecem em vigor por força do artigo 158 do Decreto 50.941 de 05-07-2006, com nova redação dada ao artigo 137, que foi alterada pelo Decreto 48.137, de </w:t>
      </w:r>
      <w:proofErr w:type="gramStart"/>
      <w:r w:rsidRPr="00164825">
        <w:rPr>
          <w:rFonts w:ascii="Arial" w:hAnsi="Arial" w:cs="Arial"/>
          <w:sz w:val="20"/>
          <w:szCs w:val="20"/>
        </w:rPr>
        <w:t>7</w:t>
      </w:r>
      <w:proofErr w:type="gramEnd"/>
      <w:r w:rsidRPr="00164825">
        <w:rPr>
          <w:rFonts w:ascii="Arial" w:hAnsi="Arial" w:cs="Arial"/>
          <w:sz w:val="20"/>
          <w:szCs w:val="20"/>
        </w:rPr>
        <w:t xml:space="preserve"> de outubro de 2003, </w:t>
      </w:r>
    </w:p>
    <w:p w:rsidR="00164825" w:rsidRDefault="00164825" w:rsidP="00164825">
      <w:pPr>
        <w:spacing w:line="360" w:lineRule="auto"/>
        <w:ind w:firstLine="567"/>
        <w:jc w:val="both"/>
        <w:rPr>
          <w:rFonts w:ascii="Arial" w:hAnsi="Arial" w:cs="Arial"/>
          <w:sz w:val="20"/>
          <w:szCs w:val="20"/>
        </w:rPr>
      </w:pPr>
      <w:r w:rsidRPr="00164825">
        <w:rPr>
          <w:rFonts w:ascii="Arial" w:hAnsi="Arial" w:cs="Arial"/>
          <w:b/>
          <w:sz w:val="20"/>
          <w:szCs w:val="20"/>
        </w:rPr>
        <w:t>CONSIDERANDO</w:t>
      </w:r>
      <w:r w:rsidR="00D10C5B" w:rsidRPr="00164825">
        <w:rPr>
          <w:rFonts w:ascii="Arial" w:hAnsi="Arial" w:cs="Arial"/>
          <w:sz w:val="20"/>
          <w:szCs w:val="20"/>
        </w:rPr>
        <w:t xml:space="preserve">: </w:t>
      </w:r>
    </w:p>
    <w:p w:rsidR="00164825" w:rsidRDefault="00D10C5B" w:rsidP="00164825">
      <w:pPr>
        <w:spacing w:line="360" w:lineRule="auto"/>
        <w:ind w:firstLine="567"/>
        <w:jc w:val="both"/>
        <w:rPr>
          <w:rFonts w:ascii="Arial" w:hAnsi="Arial" w:cs="Arial"/>
          <w:sz w:val="20"/>
          <w:szCs w:val="20"/>
        </w:rPr>
      </w:pPr>
      <w:r w:rsidRPr="00164825">
        <w:rPr>
          <w:rFonts w:ascii="Arial" w:hAnsi="Arial" w:cs="Arial"/>
          <w:b/>
          <w:sz w:val="20"/>
          <w:szCs w:val="20"/>
        </w:rPr>
        <w:t>As</w:t>
      </w:r>
      <w:r w:rsidRPr="00164825">
        <w:rPr>
          <w:rFonts w:ascii="Arial" w:hAnsi="Arial" w:cs="Arial"/>
          <w:sz w:val="20"/>
          <w:szCs w:val="20"/>
        </w:rPr>
        <w:t xml:space="preserve"> manifestações constantes do Processo CONDEPHAAT 81175/18, o qual foi apreciado pelo Conselho de Defesa do Patrimônio Histórico, Arqueológico, Artístico e Turístico do Estado de São Paulo – CONDEPHAAT - em Sessão Ordinária de 28-01- 2019</w:t>
      </w:r>
      <w:proofErr w:type="gramStart"/>
      <w:r w:rsidRPr="00164825">
        <w:rPr>
          <w:rFonts w:ascii="Arial" w:hAnsi="Arial" w:cs="Arial"/>
          <w:sz w:val="20"/>
          <w:szCs w:val="20"/>
        </w:rPr>
        <w:t>, Ata</w:t>
      </w:r>
      <w:proofErr w:type="gramEnd"/>
      <w:r w:rsidRPr="00164825">
        <w:rPr>
          <w:rFonts w:ascii="Arial" w:hAnsi="Arial" w:cs="Arial"/>
          <w:sz w:val="20"/>
          <w:szCs w:val="20"/>
        </w:rPr>
        <w:t xml:space="preserve"> 1948, cuja deliberação foi favorável ao tombamento do Terreiro de Candomblé Santa Bárbara, situado na Rua Ruiva 90, nesta Capital, sendo a minuta de Resolução de Tombamento também aprovada na mesma sessão;</w:t>
      </w:r>
    </w:p>
    <w:p w:rsidR="00164825" w:rsidRDefault="00D10C5B" w:rsidP="00164825">
      <w:pPr>
        <w:spacing w:line="360" w:lineRule="auto"/>
        <w:ind w:firstLine="567"/>
        <w:jc w:val="both"/>
        <w:rPr>
          <w:rFonts w:ascii="Arial" w:hAnsi="Arial" w:cs="Arial"/>
          <w:sz w:val="20"/>
          <w:szCs w:val="20"/>
        </w:rPr>
      </w:pPr>
      <w:r w:rsidRPr="00164825">
        <w:rPr>
          <w:rFonts w:ascii="Arial" w:hAnsi="Arial" w:cs="Arial"/>
          <w:b/>
          <w:sz w:val="20"/>
          <w:szCs w:val="20"/>
        </w:rPr>
        <w:t xml:space="preserve">A </w:t>
      </w:r>
      <w:r w:rsidRPr="00164825">
        <w:rPr>
          <w:rFonts w:ascii="Arial" w:hAnsi="Arial" w:cs="Arial"/>
          <w:sz w:val="20"/>
          <w:szCs w:val="20"/>
        </w:rPr>
        <w:t xml:space="preserve">inegável participação das religiões de matriz africana na formação da cultura brasileira, em termos de festividades coletivas (carnaval, maracatu, afoxé, festas de largo, congadas), em diversos campos artísticos e estéticos (samba, capoeira, literatura, cinema), nas práticas alimentares (feijoada, acarajé), enfim, na formação de um </w:t>
      </w:r>
      <w:proofErr w:type="spellStart"/>
      <w:r w:rsidRPr="00164825">
        <w:rPr>
          <w:rFonts w:ascii="Arial" w:hAnsi="Arial" w:cs="Arial"/>
          <w:sz w:val="20"/>
          <w:szCs w:val="20"/>
        </w:rPr>
        <w:t>ethos</w:t>
      </w:r>
      <w:proofErr w:type="spellEnd"/>
      <w:r w:rsidRPr="00164825">
        <w:rPr>
          <w:rFonts w:ascii="Arial" w:hAnsi="Arial" w:cs="Arial"/>
          <w:sz w:val="20"/>
          <w:szCs w:val="20"/>
        </w:rPr>
        <w:t xml:space="preserve"> reconhecível como um legado nacional e africano em nossa identida</w:t>
      </w:r>
      <w:r w:rsidR="00164825">
        <w:rPr>
          <w:rFonts w:ascii="Arial" w:hAnsi="Arial" w:cs="Arial"/>
          <w:sz w:val="20"/>
          <w:szCs w:val="20"/>
        </w:rPr>
        <w:t>de multiétnica e multicultural;</w:t>
      </w:r>
    </w:p>
    <w:p w:rsidR="00164825" w:rsidRDefault="00D10C5B" w:rsidP="00164825">
      <w:pPr>
        <w:spacing w:line="360" w:lineRule="auto"/>
        <w:ind w:firstLine="567"/>
        <w:jc w:val="both"/>
        <w:rPr>
          <w:rFonts w:ascii="Arial" w:hAnsi="Arial" w:cs="Arial"/>
          <w:sz w:val="20"/>
          <w:szCs w:val="20"/>
        </w:rPr>
      </w:pPr>
      <w:r w:rsidRPr="00164825">
        <w:rPr>
          <w:rFonts w:ascii="Arial" w:hAnsi="Arial" w:cs="Arial"/>
          <w:b/>
          <w:sz w:val="20"/>
          <w:szCs w:val="20"/>
        </w:rPr>
        <w:t xml:space="preserve">Que </w:t>
      </w:r>
      <w:r w:rsidRPr="00164825">
        <w:rPr>
          <w:rFonts w:ascii="Arial" w:hAnsi="Arial" w:cs="Arial"/>
          <w:sz w:val="20"/>
          <w:szCs w:val="20"/>
        </w:rPr>
        <w:t>os terreiros de Candomblé, assim como outros territórios tradicionais de matriz africana, historicamente, se configuraram como locais de resistência contra o sistema escravagista e, atualmente, são lugares de sociabilidade, transmissão de conhecimento, preservação de identidade e espaço para manutenção das prática</w:t>
      </w:r>
      <w:r w:rsidR="00164825">
        <w:rPr>
          <w:rFonts w:ascii="Arial" w:hAnsi="Arial" w:cs="Arial"/>
          <w:sz w:val="20"/>
          <w:szCs w:val="20"/>
        </w:rPr>
        <w:t>s culturais de matriz africana;</w:t>
      </w:r>
    </w:p>
    <w:p w:rsidR="00164825" w:rsidRDefault="00D10C5B" w:rsidP="00164825">
      <w:pPr>
        <w:spacing w:line="360" w:lineRule="auto"/>
        <w:ind w:firstLine="567"/>
        <w:jc w:val="both"/>
        <w:rPr>
          <w:rFonts w:ascii="Arial" w:hAnsi="Arial" w:cs="Arial"/>
          <w:sz w:val="20"/>
          <w:szCs w:val="20"/>
        </w:rPr>
      </w:pPr>
      <w:r w:rsidRPr="00164825">
        <w:rPr>
          <w:rFonts w:ascii="Arial" w:hAnsi="Arial" w:cs="Arial"/>
          <w:b/>
          <w:sz w:val="20"/>
          <w:szCs w:val="20"/>
        </w:rPr>
        <w:t xml:space="preserve">Que </w:t>
      </w:r>
      <w:r w:rsidRPr="00164825">
        <w:rPr>
          <w:rFonts w:ascii="Arial" w:hAnsi="Arial" w:cs="Arial"/>
          <w:sz w:val="20"/>
          <w:szCs w:val="20"/>
        </w:rPr>
        <w:t>estes territórios conquistaram seu espaço no contexto urbano, apesar das históricas perseguições e discriminação social, e sua permanência se configura como importante referência para valoriza</w:t>
      </w:r>
      <w:r w:rsidR="00164825">
        <w:rPr>
          <w:rFonts w:ascii="Arial" w:hAnsi="Arial" w:cs="Arial"/>
          <w:sz w:val="20"/>
          <w:szCs w:val="20"/>
        </w:rPr>
        <w:t>ção da cultura afro-brasileira;</w:t>
      </w:r>
    </w:p>
    <w:p w:rsidR="00164825" w:rsidRDefault="00D10C5B" w:rsidP="00164825">
      <w:pPr>
        <w:spacing w:line="360" w:lineRule="auto"/>
        <w:ind w:firstLine="567"/>
        <w:jc w:val="both"/>
        <w:rPr>
          <w:rFonts w:ascii="Arial" w:hAnsi="Arial" w:cs="Arial"/>
          <w:sz w:val="20"/>
          <w:szCs w:val="20"/>
        </w:rPr>
      </w:pPr>
      <w:r w:rsidRPr="00164825">
        <w:rPr>
          <w:rFonts w:ascii="Arial" w:hAnsi="Arial" w:cs="Arial"/>
          <w:b/>
          <w:sz w:val="20"/>
          <w:szCs w:val="20"/>
        </w:rPr>
        <w:t xml:space="preserve">Que </w:t>
      </w:r>
      <w:r w:rsidRPr="00164825">
        <w:rPr>
          <w:rFonts w:ascii="Arial" w:hAnsi="Arial" w:cs="Arial"/>
          <w:sz w:val="20"/>
          <w:szCs w:val="20"/>
        </w:rPr>
        <w:t xml:space="preserve">o Terreiro de Candomblé Santa Bárbara foi um dos primeiros terreiros abertos em São Paulo (1962), sendo o primeiro a ser registrado em Cartório como terreiro de Candomblé, </w:t>
      </w:r>
      <w:r w:rsidRPr="00164825">
        <w:rPr>
          <w:rFonts w:ascii="Arial" w:hAnsi="Arial" w:cs="Arial"/>
          <w:sz w:val="20"/>
          <w:szCs w:val="20"/>
        </w:rPr>
        <w:lastRenderedPageBreak/>
        <w:t xml:space="preserve">por Mãe </w:t>
      </w:r>
      <w:proofErr w:type="spellStart"/>
      <w:r w:rsidRPr="00164825">
        <w:rPr>
          <w:rFonts w:ascii="Arial" w:hAnsi="Arial" w:cs="Arial"/>
          <w:sz w:val="20"/>
          <w:szCs w:val="20"/>
        </w:rPr>
        <w:t>Manaundê</w:t>
      </w:r>
      <w:proofErr w:type="spellEnd"/>
      <w:r w:rsidRPr="00164825">
        <w:rPr>
          <w:rFonts w:ascii="Arial" w:hAnsi="Arial" w:cs="Arial"/>
          <w:sz w:val="20"/>
          <w:szCs w:val="20"/>
        </w:rPr>
        <w:t xml:space="preserve"> (Julita Lima da Silva), que é personalidade de destaque na história da constit</w:t>
      </w:r>
      <w:r w:rsidR="00164825">
        <w:rPr>
          <w:rFonts w:ascii="Arial" w:hAnsi="Arial" w:cs="Arial"/>
          <w:sz w:val="20"/>
          <w:szCs w:val="20"/>
        </w:rPr>
        <w:t>uição da religião em São Paulo;</w:t>
      </w:r>
    </w:p>
    <w:p w:rsidR="00164825" w:rsidRDefault="00D10C5B" w:rsidP="00164825">
      <w:pPr>
        <w:spacing w:line="360" w:lineRule="auto"/>
        <w:ind w:firstLine="567"/>
        <w:jc w:val="both"/>
        <w:rPr>
          <w:rFonts w:ascii="Arial" w:hAnsi="Arial" w:cs="Arial"/>
          <w:sz w:val="20"/>
          <w:szCs w:val="20"/>
        </w:rPr>
      </w:pPr>
      <w:r w:rsidRPr="00164825">
        <w:rPr>
          <w:rFonts w:ascii="Arial" w:hAnsi="Arial" w:cs="Arial"/>
          <w:b/>
          <w:sz w:val="20"/>
          <w:szCs w:val="20"/>
        </w:rPr>
        <w:t xml:space="preserve">Que </w:t>
      </w:r>
      <w:r w:rsidRPr="00164825">
        <w:rPr>
          <w:rFonts w:ascii="Arial" w:hAnsi="Arial" w:cs="Arial"/>
          <w:sz w:val="20"/>
          <w:szCs w:val="20"/>
        </w:rPr>
        <w:t xml:space="preserve">o Terreiro de Candomblé Santa Bárbara é exemplar da modalidade de rito Angola, de tradição </w:t>
      </w:r>
      <w:proofErr w:type="spellStart"/>
      <w:r w:rsidRPr="00164825">
        <w:rPr>
          <w:rFonts w:ascii="Arial" w:hAnsi="Arial" w:cs="Arial"/>
          <w:sz w:val="20"/>
          <w:szCs w:val="20"/>
        </w:rPr>
        <w:t>bantu</w:t>
      </w:r>
      <w:proofErr w:type="spellEnd"/>
      <w:r w:rsidRPr="00164825">
        <w:rPr>
          <w:rFonts w:ascii="Arial" w:hAnsi="Arial" w:cs="Arial"/>
          <w:sz w:val="20"/>
          <w:szCs w:val="20"/>
        </w:rPr>
        <w:t>, que atraiu parcelas significativas de umbandistas para as fileiras do candomblé a partir dos anos 1960, mas também, porque nele se processaram os inevitáveis diálogos que esta tradição teve de estabelecer com uma modalidade de rito mais tardia em São Paulo, porém vista com mais legitimidade a partir dos anos de 1970, a tradiç</w:t>
      </w:r>
      <w:r w:rsidR="00164825">
        <w:rPr>
          <w:rFonts w:ascii="Arial" w:hAnsi="Arial" w:cs="Arial"/>
          <w:sz w:val="20"/>
          <w:szCs w:val="20"/>
        </w:rPr>
        <w:t xml:space="preserve">ão </w:t>
      </w:r>
      <w:proofErr w:type="spellStart"/>
      <w:r w:rsidR="00164825">
        <w:rPr>
          <w:rFonts w:ascii="Arial" w:hAnsi="Arial" w:cs="Arial"/>
          <w:sz w:val="20"/>
          <w:szCs w:val="20"/>
        </w:rPr>
        <w:t>jeje</w:t>
      </w:r>
      <w:proofErr w:type="spellEnd"/>
      <w:r w:rsidR="00164825">
        <w:rPr>
          <w:rFonts w:ascii="Arial" w:hAnsi="Arial" w:cs="Arial"/>
          <w:sz w:val="20"/>
          <w:szCs w:val="20"/>
        </w:rPr>
        <w:t xml:space="preserve">-nagô, </w:t>
      </w:r>
      <w:proofErr w:type="spellStart"/>
      <w:r w:rsidR="00164825">
        <w:rPr>
          <w:rFonts w:ascii="Arial" w:hAnsi="Arial" w:cs="Arial"/>
          <w:sz w:val="20"/>
          <w:szCs w:val="20"/>
        </w:rPr>
        <w:t>queto</w:t>
      </w:r>
      <w:proofErr w:type="spellEnd"/>
      <w:r w:rsidR="00164825">
        <w:rPr>
          <w:rFonts w:ascii="Arial" w:hAnsi="Arial" w:cs="Arial"/>
          <w:sz w:val="20"/>
          <w:szCs w:val="20"/>
        </w:rPr>
        <w:t xml:space="preserve"> ou </w:t>
      </w:r>
      <w:proofErr w:type="spellStart"/>
      <w:r w:rsidR="00164825">
        <w:rPr>
          <w:rFonts w:ascii="Arial" w:hAnsi="Arial" w:cs="Arial"/>
          <w:sz w:val="20"/>
          <w:szCs w:val="20"/>
        </w:rPr>
        <w:t>yourubá</w:t>
      </w:r>
      <w:proofErr w:type="spellEnd"/>
      <w:r w:rsidR="00164825">
        <w:rPr>
          <w:rFonts w:ascii="Arial" w:hAnsi="Arial" w:cs="Arial"/>
          <w:sz w:val="20"/>
          <w:szCs w:val="20"/>
        </w:rPr>
        <w:t>;</w:t>
      </w:r>
    </w:p>
    <w:p w:rsidR="00164825" w:rsidRDefault="00D10C5B" w:rsidP="00164825">
      <w:pPr>
        <w:spacing w:line="360" w:lineRule="auto"/>
        <w:ind w:firstLine="567"/>
        <w:jc w:val="both"/>
        <w:rPr>
          <w:rFonts w:ascii="Arial" w:hAnsi="Arial" w:cs="Arial"/>
          <w:sz w:val="20"/>
          <w:szCs w:val="20"/>
        </w:rPr>
      </w:pPr>
      <w:r w:rsidRPr="00164825">
        <w:rPr>
          <w:rFonts w:ascii="Arial" w:hAnsi="Arial" w:cs="Arial"/>
          <w:b/>
          <w:sz w:val="20"/>
          <w:szCs w:val="20"/>
        </w:rPr>
        <w:t xml:space="preserve">Que </w:t>
      </w:r>
      <w:r w:rsidRPr="00164825">
        <w:rPr>
          <w:rFonts w:ascii="Arial" w:hAnsi="Arial" w:cs="Arial"/>
          <w:sz w:val="20"/>
          <w:szCs w:val="20"/>
        </w:rPr>
        <w:t>este terreiro contempla os espaços no território que, tradicionalmente, configuram sua cosmografia e arquitetur</w:t>
      </w:r>
      <w:r w:rsidR="00164825">
        <w:rPr>
          <w:rFonts w:ascii="Arial" w:hAnsi="Arial" w:cs="Arial"/>
          <w:sz w:val="20"/>
          <w:szCs w:val="20"/>
        </w:rPr>
        <w:t>a sagradas utilizadas no culto;</w:t>
      </w:r>
    </w:p>
    <w:p w:rsidR="00164825" w:rsidRDefault="00D10C5B" w:rsidP="00164825">
      <w:pPr>
        <w:spacing w:line="360" w:lineRule="auto"/>
        <w:ind w:firstLine="567"/>
        <w:jc w:val="both"/>
        <w:rPr>
          <w:rFonts w:ascii="Arial" w:hAnsi="Arial" w:cs="Arial"/>
          <w:sz w:val="20"/>
          <w:szCs w:val="20"/>
        </w:rPr>
      </w:pPr>
      <w:r w:rsidRPr="00164825">
        <w:rPr>
          <w:rFonts w:ascii="Arial" w:hAnsi="Arial" w:cs="Arial"/>
          <w:b/>
          <w:sz w:val="20"/>
          <w:szCs w:val="20"/>
        </w:rPr>
        <w:t xml:space="preserve">Que </w:t>
      </w:r>
      <w:proofErr w:type="gramStart"/>
      <w:r w:rsidRPr="00164825">
        <w:rPr>
          <w:rFonts w:ascii="Arial" w:hAnsi="Arial" w:cs="Arial"/>
          <w:sz w:val="20"/>
          <w:szCs w:val="20"/>
        </w:rPr>
        <w:t>o Terreiro conta</w:t>
      </w:r>
      <w:proofErr w:type="gramEnd"/>
      <w:r w:rsidRPr="00164825">
        <w:rPr>
          <w:rFonts w:ascii="Arial" w:hAnsi="Arial" w:cs="Arial"/>
          <w:sz w:val="20"/>
          <w:szCs w:val="20"/>
        </w:rPr>
        <w:t xml:space="preserve"> com atividades culturais e religiosas consolidadas e realiza ciclos de celebrações públicas em homenagens às divindades cultuadas e demais atividades iner</w:t>
      </w:r>
      <w:r w:rsidR="00164825">
        <w:rPr>
          <w:rFonts w:ascii="Arial" w:hAnsi="Arial" w:cs="Arial"/>
          <w:sz w:val="20"/>
          <w:szCs w:val="20"/>
        </w:rPr>
        <w:t>entes aos espaços de Candomblé,</w:t>
      </w:r>
    </w:p>
    <w:p w:rsidR="00164825" w:rsidRDefault="00164825" w:rsidP="00164825">
      <w:pPr>
        <w:spacing w:after="0" w:line="360" w:lineRule="auto"/>
        <w:jc w:val="both"/>
        <w:rPr>
          <w:rFonts w:ascii="Arial" w:hAnsi="Arial" w:cs="Arial"/>
          <w:b/>
          <w:sz w:val="20"/>
          <w:szCs w:val="20"/>
        </w:rPr>
      </w:pPr>
    </w:p>
    <w:p w:rsidR="00164825" w:rsidRPr="00164825" w:rsidRDefault="00164825" w:rsidP="00164825">
      <w:pPr>
        <w:spacing w:line="360" w:lineRule="auto"/>
        <w:jc w:val="both"/>
        <w:rPr>
          <w:rFonts w:ascii="Arial" w:hAnsi="Arial" w:cs="Arial"/>
          <w:b/>
          <w:sz w:val="20"/>
          <w:szCs w:val="20"/>
        </w:rPr>
      </w:pPr>
      <w:r w:rsidRPr="00164825">
        <w:rPr>
          <w:rFonts w:ascii="Arial" w:hAnsi="Arial" w:cs="Arial"/>
          <w:b/>
          <w:sz w:val="20"/>
          <w:szCs w:val="20"/>
        </w:rPr>
        <w:t>RESOLVE</w:t>
      </w:r>
      <w:r w:rsidR="00D10C5B" w:rsidRPr="00164825">
        <w:rPr>
          <w:rFonts w:ascii="Arial" w:hAnsi="Arial" w:cs="Arial"/>
          <w:b/>
          <w:sz w:val="20"/>
          <w:szCs w:val="20"/>
        </w:rPr>
        <w:t xml:space="preserve">: </w:t>
      </w:r>
    </w:p>
    <w:p w:rsidR="00164825" w:rsidRDefault="00D10C5B" w:rsidP="00164825">
      <w:pPr>
        <w:spacing w:line="360" w:lineRule="auto"/>
        <w:jc w:val="both"/>
        <w:rPr>
          <w:rFonts w:ascii="Arial" w:hAnsi="Arial" w:cs="Arial"/>
          <w:sz w:val="20"/>
          <w:szCs w:val="20"/>
        </w:rPr>
      </w:pPr>
      <w:bookmarkStart w:id="0" w:name="_GoBack"/>
      <w:r w:rsidRPr="00164825">
        <w:rPr>
          <w:rFonts w:ascii="Arial" w:hAnsi="Arial" w:cs="Arial"/>
          <w:b/>
          <w:sz w:val="20"/>
          <w:szCs w:val="20"/>
        </w:rPr>
        <w:t>Artigo 1º -</w:t>
      </w:r>
      <w:r w:rsidRPr="00164825">
        <w:rPr>
          <w:rFonts w:ascii="Arial" w:hAnsi="Arial" w:cs="Arial"/>
          <w:sz w:val="20"/>
          <w:szCs w:val="20"/>
        </w:rPr>
        <w:t xml:space="preserve"> Fica tombado como bem cultural o Terreiro de Candomblé Santa Barbara, situado </w:t>
      </w:r>
      <w:r w:rsidR="00164825">
        <w:rPr>
          <w:rFonts w:ascii="Arial" w:hAnsi="Arial" w:cs="Arial"/>
          <w:sz w:val="20"/>
          <w:szCs w:val="20"/>
        </w:rPr>
        <w:t>na Rua Ruiva 90, nesta Capital.</w:t>
      </w:r>
    </w:p>
    <w:p w:rsidR="00164825" w:rsidRDefault="00D10C5B" w:rsidP="00164825">
      <w:pPr>
        <w:spacing w:line="360" w:lineRule="auto"/>
        <w:jc w:val="both"/>
        <w:rPr>
          <w:rFonts w:ascii="Arial" w:hAnsi="Arial" w:cs="Arial"/>
          <w:sz w:val="20"/>
          <w:szCs w:val="20"/>
        </w:rPr>
      </w:pPr>
      <w:r w:rsidRPr="00164825">
        <w:rPr>
          <w:rFonts w:ascii="Arial" w:hAnsi="Arial" w:cs="Arial"/>
          <w:b/>
          <w:sz w:val="20"/>
          <w:szCs w:val="20"/>
        </w:rPr>
        <w:t>Artigo 2º -</w:t>
      </w:r>
      <w:r w:rsidRPr="00164825">
        <w:rPr>
          <w:rFonts w:ascii="Arial" w:hAnsi="Arial" w:cs="Arial"/>
          <w:sz w:val="20"/>
          <w:szCs w:val="20"/>
        </w:rPr>
        <w:t xml:space="preserve"> Fica definido como elem</w:t>
      </w:r>
      <w:r w:rsidR="00164825">
        <w:rPr>
          <w:rFonts w:ascii="Arial" w:hAnsi="Arial" w:cs="Arial"/>
          <w:sz w:val="20"/>
          <w:szCs w:val="20"/>
        </w:rPr>
        <w:t>ento protegido no referido bem:</w:t>
      </w:r>
    </w:p>
    <w:p w:rsidR="00164825" w:rsidRDefault="00D10C5B" w:rsidP="00164825">
      <w:pPr>
        <w:spacing w:line="360" w:lineRule="auto"/>
        <w:ind w:left="567"/>
        <w:jc w:val="both"/>
        <w:rPr>
          <w:rFonts w:ascii="Arial" w:hAnsi="Arial" w:cs="Arial"/>
          <w:sz w:val="20"/>
          <w:szCs w:val="20"/>
        </w:rPr>
      </w:pPr>
      <w:r w:rsidRPr="00164825">
        <w:rPr>
          <w:rFonts w:ascii="Arial" w:hAnsi="Arial" w:cs="Arial"/>
          <w:sz w:val="20"/>
          <w:szCs w:val="20"/>
        </w:rPr>
        <w:t>1 – Perímetro formado pelo lote onde e</w:t>
      </w:r>
      <w:r w:rsidR="00164825">
        <w:rPr>
          <w:rFonts w:ascii="Arial" w:hAnsi="Arial" w:cs="Arial"/>
          <w:sz w:val="20"/>
          <w:szCs w:val="20"/>
        </w:rPr>
        <w:t>stá situado o imóvel (anexo I).</w:t>
      </w:r>
    </w:p>
    <w:p w:rsidR="00164825" w:rsidRDefault="00D10C5B" w:rsidP="00164825">
      <w:pPr>
        <w:spacing w:line="360" w:lineRule="auto"/>
        <w:ind w:left="567"/>
        <w:jc w:val="both"/>
        <w:rPr>
          <w:rFonts w:ascii="Arial" w:hAnsi="Arial" w:cs="Arial"/>
          <w:sz w:val="20"/>
          <w:szCs w:val="20"/>
        </w:rPr>
      </w:pPr>
      <w:r w:rsidRPr="00164825">
        <w:rPr>
          <w:rFonts w:ascii="Arial" w:hAnsi="Arial" w:cs="Arial"/>
          <w:sz w:val="20"/>
          <w:szCs w:val="20"/>
        </w:rPr>
        <w:t xml:space="preserve">2 – As áreas do imóvel que se configuram como espaço de culto, conforme planta esquemática (Anexo II): barracão, quarto de assentamentos dos </w:t>
      </w:r>
      <w:proofErr w:type="spellStart"/>
      <w:r w:rsidRPr="00164825">
        <w:rPr>
          <w:rFonts w:ascii="Arial" w:hAnsi="Arial" w:cs="Arial"/>
          <w:sz w:val="20"/>
          <w:szCs w:val="20"/>
        </w:rPr>
        <w:t>inkises</w:t>
      </w:r>
      <w:proofErr w:type="spellEnd"/>
      <w:r w:rsidRPr="00164825">
        <w:rPr>
          <w:rFonts w:ascii="Arial" w:hAnsi="Arial" w:cs="Arial"/>
          <w:sz w:val="20"/>
          <w:szCs w:val="20"/>
        </w:rPr>
        <w:t xml:space="preserve"> e orixás, cozinha, quarto para iniciações, assentamentos </w:t>
      </w:r>
      <w:r w:rsidR="00164825">
        <w:rPr>
          <w:rFonts w:ascii="Arial" w:hAnsi="Arial" w:cs="Arial"/>
          <w:sz w:val="20"/>
          <w:szCs w:val="20"/>
        </w:rPr>
        <w:t>externos e árvores consagradas.</w:t>
      </w:r>
    </w:p>
    <w:p w:rsidR="00164825" w:rsidRDefault="00D10C5B" w:rsidP="00164825">
      <w:pPr>
        <w:spacing w:line="360" w:lineRule="auto"/>
        <w:jc w:val="both"/>
        <w:rPr>
          <w:rFonts w:ascii="Arial" w:hAnsi="Arial" w:cs="Arial"/>
          <w:sz w:val="20"/>
          <w:szCs w:val="20"/>
        </w:rPr>
      </w:pPr>
      <w:r w:rsidRPr="00164825">
        <w:rPr>
          <w:rFonts w:ascii="Arial" w:hAnsi="Arial" w:cs="Arial"/>
          <w:b/>
          <w:sz w:val="20"/>
          <w:szCs w:val="20"/>
        </w:rPr>
        <w:t>Artigo 3º -</w:t>
      </w:r>
      <w:r w:rsidRPr="00164825">
        <w:rPr>
          <w:rFonts w:ascii="Arial" w:hAnsi="Arial" w:cs="Arial"/>
          <w:sz w:val="20"/>
          <w:szCs w:val="20"/>
        </w:rPr>
        <w:t xml:space="preserve"> Em caso de adaptação das edificações a futuras exigências de reelaboração de culto, as intervenções devem ser analisadas conforme as interpretações do grupo religioso responsável e na preservação das representações materiais que conferem ao espaço os significados específicos do Candomblé. </w:t>
      </w:r>
    </w:p>
    <w:p w:rsidR="00164825" w:rsidRDefault="00D10C5B" w:rsidP="00164825">
      <w:pPr>
        <w:spacing w:line="360" w:lineRule="auto"/>
        <w:ind w:firstLine="567"/>
        <w:jc w:val="both"/>
        <w:rPr>
          <w:rFonts w:ascii="Arial" w:hAnsi="Arial" w:cs="Arial"/>
          <w:sz w:val="20"/>
          <w:szCs w:val="20"/>
        </w:rPr>
      </w:pPr>
      <w:r w:rsidRPr="00164825">
        <w:rPr>
          <w:rFonts w:ascii="Arial" w:hAnsi="Arial" w:cs="Arial"/>
          <w:b/>
          <w:sz w:val="20"/>
          <w:szCs w:val="20"/>
        </w:rPr>
        <w:t>§ 1º -</w:t>
      </w:r>
      <w:r w:rsidRPr="00164825">
        <w:rPr>
          <w:rFonts w:ascii="Arial" w:hAnsi="Arial" w:cs="Arial"/>
          <w:sz w:val="20"/>
          <w:szCs w:val="20"/>
        </w:rPr>
        <w:t xml:space="preserve"> As intervenções nas áreas livres do perímetro de tombamento deverão ser previamente analisas pelo CONDEPHAAT e considerar a premissa estabelecida no caput. </w:t>
      </w:r>
    </w:p>
    <w:p w:rsidR="00164825" w:rsidRDefault="00D10C5B" w:rsidP="00164825">
      <w:pPr>
        <w:spacing w:line="360" w:lineRule="auto"/>
        <w:ind w:firstLine="567"/>
        <w:jc w:val="both"/>
        <w:rPr>
          <w:rFonts w:ascii="Arial" w:hAnsi="Arial" w:cs="Arial"/>
          <w:sz w:val="20"/>
          <w:szCs w:val="20"/>
        </w:rPr>
      </w:pPr>
      <w:r w:rsidRPr="00164825">
        <w:rPr>
          <w:rFonts w:ascii="Arial" w:hAnsi="Arial" w:cs="Arial"/>
          <w:b/>
          <w:sz w:val="20"/>
          <w:szCs w:val="20"/>
        </w:rPr>
        <w:t>§ 2º -</w:t>
      </w:r>
      <w:r w:rsidRPr="00164825">
        <w:rPr>
          <w:rFonts w:ascii="Arial" w:hAnsi="Arial" w:cs="Arial"/>
          <w:sz w:val="20"/>
          <w:szCs w:val="20"/>
        </w:rPr>
        <w:t xml:space="preserve"> Ficam isentas de aprovação </w:t>
      </w:r>
      <w:proofErr w:type="gramStart"/>
      <w:r w:rsidRPr="00164825">
        <w:rPr>
          <w:rFonts w:ascii="Arial" w:hAnsi="Arial" w:cs="Arial"/>
          <w:sz w:val="20"/>
          <w:szCs w:val="20"/>
        </w:rPr>
        <w:t>as</w:t>
      </w:r>
      <w:proofErr w:type="gramEnd"/>
      <w:r w:rsidRPr="00164825">
        <w:rPr>
          <w:rFonts w:ascii="Arial" w:hAnsi="Arial" w:cs="Arial"/>
          <w:sz w:val="20"/>
          <w:szCs w:val="20"/>
        </w:rPr>
        <w:t xml:space="preserve"> intervenções nas áreas não utilizadas para culto, que configuram em áreas residenciais, indicadas na já citada Planta Esquemática (Anexo II). </w:t>
      </w:r>
    </w:p>
    <w:p w:rsidR="00164825" w:rsidRDefault="00D10C5B" w:rsidP="00164825">
      <w:pPr>
        <w:spacing w:line="360" w:lineRule="auto"/>
        <w:jc w:val="both"/>
        <w:rPr>
          <w:rFonts w:ascii="Arial" w:hAnsi="Arial" w:cs="Arial"/>
          <w:sz w:val="20"/>
          <w:szCs w:val="20"/>
        </w:rPr>
      </w:pPr>
      <w:r w:rsidRPr="00164825">
        <w:rPr>
          <w:rFonts w:ascii="Arial" w:hAnsi="Arial" w:cs="Arial"/>
          <w:b/>
          <w:sz w:val="20"/>
          <w:szCs w:val="20"/>
        </w:rPr>
        <w:t>Artigo 4º -</w:t>
      </w:r>
      <w:r w:rsidRPr="00164825">
        <w:rPr>
          <w:rFonts w:ascii="Arial" w:hAnsi="Arial" w:cs="Arial"/>
          <w:sz w:val="20"/>
          <w:szCs w:val="20"/>
        </w:rPr>
        <w:t xml:space="preserve"> Considerando a natureza do bem ora tombado, poderá o CONDEPHAAT articular-se com outros órgãos com vistas a ações de valorização, difusão e salvaguarda das práticas ali existentes. </w:t>
      </w:r>
    </w:p>
    <w:p w:rsidR="00164825" w:rsidRDefault="00D10C5B" w:rsidP="00164825">
      <w:pPr>
        <w:spacing w:line="360" w:lineRule="auto"/>
        <w:jc w:val="both"/>
        <w:rPr>
          <w:rFonts w:ascii="Arial" w:hAnsi="Arial" w:cs="Arial"/>
          <w:sz w:val="20"/>
          <w:szCs w:val="20"/>
        </w:rPr>
      </w:pPr>
      <w:r w:rsidRPr="00164825">
        <w:rPr>
          <w:rFonts w:ascii="Arial" w:hAnsi="Arial" w:cs="Arial"/>
          <w:b/>
          <w:sz w:val="20"/>
          <w:szCs w:val="20"/>
        </w:rPr>
        <w:lastRenderedPageBreak/>
        <w:t>Artigo 5º -</w:t>
      </w:r>
      <w:r w:rsidRPr="00164825">
        <w:rPr>
          <w:rFonts w:ascii="Arial" w:hAnsi="Arial" w:cs="Arial"/>
          <w:sz w:val="20"/>
          <w:szCs w:val="20"/>
        </w:rPr>
        <w:t xml:space="preserve"> Conforme faculta o Decreto 48.137/2003, não fica definida área envoltória para o bem ora tombado. </w:t>
      </w:r>
    </w:p>
    <w:p w:rsidR="00164825" w:rsidRDefault="00D10C5B" w:rsidP="00164825">
      <w:pPr>
        <w:spacing w:line="360" w:lineRule="auto"/>
        <w:jc w:val="both"/>
        <w:rPr>
          <w:rFonts w:ascii="Arial" w:hAnsi="Arial" w:cs="Arial"/>
          <w:sz w:val="20"/>
          <w:szCs w:val="20"/>
        </w:rPr>
      </w:pPr>
      <w:r w:rsidRPr="00164825">
        <w:rPr>
          <w:rFonts w:ascii="Arial" w:hAnsi="Arial" w:cs="Arial"/>
          <w:b/>
          <w:sz w:val="20"/>
          <w:szCs w:val="20"/>
        </w:rPr>
        <w:t>Artigo 6º -</w:t>
      </w:r>
      <w:r w:rsidRPr="00164825">
        <w:rPr>
          <w:rFonts w:ascii="Arial" w:hAnsi="Arial" w:cs="Arial"/>
          <w:sz w:val="20"/>
          <w:szCs w:val="20"/>
        </w:rPr>
        <w:t xml:space="preserve"> Fica o Conselho de Defesa do Patrimônio Histórico, Arqueológico, Artístico e Turístico do Estado de São Paulo – CONDEPHAAT, autorizado a inscrever no Livro do Tombo Histórico os bens em referência, para os devidos e legais efeitos. </w:t>
      </w:r>
    </w:p>
    <w:p w:rsidR="00164825" w:rsidRDefault="00D10C5B" w:rsidP="00164825">
      <w:pPr>
        <w:spacing w:line="360" w:lineRule="auto"/>
        <w:jc w:val="both"/>
        <w:rPr>
          <w:rFonts w:ascii="Arial" w:hAnsi="Arial" w:cs="Arial"/>
          <w:sz w:val="20"/>
          <w:szCs w:val="20"/>
        </w:rPr>
      </w:pPr>
      <w:r w:rsidRPr="00164825">
        <w:rPr>
          <w:rFonts w:ascii="Arial" w:hAnsi="Arial" w:cs="Arial"/>
          <w:b/>
          <w:sz w:val="20"/>
          <w:szCs w:val="20"/>
        </w:rPr>
        <w:t>Artigo 7º.</w:t>
      </w:r>
      <w:r w:rsidRPr="00164825">
        <w:rPr>
          <w:rFonts w:ascii="Arial" w:hAnsi="Arial" w:cs="Arial"/>
          <w:sz w:val="20"/>
          <w:szCs w:val="20"/>
        </w:rPr>
        <w:t xml:space="preserve"> Constituem partes integrantes desta Resolução os seguintes mapas: </w:t>
      </w:r>
    </w:p>
    <w:p w:rsidR="00164825" w:rsidRDefault="00D10C5B" w:rsidP="00164825">
      <w:pPr>
        <w:spacing w:line="360" w:lineRule="auto"/>
        <w:ind w:firstLine="567"/>
        <w:jc w:val="both"/>
        <w:rPr>
          <w:rFonts w:ascii="Arial" w:hAnsi="Arial" w:cs="Arial"/>
          <w:sz w:val="20"/>
          <w:szCs w:val="20"/>
        </w:rPr>
      </w:pPr>
      <w:r w:rsidRPr="00164825">
        <w:rPr>
          <w:rFonts w:ascii="Arial" w:hAnsi="Arial" w:cs="Arial"/>
          <w:sz w:val="20"/>
          <w:szCs w:val="20"/>
        </w:rPr>
        <w:t xml:space="preserve">Anexo I: Perímetro de Proteção. </w:t>
      </w:r>
    </w:p>
    <w:p w:rsidR="00164825" w:rsidRDefault="00D10C5B" w:rsidP="00164825">
      <w:pPr>
        <w:spacing w:line="360" w:lineRule="auto"/>
        <w:ind w:firstLine="567"/>
        <w:jc w:val="both"/>
        <w:rPr>
          <w:rFonts w:ascii="Arial" w:hAnsi="Arial" w:cs="Arial"/>
          <w:sz w:val="20"/>
          <w:szCs w:val="20"/>
        </w:rPr>
      </w:pPr>
      <w:r w:rsidRPr="00164825">
        <w:rPr>
          <w:rFonts w:ascii="Arial" w:hAnsi="Arial" w:cs="Arial"/>
          <w:sz w:val="20"/>
          <w:szCs w:val="20"/>
        </w:rPr>
        <w:t xml:space="preserve">Anexo II: Planta Esquemática dos Elementos Protegidos. </w:t>
      </w:r>
    </w:p>
    <w:p w:rsidR="00D10C5B" w:rsidRPr="00164825" w:rsidRDefault="00D10C5B" w:rsidP="00164825">
      <w:pPr>
        <w:spacing w:line="360" w:lineRule="auto"/>
        <w:jc w:val="both"/>
        <w:rPr>
          <w:rFonts w:ascii="Arial" w:hAnsi="Arial" w:cs="Arial"/>
          <w:sz w:val="20"/>
          <w:szCs w:val="20"/>
        </w:rPr>
      </w:pPr>
      <w:r w:rsidRPr="00164825">
        <w:rPr>
          <w:rFonts w:ascii="Arial" w:hAnsi="Arial" w:cs="Arial"/>
          <w:b/>
          <w:sz w:val="20"/>
          <w:szCs w:val="20"/>
        </w:rPr>
        <w:t>Artigo 8º -</w:t>
      </w:r>
      <w:r w:rsidRPr="00164825">
        <w:rPr>
          <w:rFonts w:ascii="Arial" w:hAnsi="Arial" w:cs="Arial"/>
          <w:sz w:val="20"/>
          <w:szCs w:val="20"/>
        </w:rPr>
        <w:t xml:space="preserve"> Esta Resolução entra em vigor na data de sua publicação.</w:t>
      </w:r>
    </w:p>
    <w:bookmarkEnd w:id="0"/>
    <w:p w:rsidR="002B295C" w:rsidRDefault="002B295C" w:rsidP="00164825">
      <w:pPr>
        <w:spacing w:line="360" w:lineRule="auto"/>
        <w:ind w:firstLine="567"/>
      </w:pPr>
    </w:p>
    <w:p w:rsidR="006810B1" w:rsidRPr="00164825" w:rsidRDefault="006810B1" w:rsidP="000F19C0">
      <w:pPr>
        <w:rPr>
          <w:rFonts w:ascii="Arial" w:hAnsi="Arial" w:cs="Arial"/>
          <w:b/>
          <w:sz w:val="18"/>
          <w:szCs w:val="18"/>
        </w:rPr>
      </w:pPr>
      <w:r w:rsidRPr="00164825">
        <w:rPr>
          <w:rFonts w:ascii="Arial" w:hAnsi="Arial" w:cs="Arial"/>
          <w:b/>
          <w:sz w:val="18"/>
          <w:szCs w:val="18"/>
        </w:rPr>
        <w:t xml:space="preserve">Anexo I: </w:t>
      </w:r>
      <w:r w:rsidR="002B295C" w:rsidRPr="00164825">
        <w:rPr>
          <w:rFonts w:ascii="Arial" w:hAnsi="Arial" w:cs="Arial"/>
          <w:b/>
          <w:sz w:val="18"/>
          <w:szCs w:val="18"/>
        </w:rPr>
        <w:t>P</w:t>
      </w:r>
      <w:r w:rsidRPr="00164825">
        <w:rPr>
          <w:rFonts w:ascii="Arial" w:hAnsi="Arial" w:cs="Arial"/>
          <w:b/>
          <w:sz w:val="18"/>
          <w:szCs w:val="18"/>
        </w:rPr>
        <w:t xml:space="preserve">erímetro de </w:t>
      </w:r>
      <w:r w:rsidR="002B295C" w:rsidRPr="00164825">
        <w:rPr>
          <w:rFonts w:ascii="Arial" w:hAnsi="Arial" w:cs="Arial"/>
          <w:b/>
          <w:sz w:val="18"/>
          <w:szCs w:val="18"/>
        </w:rPr>
        <w:t>Proteção</w:t>
      </w:r>
    </w:p>
    <w:p w:rsidR="00D10C5B" w:rsidRDefault="00D10C5B" w:rsidP="000F19C0">
      <w:r>
        <w:rPr>
          <w:noProof/>
          <w:lang w:eastAsia="pt-BR"/>
        </w:rPr>
        <w:drawing>
          <wp:inline distT="0" distB="0" distL="0" distR="0" wp14:anchorId="4744150A" wp14:editId="08924063">
            <wp:extent cx="4276725" cy="34099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76725" cy="3409950"/>
                    </a:xfrm>
                    <a:prstGeom prst="rect">
                      <a:avLst/>
                    </a:prstGeom>
                  </pic:spPr>
                </pic:pic>
              </a:graphicData>
            </a:graphic>
          </wp:inline>
        </w:drawing>
      </w:r>
    </w:p>
    <w:p w:rsidR="006810B1" w:rsidRDefault="006810B1" w:rsidP="000F19C0"/>
    <w:p w:rsidR="006810B1" w:rsidRDefault="006810B1" w:rsidP="000F19C0"/>
    <w:p w:rsidR="006810B1" w:rsidRDefault="006810B1">
      <w:r>
        <w:br w:type="page"/>
      </w:r>
    </w:p>
    <w:p w:rsidR="008232A9" w:rsidRDefault="008232A9" w:rsidP="000F19C0"/>
    <w:p w:rsidR="008232A9" w:rsidRPr="00164825" w:rsidRDefault="008232A9" w:rsidP="000F19C0">
      <w:pPr>
        <w:rPr>
          <w:rFonts w:ascii="Arial" w:hAnsi="Arial" w:cs="Arial"/>
          <w:b/>
          <w:sz w:val="18"/>
          <w:szCs w:val="18"/>
        </w:rPr>
      </w:pPr>
      <w:r w:rsidRPr="00164825">
        <w:rPr>
          <w:rFonts w:ascii="Arial" w:hAnsi="Arial" w:cs="Arial"/>
          <w:b/>
          <w:sz w:val="18"/>
          <w:szCs w:val="18"/>
        </w:rPr>
        <w:t>Anexo II – Planta esquemática dos Elementos Protegidos</w:t>
      </w:r>
    </w:p>
    <w:p w:rsidR="008232A9" w:rsidRDefault="00D10C5B" w:rsidP="000F19C0">
      <w:r>
        <w:rPr>
          <w:noProof/>
          <w:lang w:eastAsia="pt-BR"/>
        </w:rPr>
        <w:drawing>
          <wp:inline distT="0" distB="0" distL="0" distR="0" wp14:anchorId="66EE2D2A" wp14:editId="08D93BEA">
            <wp:extent cx="3790950" cy="56388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90950" cy="5638800"/>
                    </a:xfrm>
                    <a:prstGeom prst="rect">
                      <a:avLst/>
                    </a:prstGeom>
                  </pic:spPr>
                </pic:pic>
              </a:graphicData>
            </a:graphic>
          </wp:inline>
        </w:drawing>
      </w:r>
    </w:p>
    <w:p w:rsidR="003D7340" w:rsidRDefault="00164825" w:rsidP="00C94B7F">
      <w:hyperlink r:id="rId8" w:history="1">
        <w:r w:rsidR="00C94B7F">
          <w:rPr>
            <w:rStyle w:val="Hyperlink"/>
          </w:rPr>
          <w:t>http://diariooficial.imprensaoficial.com.br/nav_v5/index.asp?c=4&amp;e=20191221&amp;p=1</w:t>
        </w:r>
      </w:hyperlink>
    </w:p>
    <w:sectPr w:rsidR="003D73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514C0"/>
    <w:multiLevelType w:val="hybridMultilevel"/>
    <w:tmpl w:val="B6B4A7C6"/>
    <w:lvl w:ilvl="0" w:tplc="E71CA5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AC545E7"/>
    <w:multiLevelType w:val="hybridMultilevel"/>
    <w:tmpl w:val="FCBE9480"/>
    <w:lvl w:ilvl="0" w:tplc="4A8A14F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FD75C22"/>
    <w:multiLevelType w:val="hybridMultilevel"/>
    <w:tmpl w:val="D38E6926"/>
    <w:lvl w:ilvl="0" w:tplc="175EF3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7AA0AC8"/>
    <w:multiLevelType w:val="hybridMultilevel"/>
    <w:tmpl w:val="DB8C0854"/>
    <w:lvl w:ilvl="0" w:tplc="A15485A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7E6136A"/>
    <w:multiLevelType w:val="hybridMultilevel"/>
    <w:tmpl w:val="B6DA5B0C"/>
    <w:lvl w:ilvl="0" w:tplc="9BBE6E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86"/>
    <w:rsid w:val="000F19C0"/>
    <w:rsid w:val="00164825"/>
    <w:rsid w:val="0027352E"/>
    <w:rsid w:val="002B295C"/>
    <w:rsid w:val="00377307"/>
    <w:rsid w:val="003D7340"/>
    <w:rsid w:val="00400D4A"/>
    <w:rsid w:val="00432E86"/>
    <w:rsid w:val="006810B1"/>
    <w:rsid w:val="006F4A5F"/>
    <w:rsid w:val="008232A9"/>
    <w:rsid w:val="00871C9C"/>
    <w:rsid w:val="00AC78D7"/>
    <w:rsid w:val="00BA52E7"/>
    <w:rsid w:val="00C94B7F"/>
    <w:rsid w:val="00CE3957"/>
    <w:rsid w:val="00D10C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D7340"/>
    <w:rPr>
      <w:color w:val="0000FF"/>
      <w:u w:val="single"/>
    </w:rPr>
  </w:style>
  <w:style w:type="character" w:customStyle="1" w:styleId="UnresolvedMention">
    <w:name w:val="Unresolved Mention"/>
    <w:basedOn w:val="Fontepargpadro"/>
    <w:uiPriority w:val="99"/>
    <w:semiHidden/>
    <w:unhideWhenUsed/>
    <w:rsid w:val="003D7340"/>
    <w:rPr>
      <w:color w:val="605E5C"/>
      <w:shd w:val="clear" w:color="auto" w:fill="E1DFDD"/>
    </w:rPr>
  </w:style>
  <w:style w:type="paragraph" w:styleId="PargrafodaLista">
    <w:name w:val="List Paragraph"/>
    <w:basedOn w:val="Normal"/>
    <w:uiPriority w:val="34"/>
    <w:qFormat/>
    <w:rsid w:val="000F19C0"/>
    <w:pPr>
      <w:ind w:left="720"/>
      <w:contextualSpacing/>
    </w:pPr>
  </w:style>
  <w:style w:type="paragraph" w:styleId="Corpodetexto">
    <w:name w:val="Body Text"/>
    <w:basedOn w:val="Normal"/>
    <w:link w:val="CorpodetextoChar"/>
    <w:semiHidden/>
    <w:unhideWhenUsed/>
    <w:rsid w:val="00164825"/>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semiHidden/>
    <w:rsid w:val="00164825"/>
    <w:rPr>
      <w:rFonts w:ascii="Arial" w:eastAsia="Times New Roman" w:hAnsi="Arial" w:cs="Arial"/>
      <w:szCs w:val="24"/>
      <w:lang w:eastAsia="pt-BR"/>
    </w:rPr>
  </w:style>
  <w:style w:type="paragraph" w:styleId="Textodebalo">
    <w:name w:val="Balloon Text"/>
    <w:basedOn w:val="Normal"/>
    <w:link w:val="TextodebaloChar"/>
    <w:uiPriority w:val="99"/>
    <w:semiHidden/>
    <w:unhideWhenUsed/>
    <w:rsid w:val="001648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4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D7340"/>
    <w:rPr>
      <w:color w:val="0000FF"/>
      <w:u w:val="single"/>
    </w:rPr>
  </w:style>
  <w:style w:type="character" w:customStyle="1" w:styleId="UnresolvedMention">
    <w:name w:val="Unresolved Mention"/>
    <w:basedOn w:val="Fontepargpadro"/>
    <w:uiPriority w:val="99"/>
    <w:semiHidden/>
    <w:unhideWhenUsed/>
    <w:rsid w:val="003D7340"/>
    <w:rPr>
      <w:color w:val="605E5C"/>
      <w:shd w:val="clear" w:color="auto" w:fill="E1DFDD"/>
    </w:rPr>
  </w:style>
  <w:style w:type="paragraph" w:styleId="PargrafodaLista">
    <w:name w:val="List Paragraph"/>
    <w:basedOn w:val="Normal"/>
    <w:uiPriority w:val="34"/>
    <w:qFormat/>
    <w:rsid w:val="000F19C0"/>
    <w:pPr>
      <w:ind w:left="720"/>
      <w:contextualSpacing/>
    </w:pPr>
  </w:style>
  <w:style w:type="paragraph" w:styleId="Corpodetexto">
    <w:name w:val="Body Text"/>
    <w:basedOn w:val="Normal"/>
    <w:link w:val="CorpodetextoChar"/>
    <w:semiHidden/>
    <w:unhideWhenUsed/>
    <w:rsid w:val="00164825"/>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semiHidden/>
    <w:rsid w:val="00164825"/>
    <w:rPr>
      <w:rFonts w:ascii="Arial" w:eastAsia="Times New Roman" w:hAnsi="Arial" w:cs="Arial"/>
      <w:szCs w:val="24"/>
      <w:lang w:eastAsia="pt-BR"/>
    </w:rPr>
  </w:style>
  <w:style w:type="paragraph" w:styleId="Textodebalo">
    <w:name w:val="Balloon Text"/>
    <w:basedOn w:val="Normal"/>
    <w:link w:val="TextodebaloChar"/>
    <w:uiPriority w:val="99"/>
    <w:semiHidden/>
    <w:unhideWhenUsed/>
    <w:rsid w:val="001648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4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riooficial.imprensaoficial.com.br/nav_v5/index.asp?c=4&amp;e=20191221&amp;p=1"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865</Words>
  <Characters>4676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SAULO SOARES DE SOUZA</dc:creator>
  <cp:keywords/>
  <dc:description/>
  <cp:lastModifiedBy>Maria Ester de Araújo Lopes</cp:lastModifiedBy>
  <cp:revision>4</cp:revision>
  <dcterms:created xsi:type="dcterms:W3CDTF">2020-02-16T01:07:00Z</dcterms:created>
  <dcterms:modified xsi:type="dcterms:W3CDTF">2020-02-17T15:05:00Z</dcterms:modified>
</cp:coreProperties>
</file>