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19" w:rsidRDefault="002E2319" w:rsidP="002E2319">
      <w:pPr>
        <w:pStyle w:val="Corpodetexto"/>
        <w:rPr>
          <w:b/>
          <w:bCs/>
        </w:rPr>
      </w:pPr>
      <w:bookmarkStart w:id="0" w:name="_GoBack"/>
      <w:bookmarkEnd w:id="0"/>
      <w:r>
        <w:rPr>
          <w:b/>
          <w:bCs/>
        </w:rPr>
        <w:t>CONDEPHAAT – Conselho de Defesa do Patrimônio Histórico, Arqueológico, Artístico e Turístico do Estado de São Paulo.</w:t>
      </w:r>
    </w:p>
    <w:p w:rsidR="002E2319" w:rsidRDefault="002E2319" w:rsidP="002E2319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2E2319" w:rsidRDefault="002E2319" w:rsidP="002E2319">
      <w:pPr>
        <w:jc w:val="both"/>
        <w:rPr>
          <w:rFonts w:ascii="Arial" w:hAnsi="Arial" w:cs="Arial"/>
        </w:rPr>
      </w:pPr>
    </w:p>
    <w:p w:rsidR="002E2319" w:rsidRDefault="002E2319">
      <w:r>
        <w:t xml:space="preserve">Resolução SC-30, de 5-4-2018, publicação no DOE </w:t>
      </w:r>
      <w:proofErr w:type="gramStart"/>
      <w:r>
        <w:t>de</w:t>
      </w:r>
      <w:proofErr w:type="gramEnd"/>
      <w:r>
        <w:t xml:space="preserve"> </w:t>
      </w:r>
    </w:p>
    <w:p w:rsidR="002E2319" w:rsidRDefault="001B2E3C" w:rsidP="002E2319">
      <w:pPr>
        <w:ind w:left="2268"/>
      </w:pPr>
      <w:r>
        <w:t xml:space="preserve">Dispõe sobre o tombamento da Tecelagem de Seda Ítalo-Brasileira, no bairro do Brás, nesta </w:t>
      </w:r>
      <w:proofErr w:type="gramStart"/>
      <w:r>
        <w:t>Capital</w:t>
      </w:r>
      <w:proofErr w:type="gramEnd"/>
      <w:r>
        <w:t xml:space="preserve"> </w:t>
      </w:r>
    </w:p>
    <w:p w:rsidR="002E2319" w:rsidRDefault="001B2E3C">
      <w:r>
        <w:t xml:space="preserve">O Secretário da Cultura, nos termos do artigo 1º do Decreto- -Lei 149, de 15-08-1969, e dos artigos 134 a 149 do Decreto 13.426, de 16-03-1979, que permanecem em vigor por força do artigo 158 do Decreto 50.941, de 05-07-2006, e com redação alterada pelo Decreto 48.137, de 07-10-2003, </w:t>
      </w:r>
    </w:p>
    <w:p w:rsidR="002E2319" w:rsidRDefault="001B2E3C">
      <w:r>
        <w:t xml:space="preserve">Considerando: </w:t>
      </w:r>
    </w:p>
    <w:p w:rsidR="002E2319" w:rsidRDefault="001B2E3C">
      <w:r>
        <w:t xml:space="preserve">- As manifestações constantes do Processo CONDEPHAAT 57120/2008, o qual foi apreciado pelo Conselho de Defesa do Patrimônio Histórico, Arqueológico, Artístico e Turístico do Estado de São Paulo – CONDEPHAAT - em Sessão Ordinária de 25-04-2016, Ata 1832, cuja deliberação foi favorável ao tombamento de Edifícios da Tecelagem de Seda Ítalo-Brasileira, sendo a minuta de Resolução de Tombamento também aprovada por aquele Conselho, em Sessão Ordinária de 25-04-2016, Ata 1832; </w:t>
      </w:r>
    </w:p>
    <w:p w:rsidR="002E2319" w:rsidRDefault="001B2E3C">
      <w:r>
        <w:t xml:space="preserve">- Que se trata de exemplar de extrema representatividade de “complexo industrial”, por sua composição e articulação física, aliadas às transformações que atravessou ao longo do tempo; </w:t>
      </w:r>
    </w:p>
    <w:p w:rsidR="002E2319" w:rsidRDefault="001B2E3C">
      <w:r>
        <w:t xml:space="preserve">- Que é relevante testemunho do emprego de variados materiais e técnicas construtivas na arquitetura industrial paulista; </w:t>
      </w:r>
    </w:p>
    <w:p w:rsidR="000B5DE8" w:rsidRDefault="001B2E3C">
      <w:r>
        <w:t>- Que é testemunha da dinâmica histórica associada ao uso dos espaços industriais e às ruas do bairro; - Que os edifícios elencados refletem a influência da arquitetura fabril no desenho urbano da cidade de São Paulo e em especial do Brás;</w:t>
      </w:r>
    </w:p>
    <w:p w:rsidR="002E2319" w:rsidRDefault="00113A67">
      <w:r>
        <w:t xml:space="preserve">- Que se trata de exemplar de destaque na substituição de tecidos importados, contribuindo com o desenvolvimento da técnica do fabrico de seda; </w:t>
      </w:r>
    </w:p>
    <w:p w:rsidR="002E2319" w:rsidRDefault="00113A67">
      <w:r>
        <w:t xml:space="preserve">- Que tais edifícios são </w:t>
      </w:r>
      <w:proofErr w:type="gramStart"/>
      <w:r>
        <w:t>importantes para a perpetuação da memória operária industrial, de fundamental relevância para a compreensão da História paulista</w:t>
      </w:r>
      <w:proofErr w:type="gramEnd"/>
      <w:r>
        <w:t xml:space="preserve">, </w:t>
      </w:r>
    </w:p>
    <w:p w:rsidR="002E2319" w:rsidRDefault="00113A67">
      <w:proofErr w:type="gramStart"/>
      <w:r>
        <w:t>resolve</w:t>
      </w:r>
      <w:proofErr w:type="gramEnd"/>
      <w:r>
        <w:t xml:space="preserve">: </w:t>
      </w:r>
    </w:p>
    <w:p w:rsidR="002E2319" w:rsidRDefault="00113A67">
      <w:r>
        <w:t xml:space="preserve">Artigo 1º. Fica tombado como bem cultural de interesse histórico-arquitetônico o aqui designado Tecelagem de Seda Ítalo-Brasileira, sitos à Rua Joli, 179, 273 e 294; Rua </w:t>
      </w:r>
      <w:proofErr w:type="spellStart"/>
      <w:r>
        <w:t>Sampson</w:t>
      </w:r>
      <w:proofErr w:type="spellEnd"/>
      <w:r>
        <w:t xml:space="preserve">, 142 e 146; Rua Doutor Manoel Vitorino, 232, 280, 322 e 343 – Brás, São Paulo, SP, formado por suas edificações e remanescentes. </w:t>
      </w:r>
    </w:p>
    <w:p w:rsidR="002E2319" w:rsidRDefault="00113A67">
      <w:r>
        <w:lastRenderedPageBreak/>
        <w:t xml:space="preserve">Artigo 2º. O presente tombamento é delimitado pelo perímetro de proteção, onde estão inclusos os elementos conforme descrição abaixo e identificação nos mapas anexos a esta Resolução: </w:t>
      </w:r>
    </w:p>
    <w:p w:rsidR="002E2319" w:rsidRDefault="00113A67">
      <w:r>
        <w:t xml:space="preserve">I - Perímetro: Inicia na esquina oeste da Rua Joli com a Rua Euclides da Cunha e segue sentido sul; deflete a oeste junto aos muros de divisa entre os lotes do Edifício de Malharia, </w:t>
      </w:r>
      <w:proofErr w:type="spellStart"/>
      <w:r>
        <w:t>Espulas</w:t>
      </w:r>
      <w:proofErr w:type="spellEnd"/>
      <w:r>
        <w:t xml:space="preserve"> e Armazém da antiga Tecelagem de Seda Ítalo-Brasileira, à Rua Joli, 165 (Art. 2º, IV) e do imóvel à Rua Joli, 157; segue pelos referidos muros defletindo a sudoeste e a seguir a noroeste; deflete a nordeste na Rua Doutor Manuel Vitorino; deflete a noroeste na projeção em linha reta dos muros de divisa entre o lote do Edifício de Fitas e Passamanarias da antiga Tecelagem de Seda Ítalo-Brasileira, à Rua Dr. Manuel Vitorino, 343 (Art. 2º, III) e os dos imóveis voltados à Rua Dr. Manuel Vitorino, 237 e Rua </w:t>
      </w:r>
      <w:proofErr w:type="spellStart"/>
      <w:r>
        <w:t>Sampson</w:t>
      </w:r>
      <w:proofErr w:type="spellEnd"/>
      <w:r>
        <w:t xml:space="preserve"> 110; deflete a nordeste na Rua </w:t>
      </w:r>
      <w:proofErr w:type="spellStart"/>
      <w:r>
        <w:t>Samspon</w:t>
      </w:r>
      <w:proofErr w:type="spellEnd"/>
      <w:r>
        <w:t xml:space="preserve">; cruzando a Rua Joli, </w:t>
      </w:r>
      <w:proofErr w:type="gramStart"/>
      <w:r>
        <w:t>deflete</w:t>
      </w:r>
      <w:proofErr w:type="gramEnd"/>
      <w:r>
        <w:t xml:space="preserve"> a sudeste junto aos muros de divisa entre o lotes do Edifício de Tinturaria, Acabamentos e Estamparia da antiga Tecelagem de Seda Ítalo-Brasileira, à Rua Joli, 294 (Art. 2º, II) e os dos imóveis voltados para a Rua Bresser; deflete a sudoeste junto aos muros de divisa entre o Edifício de Tinturaria, Acabamentos e Estamparia e os dos imóveis voltados para a Vila Simeone; deflete a sudeste junto aos muros de divisa entre o Edifício de Tinturaria, Acabamentos e Estamparia e os dos imóveis voltados para a Vila Simeone e para a Rua Bresser; deflete a sudoeste, e a seguir a sudeste, junto aos muros de divisa entre o Edifício de Tinturaria, Acabamentos e Estamparia e os dos imóveis voltados para a Rua Euclides da Cunha; deflete a sudoeste na Rua Euclides da Cunha e segue até o ponto inicial, conformando assim o perímetro. </w:t>
      </w:r>
    </w:p>
    <w:p w:rsidR="002E2319" w:rsidRDefault="00113A67">
      <w:r>
        <w:t xml:space="preserve">II - Edifício de Tinturaria, Acabamentos e Estamparia (atual Shopping), situado à Rua Joli, 294, entre as Ruas </w:t>
      </w:r>
      <w:proofErr w:type="spellStart"/>
      <w:r>
        <w:t>Sampson</w:t>
      </w:r>
      <w:proofErr w:type="spellEnd"/>
      <w:r>
        <w:t xml:space="preserve"> e Euclides da Cunha, incluindo sua estrutura metálica de sustentação da cobertura; </w:t>
      </w:r>
    </w:p>
    <w:p w:rsidR="002E2319" w:rsidRDefault="00113A67">
      <w:r>
        <w:t xml:space="preserve">III - Edifício de Fitas e Passamanarias (atual </w:t>
      </w:r>
      <w:proofErr w:type="spellStart"/>
      <w:r>
        <w:t>Dataprev</w:t>
      </w:r>
      <w:proofErr w:type="spellEnd"/>
      <w:r>
        <w:t xml:space="preserve">), situado à Rua </w:t>
      </w:r>
      <w:proofErr w:type="spellStart"/>
      <w:r>
        <w:t>Sampson</w:t>
      </w:r>
      <w:proofErr w:type="spellEnd"/>
      <w:r>
        <w:t xml:space="preserve"> 142 e 146 e Rua Dr. Manuel Vitorino, 343, entre as referidas ruas e com frente também para a Rua Joli; </w:t>
      </w:r>
    </w:p>
    <w:p w:rsidR="002E2319" w:rsidRDefault="00113A67">
      <w:r>
        <w:t xml:space="preserve">IV - Edifício de Malharia, </w:t>
      </w:r>
      <w:proofErr w:type="spellStart"/>
      <w:r>
        <w:t>Espulas</w:t>
      </w:r>
      <w:proofErr w:type="spellEnd"/>
      <w:r>
        <w:t xml:space="preserve"> e Armazém, situado às Ruas Joli, 165 e 179 e Dr. Manuel Vitorino, 232 e 280, incluindo sua estrutura metálica de sustentação da cobertura; </w:t>
      </w:r>
    </w:p>
    <w:p w:rsidR="002E2319" w:rsidRDefault="00113A67">
      <w:r>
        <w:t xml:space="preserve">V - Casa de máquinas, situado à Rua Dr. Manuel Vitorino, 322; </w:t>
      </w:r>
    </w:p>
    <w:p w:rsidR="002E2319" w:rsidRDefault="00113A67">
      <w:r>
        <w:t xml:space="preserve">VI - Administração Geral (casarão), situado à Rua Joli, 273, esquina com a Rua Dr. Manuel Vitorino, incluindo seu vitral e sua escadaria com guarda-corpo. </w:t>
      </w:r>
    </w:p>
    <w:p w:rsidR="002E2319" w:rsidRDefault="00113A67">
      <w:r>
        <w:t xml:space="preserve">Artigo 3º. Ficam estabelecidas as seguintes diretrizes, de modo a assegurar a preservação dos elementos listados no Artigo 2º, reconhecendo a variedade e o dinamismo de suas funções: </w:t>
      </w:r>
    </w:p>
    <w:p w:rsidR="002E2319" w:rsidRDefault="00113A67">
      <w:r>
        <w:t xml:space="preserve">I - Para todos os elementos listados no Artigo 2º, as intervenções previstas devem apresentar soluções em conformidade às suas especificidades tipológicas, materiais, construtivas e espaciais e arquitetônicas; </w:t>
      </w:r>
    </w:p>
    <w:p w:rsidR="002E2319" w:rsidRDefault="00113A67">
      <w:r>
        <w:t xml:space="preserve">II - Fica sujeita à aprovação do CONDEPHAAT a instalação de bancas comerciais, pontos de parada de transporte coletivo, postos policiais, abrigos para táxi e quaisquer outros elementos de mobiliário urbano (exceto iluminação pública e sinalização semafórica) no interior do </w:t>
      </w:r>
      <w:r>
        <w:lastRenderedPageBreak/>
        <w:t xml:space="preserve">perímetro de proteção e nos passeios e vias públicas limítrofes, vetando-se antenas </w:t>
      </w:r>
      <w:r w:rsidR="002E2319">
        <w:t>de telecomunica</w:t>
      </w:r>
      <w:r>
        <w:t xml:space="preserve">ções, painéis luminosos e anúncios publicitários em tais </w:t>
      </w:r>
      <w:proofErr w:type="gramStart"/>
      <w:r>
        <w:t>áreas</w:t>
      </w:r>
      <w:proofErr w:type="gramEnd"/>
      <w:r>
        <w:t xml:space="preserve"> </w:t>
      </w:r>
    </w:p>
    <w:p w:rsidR="002E2319" w:rsidRDefault="00113A67">
      <w:r>
        <w:t xml:space="preserve">III - Permite-se o tráfego de veículos automotores nas vias interiores ao perímetro de proteção, desde que não comprometam a preservação e integridade dos elementos listados. </w:t>
      </w:r>
    </w:p>
    <w:p w:rsidR="002E2319" w:rsidRDefault="00113A67">
      <w:r>
        <w:t xml:space="preserve">Artigo 4º. Para efeito deste tombamento, de acordo com o facultado pelo Decreto 48.137 de 07-10-2003, os bens ficam isentos de área envoltória. </w:t>
      </w:r>
    </w:p>
    <w:p w:rsidR="002E2319" w:rsidRDefault="00113A67">
      <w:r>
        <w:t>Artigo 5º. Fica o CONDEPHAAT autorizado a inscrever o bem em referência no Livro de Tombo Histórico, para os devi</w:t>
      </w:r>
      <w:r w:rsidR="002E2319">
        <w:t>dos e legais efeitos.</w:t>
      </w:r>
    </w:p>
    <w:p w:rsidR="002E2319" w:rsidRDefault="00113A67">
      <w:r>
        <w:t xml:space="preserve">Artigo 6º. Constituem partes integrantes desta Resolução os seguintes mapas: </w:t>
      </w:r>
    </w:p>
    <w:p w:rsidR="002E2319" w:rsidRDefault="00113A67">
      <w:r>
        <w:t xml:space="preserve">I: Mapa do Perímetro de Tombamento e sobre foto aérea. </w:t>
      </w:r>
    </w:p>
    <w:p w:rsidR="002E2319" w:rsidRDefault="00113A67">
      <w:r>
        <w:t xml:space="preserve">II: Mapa do Perímetro de Tombamento </w:t>
      </w:r>
    </w:p>
    <w:p w:rsidR="00113A67" w:rsidRDefault="00113A67">
      <w:r>
        <w:t>Artigo 7º. Esta Resolução entrará em vigor na data de sua publicação.</w:t>
      </w:r>
    </w:p>
    <w:p w:rsidR="00113A67" w:rsidRDefault="00113A67">
      <w:r>
        <w:br w:type="page"/>
      </w:r>
    </w:p>
    <w:p w:rsidR="00113A67" w:rsidRDefault="00113A67">
      <w:r>
        <w:rPr>
          <w:noProof/>
          <w:lang w:eastAsia="pt-BR"/>
        </w:rPr>
        <w:lastRenderedPageBreak/>
        <w:drawing>
          <wp:inline distT="0" distB="0" distL="0" distR="0" wp14:anchorId="30597AB0" wp14:editId="52A3EBF6">
            <wp:extent cx="4162425" cy="50006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A67" w:rsidRDefault="00113A67">
      <w:r>
        <w:br w:type="page"/>
      </w:r>
    </w:p>
    <w:p w:rsidR="00113A67" w:rsidRDefault="00113A67">
      <w:r>
        <w:rPr>
          <w:noProof/>
          <w:lang w:eastAsia="pt-BR"/>
        </w:rPr>
        <w:lastRenderedPageBreak/>
        <w:drawing>
          <wp:inline distT="0" distB="0" distL="0" distR="0" wp14:anchorId="45E4F719" wp14:editId="7BE8453B">
            <wp:extent cx="4229100" cy="44386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3A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3C"/>
    <w:rsid w:val="000B5DE8"/>
    <w:rsid w:val="00113A67"/>
    <w:rsid w:val="001B2E3C"/>
    <w:rsid w:val="002A6612"/>
    <w:rsid w:val="002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A6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E2319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E2319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A6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E2319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E2319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987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4</cp:revision>
  <cp:lastPrinted>2019-03-21T16:02:00Z</cp:lastPrinted>
  <dcterms:created xsi:type="dcterms:W3CDTF">2018-04-26T15:47:00Z</dcterms:created>
  <dcterms:modified xsi:type="dcterms:W3CDTF">2019-03-21T16:07:00Z</dcterms:modified>
</cp:coreProperties>
</file>