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C3" w:rsidRDefault="00DE3BC3" w:rsidP="00DE3BC3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DE3BC3" w:rsidRDefault="00DE3BC3" w:rsidP="00DE3BC3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DE3BC3" w:rsidRDefault="00DE3BC3" w:rsidP="00DE3BC3">
      <w:pPr>
        <w:jc w:val="both"/>
        <w:rPr>
          <w:rFonts w:ascii="Arial" w:hAnsi="Arial" w:cs="Arial"/>
        </w:rPr>
      </w:pPr>
    </w:p>
    <w:p w:rsidR="0079526C" w:rsidRPr="00B41E52" w:rsidRDefault="00376B51" w:rsidP="00B41E52">
      <w:pPr>
        <w:jc w:val="both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RES. SC </w:t>
      </w:r>
      <w:r w:rsidR="00DF7C48" w:rsidRPr="00B41E52">
        <w:rPr>
          <w:rFonts w:ascii="Arial" w:hAnsi="Arial" w:cs="Arial"/>
          <w:sz w:val="20"/>
          <w:szCs w:val="20"/>
        </w:rPr>
        <w:t>103</w:t>
      </w:r>
      <w:r w:rsidRPr="00B41E52">
        <w:rPr>
          <w:rFonts w:ascii="Arial" w:hAnsi="Arial" w:cs="Arial"/>
          <w:sz w:val="20"/>
          <w:szCs w:val="20"/>
        </w:rPr>
        <w:t xml:space="preserve">/18, de </w:t>
      </w:r>
      <w:r w:rsidR="0079526C" w:rsidRPr="00B41E52">
        <w:rPr>
          <w:rFonts w:ascii="Arial" w:hAnsi="Arial" w:cs="Arial"/>
          <w:sz w:val="20"/>
          <w:szCs w:val="20"/>
        </w:rPr>
        <w:t>07-11-2018 publicação no DOC de 10/11/2018, pág. 5</w:t>
      </w:r>
      <w:r w:rsidR="00DF7C48" w:rsidRPr="00B41E52">
        <w:rPr>
          <w:rFonts w:ascii="Arial" w:hAnsi="Arial" w:cs="Arial"/>
          <w:sz w:val="20"/>
          <w:szCs w:val="20"/>
        </w:rPr>
        <w:t xml:space="preserve">9 e </w:t>
      </w:r>
      <w:proofErr w:type="gramStart"/>
      <w:r w:rsidR="00DF7C48" w:rsidRPr="00B41E52">
        <w:rPr>
          <w:rFonts w:ascii="Arial" w:hAnsi="Arial" w:cs="Arial"/>
          <w:sz w:val="20"/>
          <w:szCs w:val="20"/>
        </w:rPr>
        <w:t>60</w:t>
      </w:r>
      <w:proofErr w:type="gramEnd"/>
    </w:p>
    <w:p w:rsidR="004C35FE" w:rsidRPr="00B41E52" w:rsidRDefault="00DF7C48" w:rsidP="00B41E52">
      <w:pPr>
        <w:ind w:left="2268"/>
        <w:jc w:val="both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Dispõe sobre o tombamento do Parque Estadual das Fontes do Ipiranga, em São Paulo. </w:t>
      </w:r>
    </w:p>
    <w:p w:rsidR="004C35FE" w:rsidRPr="00B41E52" w:rsidRDefault="00DF7C48" w:rsidP="00B41E52">
      <w:pPr>
        <w:jc w:val="both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O Secretário de Estado da Cultura, nos termos do artigo 1º do Decreto-Lei 149, de 15-08-1969, e dos artigos 134 a 149 do Decreto 13.426, de 16-03-1979, que permanecem em vigor por força do artigo 158 do Decreto 50.941, de </w:t>
      </w:r>
      <w:proofErr w:type="gramStart"/>
      <w:r w:rsidRPr="00B41E52">
        <w:rPr>
          <w:rFonts w:ascii="Arial" w:hAnsi="Arial" w:cs="Arial"/>
          <w:sz w:val="20"/>
          <w:szCs w:val="20"/>
        </w:rPr>
        <w:t>5</w:t>
      </w:r>
      <w:proofErr w:type="gramEnd"/>
      <w:r w:rsidRPr="00B41E52">
        <w:rPr>
          <w:rFonts w:ascii="Arial" w:hAnsi="Arial" w:cs="Arial"/>
          <w:sz w:val="20"/>
          <w:szCs w:val="20"/>
        </w:rPr>
        <w:t xml:space="preserve"> de julho de 2006, e com redação alterada pelo Decreto 48.137, de 7 de outubro de 2003, </w:t>
      </w:r>
    </w:p>
    <w:p w:rsidR="004C35FE" w:rsidRPr="00B41E52" w:rsidRDefault="00DF7C48" w:rsidP="00B41E52">
      <w:pPr>
        <w:jc w:val="both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Considerando: </w:t>
      </w:r>
    </w:p>
    <w:p w:rsidR="004C35FE" w:rsidRPr="00B41E52" w:rsidRDefault="00DF7C48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As manifestações constantes do Processo Condephaat 32468/1994 o qual foi apreciado pelo Conselho de Defesa do Patrimônio Histórico, Arqueológico, Artístico e Turístico do Estado de São Paulo – Condephaat - em Sessão Ordinária de 11-09-2017, Ata 1891, cuja deliberação foi favorável ao tombamento do Parque Estadual das Fontes do Ipiranga, em São Paulo, sendo a minuta de Resolução de Tombamento também aprovada por aquele Conselho, na mesma Sessão Ordinária; </w:t>
      </w:r>
    </w:p>
    <w:p w:rsidR="004C35FE" w:rsidRPr="00B41E52" w:rsidRDefault="0060456A" w:rsidP="0060456A">
      <w:pPr>
        <w:ind w:firstLine="567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t>Q</w:t>
      </w:r>
      <w:r w:rsidR="00DF7C48" w:rsidRPr="0060456A">
        <w:rPr>
          <w:rFonts w:ascii="Arial" w:hAnsi="Arial" w:cs="Arial"/>
          <w:b/>
          <w:sz w:val="20"/>
          <w:szCs w:val="20"/>
        </w:rPr>
        <w:t>ue</w:t>
      </w:r>
      <w:r w:rsidR="00DF7C48" w:rsidRPr="00B41E52">
        <w:rPr>
          <w:rFonts w:ascii="Arial" w:hAnsi="Arial" w:cs="Arial"/>
          <w:sz w:val="20"/>
          <w:szCs w:val="20"/>
        </w:rPr>
        <w:t xml:space="preserve"> no Parque Estadual Fontes do Ipiranga está uma das primeiras obras de distribuição de água da cidade de São Paulo, </w:t>
      </w:r>
      <w:proofErr w:type="gramStart"/>
      <w:r w:rsidR="00DF7C48" w:rsidRPr="00B41E52">
        <w:rPr>
          <w:rFonts w:ascii="Arial" w:hAnsi="Arial" w:cs="Arial"/>
          <w:sz w:val="20"/>
          <w:szCs w:val="20"/>
        </w:rPr>
        <w:t>executada primeiro pela Cia. Cantareira e posteriormente pela Secretaria de Negócios da Agricultura</w:t>
      </w:r>
      <w:proofErr w:type="gramEnd"/>
      <w:r w:rsidR="00DF7C48" w:rsidRPr="00B41E52">
        <w:rPr>
          <w:rFonts w:ascii="Arial" w:hAnsi="Arial" w:cs="Arial"/>
          <w:sz w:val="20"/>
          <w:szCs w:val="20"/>
        </w:rPr>
        <w:t xml:space="preserve">; </w:t>
      </w:r>
    </w:p>
    <w:p w:rsidR="004C35FE" w:rsidRPr="00B41E52" w:rsidRDefault="0060456A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t>Que</w:t>
      </w:r>
      <w:r w:rsidR="00DF7C48" w:rsidRPr="00B41E52">
        <w:rPr>
          <w:rFonts w:ascii="Arial" w:hAnsi="Arial" w:cs="Arial"/>
          <w:sz w:val="20"/>
          <w:szCs w:val="20"/>
        </w:rPr>
        <w:t xml:space="preserve"> este empreendimento está ligado a uma política de saneamento básico e urbanização iniciada ainda no Império e aperfeiçoada na República; </w:t>
      </w:r>
    </w:p>
    <w:p w:rsidR="004C35FE" w:rsidRPr="00B41E52" w:rsidRDefault="0060456A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t>Que</w:t>
      </w:r>
      <w:r w:rsidR="00DF7C48" w:rsidRPr="00B41E52">
        <w:rPr>
          <w:rFonts w:ascii="Arial" w:hAnsi="Arial" w:cs="Arial"/>
          <w:sz w:val="20"/>
          <w:szCs w:val="20"/>
        </w:rPr>
        <w:t xml:space="preserve"> a formação do Jardim Botânico teve lugar em áreas destinadas ao abastecimento humano de água, primeiro na Cantareira e depois na região das fontes do Ipiranga; </w:t>
      </w:r>
    </w:p>
    <w:p w:rsidR="004C35FE" w:rsidRPr="00B41E52" w:rsidRDefault="0060456A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t>Que</w:t>
      </w:r>
      <w:r w:rsidR="00DF7C48" w:rsidRPr="00B41E52">
        <w:rPr>
          <w:rFonts w:ascii="Arial" w:hAnsi="Arial" w:cs="Arial"/>
          <w:sz w:val="20"/>
          <w:szCs w:val="20"/>
        </w:rPr>
        <w:t xml:space="preserve"> a área está intrinsecamente ligada à história da urbanização da cidade e da expansão da capital; que se trata de um importante fragmento de Mata Atlântica remanescente na cidade de São Paulo; </w:t>
      </w:r>
    </w:p>
    <w:p w:rsidR="004C35FE" w:rsidRPr="00B41E52" w:rsidRDefault="0060456A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t>Que</w:t>
      </w:r>
      <w:r w:rsidR="00DF7C48" w:rsidRPr="00B41E52">
        <w:rPr>
          <w:rFonts w:ascii="Arial" w:hAnsi="Arial" w:cs="Arial"/>
          <w:sz w:val="20"/>
          <w:szCs w:val="20"/>
        </w:rPr>
        <w:t xml:space="preserve"> o Zoológico, o Jardim Botânico e o Parque </w:t>
      </w:r>
      <w:proofErr w:type="spellStart"/>
      <w:r w:rsidR="00DF7C48" w:rsidRPr="00B41E52">
        <w:rPr>
          <w:rFonts w:ascii="Arial" w:hAnsi="Arial" w:cs="Arial"/>
          <w:sz w:val="20"/>
          <w:szCs w:val="20"/>
        </w:rPr>
        <w:t>Cientec</w:t>
      </w:r>
      <w:proofErr w:type="spellEnd"/>
      <w:r w:rsidR="00DF7C48" w:rsidRPr="00B41E52">
        <w:rPr>
          <w:rFonts w:ascii="Arial" w:hAnsi="Arial" w:cs="Arial"/>
          <w:sz w:val="20"/>
          <w:szCs w:val="20"/>
        </w:rPr>
        <w:t xml:space="preserve"> constituem importantes instituições ligadas ao </w:t>
      </w:r>
      <w:proofErr w:type="gramStart"/>
      <w:r w:rsidR="00DF7C48" w:rsidRPr="00B41E52">
        <w:rPr>
          <w:rFonts w:ascii="Arial" w:hAnsi="Arial" w:cs="Arial"/>
          <w:sz w:val="20"/>
          <w:szCs w:val="20"/>
        </w:rPr>
        <w:t>desenvolvimento científico e tecnológicos do estado, promovendo</w:t>
      </w:r>
      <w:proofErr w:type="gramEnd"/>
      <w:r w:rsidR="00DF7C48" w:rsidRPr="00B41E52">
        <w:rPr>
          <w:rFonts w:ascii="Arial" w:hAnsi="Arial" w:cs="Arial"/>
          <w:sz w:val="20"/>
          <w:szCs w:val="20"/>
        </w:rPr>
        <w:t xml:space="preserve"> a </w:t>
      </w:r>
      <w:proofErr w:type="gramStart"/>
      <w:r w:rsidR="00DF7C48" w:rsidRPr="00B41E52">
        <w:rPr>
          <w:rFonts w:ascii="Arial" w:hAnsi="Arial" w:cs="Arial"/>
          <w:sz w:val="20"/>
          <w:szCs w:val="20"/>
        </w:rPr>
        <w:t>aproximação</w:t>
      </w:r>
      <w:proofErr w:type="gramEnd"/>
      <w:r w:rsidR="00DF7C48" w:rsidRPr="00B41E52">
        <w:rPr>
          <w:rFonts w:ascii="Arial" w:hAnsi="Arial" w:cs="Arial"/>
          <w:sz w:val="20"/>
          <w:szCs w:val="20"/>
        </w:rPr>
        <w:t xml:space="preserve"> da população com a natureza e com desenvolvimento de pesquisas científicas; </w:t>
      </w:r>
    </w:p>
    <w:p w:rsidR="004C35FE" w:rsidRPr="00B41E52" w:rsidRDefault="0060456A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t>Que</w:t>
      </w:r>
      <w:r w:rsidR="00DF7C48" w:rsidRPr="00B41E52">
        <w:rPr>
          <w:rFonts w:ascii="Arial" w:hAnsi="Arial" w:cs="Arial"/>
          <w:sz w:val="20"/>
          <w:szCs w:val="20"/>
        </w:rPr>
        <w:t xml:space="preserve"> a arquitetura destas instituições são a materialização do conhecimento científico, empregada para a difusão deste conhecimento produzido e acumulado; </w:t>
      </w:r>
    </w:p>
    <w:p w:rsidR="004C35FE" w:rsidRPr="00B41E52" w:rsidRDefault="0060456A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t>Que</w:t>
      </w:r>
      <w:r w:rsidR="00DF7C48" w:rsidRPr="00B41E5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F7C48" w:rsidRPr="00B41E52">
        <w:rPr>
          <w:rFonts w:ascii="Arial" w:hAnsi="Arial" w:cs="Arial"/>
          <w:sz w:val="20"/>
          <w:szCs w:val="20"/>
        </w:rPr>
        <w:t xml:space="preserve">o conjunto de bens do Jardim Botânico e do antigo Instituto Astronômico e Geofísico, atual </w:t>
      </w:r>
      <w:proofErr w:type="spellStart"/>
      <w:r w:rsidR="00DF7C48" w:rsidRPr="00B41E52">
        <w:rPr>
          <w:rFonts w:ascii="Arial" w:hAnsi="Arial" w:cs="Arial"/>
          <w:sz w:val="20"/>
          <w:szCs w:val="20"/>
        </w:rPr>
        <w:t>Cientec</w:t>
      </w:r>
      <w:proofErr w:type="spellEnd"/>
      <w:r w:rsidR="00DF7C48" w:rsidRPr="00B41E52">
        <w:rPr>
          <w:rFonts w:ascii="Arial" w:hAnsi="Arial" w:cs="Arial"/>
          <w:sz w:val="20"/>
          <w:szCs w:val="20"/>
        </w:rPr>
        <w:t>, apresentam</w:t>
      </w:r>
      <w:proofErr w:type="gramEnd"/>
      <w:r w:rsidR="00DF7C48" w:rsidRPr="00B41E52">
        <w:rPr>
          <w:rFonts w:ascii="Arial" w:hAnsi="Arial" w:cs="Arial"/>
          <w:sz w:val="20"/>
          <w:szCs w:val="20"/>
        </w:rPr>
        <w:t xml:space="preserve"> arquitetura de qualidade excepcional, onde se destacam a imponência das edificações, sua implantação urbanística e a harmonia das edificações com o projeto paisagístico, representando expressões arquitetônicas de relevância para o estado; </w:t>
      </w:r>
    </w:p>
    <w:p w:rsidR="004C35FE" w:rsidRPr="00B41E52" w:rsidRDefault="0060456A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t>Que</w:t>
      </w:r>
      <w:r w:rsidR="00DF7C48" w:rsidRPr="00B41E52">
        <w:rPr>
          <w:rFonts w:ascii="Arial" w:hAnsi="Arial" w:cs="Arial"/>
          <w:sz w:val="20"/>
          <w:szCs w:val="20"/>
        </w:rPr>
        <w:t xml:space="preserve"> as condições físicas e biológicas da área possibilitaram a implantação e a permanência destes importantes equipamentos públicos; </w:t>
      </w:r>
    </w:p>
    <w:p w:rsidR="004C35FE" w:rsidRPr="00B41E52" w:rsidRDefault="0060456A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t>Que</w:t>
      </w:r>
      <w:r w:rsidR="00DF7C48" w:rsidRPr="00B41E52">
        <w:rPr>
          <w:rFonts w:ascii="Arial" w:hAnsi="Arial" w:cs="Arial"/>
          <w:sz w:val="20"/>
          <w:szCs w:val="20"/>
        </w:rPr>
        <w:t xml:space="preserve"> os edifícios representam expressões arquitetônicas de relevância para o Estado; </w:t>
      </w:r>
    </w:p>
    <w:p w:rsidR="004C35FE" w:rsidRPr="00B41E52" w:rsidRDefault="0060456A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lastRenderedPageBreak/>
        <w:t>Sua</w:t>
      </w:r>
      <w:r w:rsidR="00DF7C48" w:rsidRPr="00B41E52">
        <w:rPr>
          <w:rFonts w:ascii="Arial" w:hAnsi="Arial" w:cs="Arial"/>
          <w:sz w:val="20"/>
          <w:szCs w:val="20"/>
        </w:rPr>
        <w:t xml:space="preserve"> cobertura vegetal e da presença nele de inúmeros corpos d’água e 34 nascentes, a despeito da alta urbanização de seu entorno; a existência das cabeceiras formadoras do Riacho do Ipiranga, rio que é referência ligada aos fatos históricos da Independência; </w:t>
      </w:r>
    </w:p>
    <w:p w:rsidR="004C35FE" w:rsidRPr="00B41E52" w:rsidRDefault="0060456A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t>A</w:t>
      </w:r>
      <w:r w:rsidR="00DF7C48" w:rsidRPr="00B41E52">
        <w:rPr>
          <w:rFonts w:ascii="Arial" w:hAnsi="Arial" w:cs="Arial"/>
          <w:sz w:val="20"/>
          <w:szCs w:val="20"/>
        </w:rPr>
        <w:t xml:space="preserve"> sua diversa composição vegetal, com predominância de Floresta Ombrófila Densa Atlântica, com diversos elementos da Floresta Ombrófila Mista com Araucária e ainda, em menor número, com espécies da Floresta Estacional </w:t>
      </w:r>
      <w:proofErr w:type="spellStart"/>
      <w:r w:rsidR="00DF7C48" w:rsidRPr="00B41E52">
        <w:rPr>
          <w:rFonts w:ascii="Arial" w:hAnsi="Arial" w:cs="Arial"/>
          <w:sz w:val="20"/>
          <w:szCs w:val="20"/>
        </w:rPr>
        <w:t>Semidecidual</w:t>
      </w:r>
      <w:proofErr w:type="spellEnd"/>
      <w:r w:rsidR="00DF7C48" w:rsidRPr="00B41E52">
        <w:rPr>
          <w:rFonts w:ascii="Arial" w:hAnsi="Arial" w:cs="Arial"/>
          <w:sz w:val="20"/>
          <w:szCs w:val="20"/>
        </w:rPr>
        <w:t xml:space="preserve"> presente no interior do Estado, incluindo espécies de Savana, conformando um importante mosaico para a diversidade de fauna e flora; </w:t>
      </w:r>
    </w:p>
    <w:p w:rsidR="004C35FE" w:rsidRPr="00B41E52" w:rsidRDefault="0060456A" w:rsidP="0060456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56A">
        <w:rPr>
          <w:rFonts w:ascii="Arial" w:hAnsi="Arial" w:cs="Arial"/>
          <w:b/>
          <w:sz w:val="20"/>
          <w:szCs w:val="20"/>
        </w:rPr>
        <w:t>Por</w:t>
      </w:r>
      <w:r w:rsidR="00DF7C48" w:rsidRPr="00B41E52">
        <w:rPr>
          <w:rFonts w:ascii="Arial" w:hAnsi="Arial" w:cs="Arial"/>
          <w:sz w:val="20"/>
          <w:szCs w:val="20"/>
        </w:rPr>
        <w:t xml:space="preserve"> estar o PEFI inserido na Reserva da Biosfera do Cinturão Verde da Cidade de São Paulo, instituída pela </w:t>
      </w:r>
      <w:proofErr w:type="gramStart"/>
      <w:r w:rsidR="00DF7C48" w:rsidRPr="00B41E52">
        <w:rPr>
          <w:rFonts w:ascii="Arial" w:hAnsi="Arial" w:cs="Arial"/>
          <w:sz w:val="20"/>
          <w:szCs w:val="20"/>
        </w:rPr>
        <w:t>Unesco</w:t>
      </w:r>
      <w:proofErr w:type="gramEnd"/>
      <w:r w:rsidR="00DF7C48" w:rsidRPr="00B41E52">
        <w:rPr>
          <w:rFonts w:ascii="Arial" w:hAnsi="Arial" w:cs="Arial"/>
          <w:sz w:val="20"/>
          <w:szCs w:val="20"/>
        </w:rPr>
        <w:t xml:space="preserve"> e, portanto, de relevância ambiental reconhecida internacionalmente, </w:t>
      </w:r>
    </w:p>
    <w:p w:rsidR="004C35FE" w:rsidRPr="00B41E52" w:rsidRDefault="004C35FE" w:rsidP="00B41E52">
      <w:pPr>
        <w:jc w:val="both"/>
        <w:rPr>
          <w:rFonts w:ascii="Arial" w:hAnsi="Arial" w:cs="Arial"/>
          <w:b/>
          <w:sz w:val="20"/>
          <w:szCs w:val="20"/>
        </w:rPr>
      </w:pPr>
      <w:r w:rsidRPr="00B41E52">
        <w:rPr>
          <w:rFonts w:ascii="Arial" w:hAnsi="Arial" w:cs="Arial"/>
          <w:b/>
          <w:sz w:val="20"/>
          <w:szCs w:val="20"/>
        </w:rPr>
        <w:t xml:space="preserve">RESOLVE: </w:t>
      </w:r>
    </w:p>
    <w:p w:rsidR="004C35FE" w:rsidRPr="00B41E52" w:rsidRDefault="00DF7C48" w:rsidP="00B41E52">
      <w:pPr>
        <w:jc w:val="both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b/>
          <w:sz w:val="20"/>
          <w:szCs w:val="20"/>
        </w:rPr>
        <w:t>Artigo 1º.</w:t>
      </w:r>
      <w:r w:rsidRPr="00B41E52">
        <w:rPr>
          <w:rFonts w:ascii="Arial" w:hAnsi="Arial" w:cs="Arial"/>
          <w:sz w:val="20"/>
          <w:szCs w:val="20"/>
        </w:rPr>
        <w:t xml:space="preserve"> Fica tombado como bem cultural de interesse histórico, ambiental, paisagístico e arquitetônico o aqui denominado Parque Estadual das Fontes do Ipiranga. </w:t>
      </w:r>
    </w:p>
    <w:p w:rsidR="0079526C" w:rsidRDefault="00DF7C48" w:rsidP="00B41E52">
      <w:pPr>
        <w:jc w:val="both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b/>
          <w:sz w:val="20"/>
          <w:szCs w:val="20"/>
        </w:rPr>
        <w:t>Artigo 2º.</w:t>
      </w:r>
      <w:r w:rsidRPr="00B41E52">
        <w:rPr>
          <w:rFonts w:ascii="Arial" w:hAnsi="Arial" w:cs="Arial"/>
          <w:sz w:val="20"/>
          <w:szCs w:val="20"/>
        </w:rPr>
        <w:t xml:space="preserve"> O presente tombamento é delimitado pelo perímetro de proteção, onde estão inclusos os elementos conforme descrição abaixo e identificação nos mapas anexos a esta Resolução.</w:t>
      </w:r>
    </w:p>
    <w:p w:rsidR="00B41E52" w:rsidRPr="00C02AD4" w:rsidRDefault="00C02AD4" w:rsidP="00C02AD4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- </w:t>
      </w:r>
      <w:r w:rsidR="00B41E52" w:rsidRPr="00C02AD4">
        <w:rPr>
          <w:rFonts w:ascii="Arial" w:hAnsi="Arial" w:cs="Arial"/>
          <w:sz w:val="20"/>
          <w:szCs w:val="20"/>
        </w:rPr>
        <w:t>Perímetro conformado a partir</w:t>
      </w:r>
      <w:r w:rsidRPr="00C02AD4">
        <w:rPr>
          <w:rFonts w:ascii="Arial" w:hAnsi="Arial" w:cs="Arial"/>
          <w:sz w:val="20"/>
          <w:szCs w:val="20"/>
        </w:rPr>
        <w:t xml:space="preserve"> dos vértices descritos</w:t>
      </w:r>
    </w:p>
    <w:p w:rsidR="00DF7C48" w:rsidRPr="00B41E52" w:rsidRDefault="00DF7C48" w:rsidP="0079526C">
      <w:pPr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4DEF01F3" wp14:editId="652AB246">
            <wp:extent cx="4819650" cy="702760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0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C48" w:rsidRPr="00B41E52" w:rsidRDefault="00DF7C48" w:rsidP="0079526C">
      <w:pPr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2060FF5" wp14:editId="2D9EEC64">
            <wp:extent cx="4777520" cy="657225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752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C48" w:rsidRPr="00B41E52" w:rsidRDefault="00DF7C48" w:rsidP="0079526C">
      <w:pPr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44DF8F9F" wp14:editId="4F9591B0">
            <wp:extent cx="4695825" cy="739529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39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C48" w:rsidRPr="00B41E52" w:rsidRDefault="00DF7C48" w:rsidP="0079526C">
      <w:pPr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3802FF5B" wp14:editId="660B078B">
            <wp:extent cx="2952750" cy="907024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07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E52" w:rsidRPr="00B41E52" w:rsidRDefault="000C695C" w:rsidP="00B41E52">
      <w:pPr>
        <w:jc w:val="both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lastRenderedPageBreak/>
        <w:t xml:space="preserve">As coordenadas dos vértices que definem o perímetro do PEFI - Parque Estadual das Fontes do Ipiranga para fins de seu tombamento como Patrimônio Cultural do Estado de São Paulo, foram obtidas a partir das folhas topográficas oficiais do Município de São Paulo na escala </w:t>
      </w:r>
      <w:proofErr w:type="gramStart"/>
      <w:r w:rsidRPr="00B41E52">
        <w:rPr>
          <w:rFonts w:ascii="Arial" w:hAnsi="Arial" w:cs="Arial"/>
          <w:sz w:val="20"/>
          <w:szCs w:val="20"/>
        </w:rPr>
        <w:t>1:1.</w:t>
      </w:r>
      <w:proofErr w:type="gramEnd"/>
      <w:r w:rsidRPr="00B41E52">
        <w:rPr>
          <w:rFonts w:ascii="Arial" w:hAnsi="Arial" w:cs="Arial"/>
          <w:sz w:val="20"/>
          <w:szCs w:val="20"/>
        </w:rPr>
        <w:t xml:space="preserve">000 do ano de 2004 (MDC - Mapa Digital da Cidade), no sistema de Projeção UTM, referenciadas ao meridiano central 45, e </w:t>
      </w:r>
      <w:proofErr w:type="spellStart"/>
      <w:r w:rsidRPr="00B41E52">
        <w:rPr>
          <w:rFonts w:ascii="Arial" w:hAnsi="Arial" w:cs="Arial"/>
          <w:sz w:val="20"/>
          <w:szCs w:val="20"/>
        </w:rPr>
        <w:t>Datum</w:t>
      </w:r>
      <w:proofErr w:type="spellEnd"/>
      <w:r w:rsidRPr="00B41E52">
        <w:rPr>
          <w:rFonts w:ascii="Arial" w:hAnsi="Arial" w:cs="Arial"/>
          <w:sz w:val="20"/>
          <w:szCs w:val="20"/>
        </w:rPr>
        <w:t xml:space="preserve"> SAD69, posteriormente transformadas para o </w:t>
      </w:r>
      <w:proofErr w:type="spellStart"/>
      <w:r w:rsidRPr="00B41E52">
        <w:rPr>
          <w:rFonts w:ascii="Arial" w:hAnsi="Arial" w:cs="Arial"/>
          <w:sz w:val="20"/>
          <w:szCs w:val="20"/>
        </w:rPr>
        <w:t>Datum</w:t>
      </w:r>
      <w:proofErr w:type="spellEnd"/>
      <w:r w:rsidRPr="00B41E52">
        <w:rPr>
          <w:rFonts w:ascii="Arial" w:hAnsi="Arial" w:cs="Arial"/>
          <w:sz w:val="20"/>
          <w:szCs w:val="20"/>
        </w:rPr>
        <w:t xml:space="preserve"> SIRGAS2000 conforme legislação, parâmetros de transformação e aplicativo indicado pelo Instituto Brasileiro de Geografia e Estatística - IBGE, perfazendo a área total calculada no plano de projeção UTM de 4.779.855,79 m² (quatro milhões, setecentos e setenta e nove mil, oitocentos e cinquenta e cinco metros quadrados e setenta e nove decímetros quadrados). </w:t>
      </w:r>
    </w:p>
    <w:p w:rsidR="00B41E52" w:rsidRPr="00B41E52" w:rsidRDefault="000C695C" w:rsidP="00B41E52">
      <w:pPr>
        <w:ind w:left="567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II. Conjunto do Jardim Botânico: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a) Alameda Von </w:t>
      </w:r>
      <w:proofErr w:type="spellStart"/>
      <w:r w:rsidRPr="00B41E52">
        <w:rPr>
          <w:rFonts w:ascii="Arial" w:hAnsi="Arial" w:cs="Arial"/>
          <w:sz w:val="20"/>
          <w:szCs w:val="20"/>
        </w:rPr>
        <w:t>Martius</w:t>
      </w:r>
      <w:proofErr w:type="spellEnd"/>
      <w:r w:rsidRPr="00B41E52">
        <w:rPr>
          <w:rFonts w:ascii="Arial" w:hAnsi="Arial" w:cs="Arial"/>
          <w:sz w:val="20"/>
          <w:szCs w:val="20"/>
        </w:rPr>
        <w:t xml:space="preserve">, a obra paisagística de Roberto Burle </w:t>
      </w:r>
      <w:proofErr w:type="gramStart"/>
      <w:r w:rsidRPr="00B41E52">
        <w:rPr>
          <w:rFonts w:ascii="Arial" w:hAnsi="Arial" w:cs="Arial"/>
          <w:sz w:val="20"/>
          <w:szCs w:val="20"/>
        </w:rPr>
        <w:t>Marx</w:t>
      </w:r>
      <w:proofErr w:type="gramEnd"/>
      <w:r w:rsidRPr="00B41E52">
        <w:rPr>
          <w:rFonts w:ascii="Arial" w:hAnsi="Arial" w:cs="Arial"/>
          <w:sz w:val="20"/>
          <w:szCs w:val="20"/>
        </w:rPr>
        <w:t xml:space="preserve">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b) Lagos;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c) sede do Museu Botânico;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d) Estufas e Orquidário;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e) Jardim de Lineu e as escadarias;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f) Portões históricos de acesso à estação de tratamento de água,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g) Casa do Diretor,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h) Sede das Ornamentais </w:t>
      </w:r>
    </w:p>
    <w:p w:rsidR="00B41E52" w:rsidRPr="00B41E52" w:rsidRDefault="000C695C" w:rsidP="00B41E52">
      <w:pPr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i) Prédio da Educação Ambiental </w:t>
      </w:r>
    </w:p>
    <w:p w:rsidR="00B41E52" w:rsidRPr="00B41E52" w:rsidRDefault="000C695C" w:rsidP="00B41E52">
      <w:pPr>
        <w:ind w:left="567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III. Conjunto do Parque </w:t>
      </w:r>
      <w:proofErr w:type="spellStart"/>
      <w:r w:rsidRPr="00B41E52">
        <w:rPr>
          <w:rFonts w:ascii="Arial" w:hAnsi="Arial" w:cs="Arial"/>
          <w:sz w:val="20"/>
          <w:szCs w:val="20"/>
        </w:rPr>
        <w:t>Cientec</w:t>
      </w:r>
      <w:proofErr w:type="spellEnd"/>
      <w:r w:rsidRPr="00B41E52">
        <w:rPr>
          <w:rFonts w:ascii="Arial" w:hAnsi="Arial" w:cs="Arial"/>
          <w:sz w:val="20"/>
          <w:szCs w:val="20"/>
        </w:rPr>
        <w:t xml:space="preserve"> (IAG-USP): sua solução urbanística, como a disposição do Eixo Norte Sul dos edifícios, arruamentos e os seguintes edifícios: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a) Edifício 1 – Portaria,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b) Edifício 3 – Residência do Diretor,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c) Edifício 4 – </w:t>
      </w:r>
      <w:proofErr w:type="spellStart"/>
      <w:r w:rsidRPr="00B41E52">
        <w:rPr>
          <w:rFonts w:ascii="Arial" w:hAnsi="Arial" w:cs="Arial"/>
          <w:sz w:val="20"/>
          <w:szCs w:val="20"/>
        </w:rPr>
        <w:t>Páleo</w:t>
      </w:r>
      <w:proofErr w:type="spellEnd"/>
      <w:r w:rsidRPr="00B41E52">
        <w:rPr>
          <w:rFonts w:ascii="Arial" w:hAnsi="Arial" w:cs="Arial"/>
          <w:sz w:val="20"/>
          <w:szCs w:val="20"/>
        </w:rPr>
        <w:t xml:space="preserve">/Planetário,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d) Edifício 5 – Administração,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e) Edifício 8 – </w:t>
      </w:r>
      <w:proofErr w:type="spellStart"/>
      <w:r w:rsidRPr="00B41E52">
        <w:rPr>
          <w:rFonts w:ascii="Arial" w:hAnsi="Arial" w:cs="Arial"/>
          <w:sz w:val="20"/>
          <w:szCs w:val="20"/>
        </w:rPr>
        <w:t>Grubb</w:t>
      </w:r>
      <w:proofErr w:type="spellEnd"/>
      <w:r w:rsidRPr="00B41E52">
        <w:rPr>
          <w:rFonts w:ascii="Arial" w:hAnsi="Arial" w:cs="Arial"/>
          <w:sz w:val="20"/>
          <w:szCs w:val="20"/>
        </w:rPr>
        <w:t xml:space="preserve">,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f) Edifício 9 – </w:t>
      </w:r>
      <w:proofErr w:type="spellStart"/>
      <w:r w:rsidRPr="00B41E52">
        <w:rPr>
          <w:rFonts w:ascii="Arial" w:hAnsi="Arial" w:cs="Arial"/>
          <w:sz w:val="20"/>
          <w:szCs w:val="20"/>
        </w:rPr>
        <w:t>Zeiss</w:t>
      </w:r>
      <w:proofErr w:type="spellEnd"/>
      <w:r w:rsidRPr="00B41E52">
        <w:rPr>
          <w:rFonts w:ascii="Arial" w:hAnsi="Arial" w:cs="Arial"/>
          <w:sz w:val="20"/>
          <w:szCs w:val="20"/>
        </w:rPr>
        <w:t xml:space="preserve">,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g) Edifício 15 – Astronomia,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h) Espelho d’água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i) Estátua de Urânia.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IV. Cobertura vegetal do Parque Estadual das Fontes do Ipiranga. </w:t>
      </w:r>
    </w:p>
    <w:p w:rsidR="00B41E52" w:rsidRPr="00B41E52" w:rsidRDefault="000C695C" w:rsidP="00B41E52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V. Cabeceiras do Riacho do </w:t>
      </w:r>
      <w:proofErr w:type="gramStart"/>
      <w:r w:rsidRPr="00B41E52">
        <w:rPr>
          <w:rFonts w:ascii="Arial" w:hAnsi="Arial" w:cs="Arial"/>
          <w:sz w:val="20"/>
          <w:szCs w:val="20"/>
        </w:rPr>
        <w:t>Ipiranga</w:t>
      </w:r>
      <w:proofErr w:type="gramEnd"/>
      <w:r w:rsidRPr="00B41E52">
        <w:rPr>
          <w:rFonts w:ascii="Arial" w:hAnsi="Arial" w:cs="Arial"/>
          <w:sz w:val="20"/>
          <w:szCs w:val="20"/>
        </w:rPr>
        <w:t xml:space="preserve"> </w:t>
      </w:r>
    </w:p>
    <w:p w:rsidR="00B41E52" w:rsidRPr="00B41E52" w:rsidRDefault="000C695C" w:rsidP="00B41E52">
      <w:pPr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b/>
          <w:sz w:val="20"/>
          <w:szCs w:val="20"/>
        </w:rPr>
        <w:t>Artigo 3º.</w:t>
      </w:r>
      <w:r w:rsidRPr="00B41E52">
        <w:rPr>
          <w:rFonts w:ascii="Arial" w:hAnsi="Arial" w:cs="Arial"/>
          <w:sz w:val="20"/>
          <w:szCs w:val="20"/>
        </w:rPr>
        <w:t xml:space="preserve"> Ficam estabelecidas as seguintes diretrizes, de modo a assegurar a preservação dos elementos listados no Artigo 2º, reconhecendo a variedade e o dinamismo de suas funções: </w:t>
      </w:r>
    </w:p>
    <w:p w:rsidR="00B41E52" w:rsidRPr="00B41E52" w:rsidRDefault="000C695C" w:rsidP="00B41E52">
      <w:pPr>
        <w:ind w:left="567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lastRenderedPageBreak/>
        <w:t xml:space="preserve">I - Para todos os elementos listados no Artigo 2º, as intervenções previstas devem apresentar soluções em conformidade às suas especificidades tipológicas, materiais, construtivas e espaciais e arquitetônicas; </w:t>
      </w:r>
    </w:p>
    <w:p w:rsidR="00B41E52" w:rsidRPr="00B41E52" w:rsidRDefault="000C695C" w:rsidP="00B41E52">
      <w:pPr>
        <w:ind w:left="567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II - Para os elementos listados no item IV e V, a diretriz a ser seguida é o Plano de Manejo do PEFI mais atualizado, ficando o </w:t>
      </w:r>
      <w:proofErr w:type="spellStart"/>
      <w:r w:rsidRPr="00B41E52">
        <w:rPr>
          <w:rFonts w:ascii="Arial" w:hAnsi="Arial" w:cs="Arial"/>
          <w:sz w:val="20"/>
          <w:szCs w:val="20"/>
        </w:rPr>
        <w:t>Condepefi</w:t>
      </w:r>
      <w:proofErr w:type="spellEnd"/>
      <w:r w:rsidRPr="00B41E52">
        <w:rPr>
          <w:rFonts w:ascii="Arial" w:hAnsi="Arial" w:cs="Arial"/>
          <w:sz w:val="20"/>
          <w:szCs w:val="20"/>
        </w:rPr>
        <w:t xml:space="preserve"> obrigado a comunicar e encaminhar alterações e atualizações deste documento ao Condephaat; </w:t>
      </w:r>
    </w:p>
    <w:p w:rsidR="00B41E52" w:rsidRPr="00B41E52" w:rsidRDefault="000C695C" w:rsidP="00B41E52">
      <w:pPr>
        <w:ind w:left="567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III - Fica sujeita à aprovação do Condephaat a instalação de bancas comerciais, pontos de parada de transporte coletivo, postos policiais, abrigos para táxi e quaisquer outros elementos de mobiliário urbano (exceto iluminação pública e sinalização semafórica) no interior do perímetro de proteção, vetando-se antenas de telecomunicações, painéis luminosos e anúncios publicitários em tais áreas. </w:t>
      </w:r>
    </w:p>
    <w:p w:rsidR="00B41E52" w:rsidRPr="00B41E52" w:rsidRDefault="000C695C" w:rsidP="00B41E52">
      <w:pPr>
        <w:ind w:left="567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IV – Ficam isentos de aprovação pelo Condephaat </w:t>
      </w:r>
      <w:proofErr w:type="gramStart"/>
      <w:r w:rsidRPr="00B41E52">
        <w:rPr>
          <w:rFonts w:ascii="Arial" w:hAnsi="Arial" w:cs="Arial"/>
          <w:sz w:val="20"/>
          <w:szCs w:val="20"/>
        </w:rPr>
        <w:t>as</w:t>
      </w:r>
      <w:proofErr w:type="gramEnd"/>
      <w:r w:rsidRPr="00B41E52">
        <w:rPr>
          <w:rFonts w:ascii="Arial" w:hAnsi="Arial" w:cs="Arial"/>
          <w:sz w:val="20"/>
          <w:szCs w:val="20"/>
        </w:rPr>
        <w:t xml:space="preserve"> intervenções em edificações não listadas que não demandem em aumento de área ou alteração de volumetria e fachada </w:t>
      </w:r>
    </w:p>
    <w:p w:rsidR="00DF7C48" w:rsidRPr="00B41E52" w:rsidRDefault="000C695C" w:rsidP="00B41E52">
      <w:pPr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b/>
          <w:sz w:val="20"/>
          <w:szCs w:val="20"/>
        </w:rPr>
        <w:t>Artigo 4º</w:t>
      </w:r>
      <w:r w:rsidRPr="00B41E52">
        <w:rPr>
          <w:rFonts w:ascii="Arial" w:hAnsi="Arial" w:cs="Arial"/>
          <w:sz w:val="20"/>
          <w:szCs w:val="20"/>
        </w:rPr>
        <w:t xml:space="preserve"> Fica o presente tombamento isento de áreas envoltórias, conforme faculta o Decreto 48.137 de 07-10-2003, considerando seu porte e presença na paisagem.</w:t>
      </w:r>
    </w:p>
    <w:p w:rsidR="00B41E52" w:rsidRPr="00B41E52" w:rsidRDefault="000C695C" w:rsidP="0079526C">
      <w:pPr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b/>
          <w:sz w:val="20"/>
          <w:szCs w:val="20"/>
        </w:rPr>
        <w:t>Artigo 5º.</w:t>
      </w:r>
      <w:r w:rsidRPr="00B41E52">
        <w:rPr>
          <w:rFonts w:ascii="Arial" w:hAnsi="Arial" w:cs="Arial"/>
          <w:sz w:val="20"/>
          <w:szCs w:val="20"/>
        </w:rPr>
        <w:t xml:space="preserve"> Fica o Condephaat autorizado a inscrever o bem em referência no Livro de Tombo Histórico e no Livro de Tombo Paisagístico, para os devidos e legais </w:t>
      </w:r>
      <w:proofErr w:type="gramStart"/>
      <w:r w:rsidRPr="00B41E52">
        <w:rPr>
          <w:rFonts w:ascii="Arial" w:hAnsi="Arial" w:cs="Arial"/>
          <w:sz w:val="20"/>
          <w:szCs w:val="20"/>
        </w:rPr>
        <w:t>efeitos</w:t>
      </w:r>
      <w:proofErr w:type="gramEnd"/>
      <w:r w:rsidRPr="00B41E52">
        <w:rPr>
          <w:rFonts w:ascii="Arial" w:hAnsi="Arial" w:cs="Arial"/>
          <w:sz w:val="20"/>
          <w:szCs w:val="20"/>
        </w:rPr>
        <w:t xml:space="preserve"> </w:t>
      </w:r>
    </w:p>
    <w:p w:rsidR="00B41E52" w:rsidRPr="00B41E52" w:rsidRDefault="000C695C" w:rsidP="0079526C">
      <w:pPr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b/>
          <w:sz w:val="20"/>
          <w:szCs w:val="20"/>
        </w:rPr>
        <w:t>Artigo 6º.</w:t>
      </w:r>
      <w:r w:rsidRPr="00B41E52">
        <w:rPr>
          <w:rFonts w:ascii="Arial" w:hAnsi="Arial" w:cs="Arial"/>
          <w:sz w:val="20"/>
          <w:szCs w:val="20"/>
        </w:rPr>
        <w:t xml:space="preserve"> Constituem partes integrantes desta Resolução os seguintes mapas: </w:t>
      </w:r>
    </w:p>
    <w:p w:rsidR="00B41E52" w:rsidRPr="00B41E52" w:rsidRDefault="000C695C" w:rsidP="00B41E52">
      <w:pPr>
        <w:ind w:left="567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Anexo I: Mapa do Perímetro de Tombamento sobre foto aérea. </w:t>
      </w:r>
    </w:p>
    <w:p w:rsidR="00B41E52" w:rsidRPr="00B41E52" w:rsidRDefault="000C695C" w:rsidP="00B41E52">
      <w:pPr>
        <w:ind w:left="567"/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sz w:val="20"/>
          <w:szCs w:val="20"/>
        </w:rPr>
        <w:t xml:space="preserve">Anexo II: Mapa do Perímetro de Tombamento </w:t>
      </w:r>
    </w:p>
    <w:p w:rsidR="000C695C" w:rsidRPr="00B41E52" w:rsidRDefault="000C695C" w:rsidP="0079526C">
      <w:pPr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b/>
          <w:sz w:val="20"/>
          <w:szCs w:val="20"/>
        </w:rPr>
        <w:t>Artigo 7º.</w:t>
      </w:r>
      <w:r w:rsidRPr="00B41E52">
        <w:rPr>
          <w:rFonts w:ascii="Arial" w:hAnsi="Arial" w:cs="Arial"/>
          <w:sz w:val="20"/>
          <w:szCs w:val="20"/>
        </w:rPr>
        <w:t xml:space="preserve"> Esta Resolução entrará em vigor na data de sua publicação.</w:t>
      </w:r>
    </w:p>
    <w:p w:rsidR="000C695C" w:rsidRPr="00B41E52" w:rsidRDefault="000C695C" w:rsidP="0079526C">
      <w:pPr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02D5642" wp14:editId="7652F7FE">
            <wp:extent cx="3609975" cy="32575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95C" w:rsidRDefault="000C695C" w:rsidP="0079526C">
      <w:pPr>
        <w:rPr>
          <w:rFonts w:ascii="Arial" w:hAnsi="Arial" w:cs="Arial"/>
          <w:sz w:val="20"/>
          <w:szCs w:val="20"/>
        </w:rPr>
      </w:pPr>
      <w:r w:rsidRPr="00B41E52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6800B931" wp14:editId="7ECD789E">
            <wp:extent cx="3705225" cy="34290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2E8" w:rsidRPr="00B41E52" w:rsidRDefault="006122E8" w:rsidP="006122E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Texto disponível no site da Imprensa Oficial do Estado de São Paulo:</w:t>
      </w:r>
    </w:p>
    <w:p w:rsidR="0079526C" w:rsidRDefault="009A02C5" w:rsidP="0079526C">
      <w:pPr>
        <w:rPr>
          <w:rFonts w:ascii="Arial" w:hAnsi="Arial" w:cs="Arial"/>
          <w:sz w:val="20"/>
          <w:szCs w:val="20"/>
        </w:rPr>
      </w:pPr>
      <w:hyperlink r:id="rId12" w:history="1">
        <w:r w:rsidR="000253F9" w:rsidRPr="009358CF">
          <w:rPr>
            <w:rStyle w:val="Hyperlink"/>
            <w:rFonts w:ascii="Arial" w:hAnsi="Arial" w:cs="Arial"/>
            <w:sz w:val="20"/>
            <w:szCs w:val="20"/>
          </w:rPr>
          <w:t>http://diariooficial.imprensaoficial.com.br/nav_v5/index.asp?c=4&amp;e=20181110&amp;p=1</w:t>
        </w:r>
      </w:hyperlink>
    </w:p>
    <w:sectPr w:rsidR="00795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EC5"/>
    <w:multiLevelType w:val="hybridMultilevel"/>
    <w:tmpl w:val="A9FE16E6"/>
    <w:lvl w:ilvl="0" w:tplc="E4CE6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C48D5"/>
    <w:multiLevelType w:val="hybridMultilevel"/>
    <w:tmpl w:val="E4C4C07C"/>
    <w:lvl w:ilvl="0" w:tplc="E93066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253F9"/>
    <w:rsid w:val="000B5DE8"/>
    <w:rsid w:val="000C695C"/>
    <w:rsid w:val="002439F8"/>
    <w:rsid w:val="002F6BF7"/>
    <w:rsid w:val="00344CF9"/>
    <w:rsid w:val="00376B51"/>
    <w:rsid w:val="004C35FE"/>
    <w:rsid w:val="006032F3"/>
    <w:rsid w:val="0060456A"/>
    <w:rsid w:val="006122E8"/>
    <w:rsid w:val="0079526C"/>
    <w:rsid w:val="008C43A6"/>
    <w:rsid w:val="008F7018"/>
    <w:rsid w:val="009A02C5"/>
    <w:rsid w:val="00B41E52"/>
    <w:rsid w:val="00BF0FF2"/>
    <w:rsid w:val="00C02AD4"/>
    <w:rsid w:val="00D12C71"/>
    <w:rsid w:val="00DE3BC3"/>
    <w:rsid w:val="00D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26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1E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53F9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DE3BC3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3BC3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26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1E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53F9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DE3BC3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3BC3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diariooficial.imprensaoficial.com.br/nav_v5/index.asp?c=4&amp;e=20181110&amp;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9</cp:revision>
  <cp:lastPrinted>2019-03-21T16:03:00Z</cp:lastPrinted>
  <dcterms:created xsi:type="dcterms:W3CDTF">2019-01-16T16:15:00Z</dcterms:created>
  <dcterms:modified xsi:type="dcterms:W3CDTF">2019-03-21T16:07:00Z</dcterms:modified>
</cp:coreProperties>
</file>