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AD" w:rsidRDefault="00073FAD" w:rsidP="00073FAD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073FAD" w:rsidRDefault="00073FAD" w:rsidP="00073FA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073FAD" w:rsidRDefault="00073FAD" w:rsidP="00073FAD">
      <w:pPr>
        <w:jc w:val="both"/>
        <w:rPr>
          <w:rFonts w:ascii="Arial" w:hAnsi="Arial" w:cs="Arial"/>
        </w:rPr>
      </w:pPr>
    </w:p>
    <w:p w:rsidR="00344CF9" w:rsidRDefault="00344CF9">
      <w:r>
        <w:t xml:space="preserve">DOE </w:t>
      </w:r>
      <w:r w:rsidR="007629FB">
        <w:t>20</w:t>
      </w:r>
      <w:r>
        <w:t>/</w:t>
      </w:r>
      <w:r w:rsidR="007629FB">
        <w:t>12</w:t>
      </w:r>
      <w:r w:rsidR="00BF0FF2">
        <w:t xml:space="preserve">/2018, </w:t>
      </w:r>
      <w:r>
        <w:t xml:space="preserve">Seção I, pág. </w:t>
      </w:r>
      <w:r w:rsidR="007629FB">
        <w:t>144</w:t>
      </w:r>
    </w:p>
    <w:p w:rsidR="00AC5A20" w:rsidRPr="00603BF2" w:rsidRDefault="00AC5A20" w:rsidP="003E00A3">
      <w:pPr>
        <w:rPr>
          <w:b/>
        </w:rPr>
      </w:pPr>
      <w:r w:rsidRPr="00603BF2">
        <w:rPr>
          <w:b/>
        </w:rPr>
        <w:t xml:space="preserve">Notificação </w:t>
      </w:r>
    </w:p>
    <w:p w:rsidR="00603BF2" w:rsidRDefault="00603BF2" w:rsidP="00603BF2">
      <w:pPr>
        <w:jc w:val="both"/>
      </w:pPr>
      <w:r>
        <w:t xml:space="preserve">De acordo com o que dispõe o artigo 142 do Decreto 13.426 de 16.03.79, notificamos a todos os interessados que o Colegiado do Condephaat - Conselho de Defesa do Patrimônio Histórico, Arqueológico, Artístico e Turístico do Estado, em sua Sessão Ordinária de 27-08-2018, Ata 1932 deliberou aprovar o parecer do Conselheiro Relator, que acata o recurso do Hospital das Clínicas, excluindo o ICHC (Instituto Central do Hospital das Clínicas) e o IOT (Instituto de Ortopedia e Traumatologia) isentando toda a área de quaisquer restrições de Áreas Envoltória e perímetro de proteção, conforme minuta de resolução aprovada em Sessão Ordinária de 10-12-2018, Ata 1946. </w:t>
      </w:r>
    </w:p>
    <w:p w:rsidR="00603BF2" w:rsidRDefault="00603BF2" w:rsidP="00603BF2">
      <w:pPr>
        <w:jc w:val="both"/>
      </w:pPr>
      <w:r>
        <w:t xml:space="preserve">Permanece em vigor a proteção isolada dos demais imóveis, que fazem parte do conjunto de equipamentos de Saúde, cujo tombamento e revisão foram aprovados no processo 52290/05, a saber: </w:t>
      </w:r>
    </w:p>
    <w:p w:rsidR="00603BF2" w:rsidRDefault="00603BF2" w:rsidP="00603BF2">
      <w:pPr>
        <w:jc w:val="both"/>
      </w:pPr>
      <w:r w:rsidRPr="00603BF2">
        <w:rPr>
          <w:b/>
        </w:rPr>
        <w:t xml:space="preserve">I </w:t>
      </w:r>
      <w:r>
        <w:t xml:space="preserve">- Antigo Hospital de Isolamento, composto pelos seguintes edifícios: </w:t>
      </w:r>
    </w:p>
    <w:p w:rsidR="00603BF2" w:rsidRDefault="00603BF2" w:rsidP="00603BF2">
      <w:pPr>
        <w:ind w:left="851"/>
        <w:jc w:val="both"/>
      </w:pPr>
      <w:r>
        <w:t xml:space="preserve">a) Pavilhão de Classes (atual Diretoria e Museu do Instituto de Infectologia Emilio Ribas ou “Casa Rosada” Dr. Otávio Martins de Toledo), acesso pela Av. Dr. Arnaldo, 165; </w:t>
      </w:r>
    </w:p>
    <w:p w:rsidR="00603BF2" w:rsidRDefault="00603BF2" w:rsidP="00603BF2">
      <w:pPr>
        <w:ind w:left="851"/>
        <w:jc w:val="both"/>
      </w:pPr>
      <w:r>
        <w:t xml:space="preserve">b) </w:t>
      </w:r>
      <w:proofErr w:type="gramStart"/>
      <w:r>
        <w:t>Pavilhão 2-Febre Amarela</w:t>
      </w:r>
      <w:proofErr w:type="gramEnd"/>
      <w:r>
        <w:t xml:space="preserve"> e Febre </w:t>
      </w:r>
      <w:proofErr w:type="spellStart"/>
      <w:r>
        <w:t>Tifóide</w:t>
      </w:r>
      <w:proofErr w:type="spellEnd"/>
      <w:r>
        <w:t xml:space="preserve"> (atual Biblioteca do Instituto de Infectologia Emilio Ribas ou “Casa Azul” Dr. José Augusto Arantes), com acesso pela Av. Dr. Arnaldo, 165; </w:t>
      </w:r>
    </w:p>
    <w:p w:rsidR="00603BF2" w:rsidRDefault="00603BF2" w:rsidP="00603BF2">
      <w:pPr>
        <w:ind w:left="851"/>
        <w:jc w:val="both"/>
      </w:pPr>
      <w:r>
        <w:t xml:space="preserve">c) Pavilhão 4-Varíola (Atual Biblioteca do Instituto Adolfo Lutz), com acesso pela Av. Dr. Arnaldo, 355 e fundos para a Av. Dr. Enéas de Carvalho Aguiar. </w:t>
      </w:r>
    </w:p>
    <w:p w:rsidR="00603BF2" w:rsidRDefault="00603BF2" w:rsidP="00603BF2">
      <w:pPr>
        <w:jc w:val="both"/>
      </w:pPr>
      <w:r w:rsidRPr="00603BF2">
        <w:rPr>
          <w:b/>
        </w:rPr>
        <w:t>II</w:t>
      </w:r>
      <w:r>
        <w:t xml:space="preserve"> - Instituto Adolfo Lutz, situado à Av. Dr. Arnaldo, 355 – prédio principal; </w:t>
      </w:r>
    </w:p>
    <w:p w:rsidR="00603BF2" w:rsidRDefault="00603BF2" w:rsidP="00603BF2">
      <w:pPr>
        <w:jc w:val="both"/>
      </w:pPr>
      <w:r w:rsidRPr="00603BF2">
        <w:rPr>
          <w:b/>
        </w:rPr>
        <w:t>III</w:t>
      </w:r>
      <w:r>
        <w:t xml:space="preserve"> - Faculdade de Medicina da Universidade de São Paulo, situada à Av. Dr. Arnaldo, 445 – prédio principal e áreas ajardinadas voltadas para a Avenida; </w:t>
      </w:r>
    </w:p>
    <w:p w:rsidR="00603BF2" w:rsidRDefault="00603BF2" w:rsidP="00603BF2">
      <w:pPr>
        <w:jc w:val="both"/>
      </w:pPr>
      <w:r w:rsidRPr="00603BF2">
        <w:rPr>
          <w:b/>
        </w:rPr>
        <w:t>IV</w:t>
      </w:r>
      <w:r>
        <w:t xml:space="preserve"> - Instituto Oscar Freire, situado à Rua Teodoro Sampaio, 115; </w:t>
      </w:r>
    </w:p>
    <w:p w:rsidR="00603BF2" w:rsidRDefault="00603BF2" w:rsidP="00603BF2">
      <w:pPr>
        <w:jc w:val="both"/>
      </w:pPr>
      <w:r w:rsidRPr="00603BF2">
        <w:rPr>
          <w:b/>
        </w:rPr>
        <w:t>V</w:t>
      </w:r>
      <w:r>
        <w:t xml:space="preserve"> - Faculdade de Higiene e Saúde Pública, composta pelos seguintes edifícios: </w:t>
      </w:r>
    </w:p>
    <w:p w:rsidR="00603BF2" w:rsidRDefault="00603BF2" w:rsidP="00603BF2">
      <w:pPr>
        <w:ind w:left="851"/>
        <w:jc w:val="both"/>
      </w:pPr>
      <w:r>
        <w:t xml:space="preserve">a) Prédio principal e anexo, situados à Av. Dr. Arnaldo, 817, bem como as áreas ajardinadas confrontantes com as vias públicas; </w:t>
      </w:r>
    </w:p>
    <w:p w:rsidR="00603BF2" w:rsidRDefault="00603BF2" w:rsidP="00603BF2">
      <w:pPr>
        <w:ind w:left="851"/>
        <w:jc w:val="both"/>
      </w:pPr>
      <w:r>
        <w:t xml:space="preserve">b) Antiga Inspetoria de Profilaxia da Lepra (atual Centro de Saúde e Escola Geraldo de Paula Souza), situado à Av. Dr. Arnaldo 925; </w:t>
      </w:r>
    </w:p>
    <w:p w:rsidR="00603BF2" w:rsidRDefault="00603BF2" w:rsidP="00603BF2">
      <w:pPr>
        <w:ind w:left="851"/>
        <w:jc w:val="both"/>
      </w:pPr>
      <w:r>
        <w:lastRenderedPageBreak/>
        <w:t xml:space="preserve">c) Antiga Estrebaria, situada no interior da quadra, nos fundos (a oeste) do Prédio principal da Faculdade de Saúde Pública; </w:t>
      </w:r>
    </w:p>
    <w:p w:rsidR="00603BF2" w:rsidRDefault="00603BF2" w:rsidP="00603BF2">
      <w:pPr>
        <w:ind w:left="851"/>
        <w:jc w:val="both"/>
      </w:pPr>
      <w:r>
        <w:t xml:space="preserve">d) Pavilhão </w:t>
      </w:r>
      <w:proofErr w:type="spellStart"/>
      <w:r>
        <w:t>Ayrosa</w:t>
      </w:r>
      <w:proofErr w:type="spellEnd"/>
      <w:r>
        <w:t xml:space="preserve"> Galvão, situado no interior da quadra, nos fundos (a oeste) do Prédio principal da Faculdade de Saúde Pública; </w:t>
      </w:r>
    </w:p>
    <w:p w:rsidR="00603BF2" w:rsidRDefault="00603BF2" w:rsidP="00603BF2">
      <w:pPr>
        <w:jc w:val="both"/>
      </w:pPr>
      <w:r w:rsidRPr="00603BF2">
        <w:rPr>
          <w:b/>
        </w:rPr>
        <w:t>VI -</w:t>
      </w:r>
      <w:r>
        <w:t xml:space="preserve"> Escola de Enfermagem, situada à Rua Enéas de Carvalho Aguiar, 419; </w:t>
      </w:r>
    </w:p>
    <w:p w:rsidR="00603BF2" w:rsidRDefault="00603BF2" w:rsidP="00603BF2">
      <w:pPr>
        <w:jc w:val="both"/>
      </w:pPr>
      <w:r w:rsidRPr="00603BF2">
        <w:rPr>
          <w:b/>
        </w:rPr>
        <w:t>VII</w:t>
      </w:r>
      <w:r>
        <w:t xml:space="preserve"> - Conjunto da Associação Atlética Acadêmica Oswaldo Cruz (AAAOC), situada à Rua Artur de Azevedo, </w:t>
      </w:r>
      <w:proofErr w:type="gramStart"/>
      <w:r>
        <w:t>1</w:t>
      </w:r>
      <w:proofErr w:type="gramEnd"/>
      <w:r>
        <w:t xml:space="preserve">, com destaque para os seguintes elementos: </w:t>
      </w:r>
    </w:p>
    <w:p w:rsidR="00603BF2" w:rsidRDefault="00603BF2" w:rsidP="00603BF2">
      <w:pPr>
        <w:ind w:left="851"/>
        <w:jc w:val="both"/>
      </w:pPr>
      <w:r>
        <w:t xml:space="preserve">a) Sede do Ginásio de 1932; </w:t>
      </w:r>
    </w:p>
    <w:p w:rsidR="00603BF2" w:rsidRDefault="00603BF2" w:rsidP="00603BF2">
      <w:pPr>
        <w:ind w:left="851"/>
        <w:jc w:val="both"/>
      </w:pPr>
      <w:r>
        <w:t xml:space="preserve">b) Piscina </w:t>
      </w:r>
      <w:proofErr w:type="spellStart"/>
      <w:proofErr w:type="gramStart"/>
      <w:r>
        <w:t>semi-olímpica</w:t>
      </w:r>
      <w:proofErr w:type="spellEnd"/>
      <w:proofErr w:type="gramEnd"/>
      <w:r>
        <w:t xml:space="preserve">; </w:t>
      </w:r>
    </w:p>
    <w:p w:rsidR="00603BF2" w:rsidRDefault="00603BF2" w:rsidP="00603BF2">
      <w:pPr>
        <w:ind w:left="851"/>
        <w:jc w:val="both"/>
      </w:pPr>
      <w:r>
        <w:t xml:space="preserve">c) Pista de atletismo; </w:t>
      </w:r>
    </w:p>
    <w:p w:rsidR="00603BF2" w:rsidRDefault="00603BF2" w:rsidP="00603BF2">
      <w:pPr>
        <w:ind w:left="851"/>
        <w:jc w:val="both"/>
      </w:pPr>
      <w:r>
        <w:t xml:space="preserve">d) Bosque do conjunto. </w:t>
      </w:r>
    </w:p>
    <w:p w:rsidR="00603BF2" w:rsidRDefault="00603BF2" w:rsidP="00603BF2">
      <w:pPr>
        <w:jc w:val="both"/>
      </w:pPr>
      <w:r>
        <w:t xml:space="preserve">Nos termos do parágrafo único do já citado artigo 142 e do artigo 146 do mesmo Decreto, a deliberação ordenando o tombamento ou a abertura do processo de tombamento assegura, desde logo, a preservação dos bens até decisão final da autoridade competente, ficando, portanto, proibida qualquer intervenção que possa vir a descaracterizar os referidos bens, sem prévia autorização do CONDEPHAAT, podendo ser punido o descumprimento do acima disposto com as sanções penais previstas no artigo 63 da Lei Federal 9605, de 12-12-1998, as sanções administrativas previstas na Lei Estadual 10.774, de 01-03-2001, regulamentada pelo Decreto Estadual 48.439, de 21-12-2004, além das consequências de natureza civil previstas na legislação vigente. </w:t>
      </w:r>
    </w:p>
    <w:p w:rsidR="00344CF9" w:rsidRDefault="00603BF2" w:rsidP="00603BF2">
      <w:pPr>
        <w:jc w:val="both"/>
      </w:pPr>
      <w:r>
        <w:t>Estabeleça-se o prazo de 15 dias para apresentação de eventual contestação, conforme disposto no artigo 143 do já citado Decreto Estadual, contados a partir do recebimento da notificação.</w:t>
      </w:r>
    </w:p>
    <w:p w:rsidR="00B95A7B" w:rsidRDefault="00B95A7B" w:rsidP="00B95A7B">
      <w:pPr>
        <w:spacing w:after="0"/>
      </w:pPr>
      <w:r>
        <w:t>Texto original disponível no site da Imprensa Oficial do Estado:</w:t>
      </w:r>
    </w:p>
    <w:p w:rsidR="00B95A7B" w:rsidRDefault="00236D00" w:rsidP="00B95A7B">
      <w:pPr>
        <w:spacing w:after="0"/>
      </w:pPr>
      <w:hyperlink r:id="rId5" w:history="1">
        <w:r w:rsidR="00B95A7B">
          <w:rPr>
            <w:rStyle w:val="Hyperlink"/>
          </w:rPr>
          <w:t>http://diariooficial.imprensaoficial.com.br/nav_v5/index.asp?c=4&amp;e=20181220&amp;p=1</w:t>
        </w:r>
      </w:hyperlink>
    </w:p>
    <w:p w:rsidR="00B95A7B" w:rsidRDefault="00B95A7B" w:rsidP="00B95A7B"/>
    <w:p w:rsidR="003C25B2" w:rsidRDefault="003C25B2" w:rsidP="00603BF2">
      <w:pPr>
        <w:jc w:val="both"/>
      </w:pPr>
    </w:p>
    <w:sectPr w:rsidR="003C2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73FAD"/>
    <w:rsid w:val="000B5941"/>
    <w:rsid w:val="000B5DE8"/>
    <w:rsid w:val="000C7045"/>
    <w:rsid w:val="000F5D2B"/>
    <w:rsid w:val="001311F7"/>
    <w:rsid w:val="00133C17"/>
    <w:rsid w:val="00236D00"/>
    <w:rsid w:val="0024651E"/>
    <w:rsid w:val="002723B8"/>
    <w:rsid w:val="002B486B"/>
    <w:rsid w:val="002B7AF4"/>
    <w:rsid w:val="002F6BF7"/>
    <w:rsid w:val="00344CF9"/>
    <w:rsid w:val="0039768F"/>
    <w:rsid w:val="003C25B2"/>
    <w:rsid w:val="003E00A3"/>
    <w:rsid w:val="004E0D8D"/>
    <w:rsid w:val="005729CA"/>
    <w:rsid w:val="005D7E82"/>
    <w:rsid w:val="006032F3"/>
    <w:rsid w:val="00603BF2"/>
    <w:rsid w:val="00612E15"/>
    <w:rsid w:val="00685669"/>
    <w:rsid w:val="00737242"/>
    <w:rsid w:val="007629FB"/>
    <w:rsid w:val="0083725C"/>
    <w:rsid w:val="00867910"/>
    <w:rsid w:val="00874277"/>
    <w:rsid w:val="008A3C89"/>
    <w:rsid w:val="008C43A6"/>
    <w:rsid w:val="008D1E05"/>
    <w:rsid w:val="008D7101"/>
    <w:rsid w:val="008F4639"/>
    <w:rsid w:val="008F7018"/>
    <w:rsid w:val="00912CAB"/>
    <w:rsid w:val="00970E32"/>
    <w:rsid w:val="009F0635"/>
    <w:rsid w:val="00A16374"/>
    <w:rsid w:val="00AC5A20"/>
    <w:rsid w:val="00B24053"/>
    <w:rsid w:val="00B95A7B"/>
    <w:rsid w:val="00BD11CC"/>
    <w:rsid w:val="00BF0FF2"/>
    <w:rsid w:val="00C471AE"/>
    <w:rsid w:val="00C9108C"/>
    <w:rsid w:val="00CF1339"/>
    <w:rsid w:val="00D04639"/>
    <w:rsid w:val="00D335E5"/>
    <w:rsid w:val="00DA1B7D"/>
    <w:rsid w:val="00FE0F7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25B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73FAD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3FAD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25B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73FAD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3FAD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ariooficial.imprensaoficial.com.br/nav_v5/index.asp?c=4&amp;e=20181220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7</cp:revision>
  <cp:lastPrinted>2019-03-21T15:59:00Z</cp:lastPrinted>
  <dcterms:created xsi:type="dcterms:W3CDTF">2019-01-16T14:33:00Z</dcterms:created>
  <dcterms:modified xsi:type="dcterms:W3CDTF">2019-03-21T16:01:00Z</dcterms:modified>
</cp:coreProperties>
</file>