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FC45" w14:textId="77777777" w:rsidR="00707358" w:rsidRPr="00A74ADB"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0AA9D6AF"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309DB577"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2D47716B"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28D6F1E3"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590A470A"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7A541F99"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084D300A"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1438A210"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5BADFCA7" w14:textId="77777777" w:rsidR="00707358" w:rsidRDefault="00707358" w:rsidP="00707358">
      <w:pPr>
        <w:keepNext/>
        <w:widowControl w:val="0"/>
        <w:autoSpaceDE w:val="0"/>
        <w:autoSpaceDN w:val="0"/>
        <w:adjustRightInd w:val="0"/>
        <w:spacing w:before="140" w:line="288" w:lineRule="auto"/>
        <w:ind w:left="851" w:hanging="851"/>
        <w:jc w:val="right"/>
        <w:rPr>
          <w:rFonts w:ascii="Times New Roman" w:hAnsi="Times New Roman"/>
          <w:sz w:val="24"/>
          <w:szCs w:val="24"/>
        </w:rPr>
      </w:pPr>
    </w:p>
    <w:p w14:paraId="3CC27F64"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0C9DE850"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20E5F565"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3103DD3D" w14:textId="26708DAF" w:rsidR="00707358" w:rsidRDefault="00707358" w:rsidP="00707358">
      <w:pPr>
        <w:keepNext/>
        <w:widowControl w:val="0"/>
        <w:autoSpaceDE w:val="0"/>
        <w:autoSpaceDN w:val="0"/>
        <w:adjustRightInd w:val="0"/>
        <w:spacing w:before="140" w:line="288" w:lineRule="auto"/>
        <w:rPr>
          <w:rFonts w:ascii="Times New Roman" w:hAnsi="Times New Roman"/>
          <w:sz w:val="24"/>
          <w:szCs w:val="24"/>
        </w:rPr>
      </w:pPr>
    </w:p>
    <w:p w14:paraId="46F84A64" w14:textId="3E4AB3AC" w:rsidR="00707358" w:rsidRDefault="00707358" w:rsidP="00707358">
      <w:pPr>
        <w:keepNext/>
        <w:widowControl w:val="0"/>
        <w:autoSpaceDE w:val="0"/>
        <w:autoSpaceDN w:val="0"/>
        <w:adjustRightInd w:val="0"/>
        <w:spacing w:before="140" w:line="288" w:lineRule="auto"/>
        <w:rPr>
          <w:rFonts w:ascii="Times New Roman" w:hAnsi="Times New Roman"/>
          <w:sz w:val="24"/>
          <w:szCs w:val="24"/>
        </w:rPr>
      </w:pPr>
    </w:p>
    <w:p w14:paraId="52DBA30D" w14:textId="77777777" w:rsidR="00707358" w:rsidRDefault="00707358" w:rsidP="00707358">
      <w:pPr>
        <w:keepNext/>
        <w:widowControl w:val="0"/>
        <w:autoSpaceDE w:val="0"/>
        <w:autoSpaceDN w:val="0"/>
        <w:adjustRightInd w:val="0"/>
        <w:spacing w:before="140" w:line="288" w:lineRule="auto"/>
        <w:rPr>
          <w:rFonts w:ascii="Times New Roman" w:hAnsi="Times New Roman"/>
          <w:sz w:val="24"/>
          <w:szCs w:val="24"/>
        </w:rPr>
      </w:pPr>
    </w:p>
    <w:p w14:paraId="7C4B33D0"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6C0FBDC7"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32F06804" w14:textId="77777777" w:rsidR="00707358" w:rsidRDefault="00707358" w:rsidP="00707358">
      <w:pPr>
        <w:keepNext/>
        <w:widowControl w:val="0"/>
        <w:autoSpaceDE w:val="0"/>
        <w:autoSpaceDN w:val="0"/>
        <w:adjustRightInd w:val="0"/>
        <w:spacing w:before="140" w:line="288" w:lineRule="auto"/>
        <w:ind w:left="851" w:hanging="851"/>
        <w:jc w:val="right"/>
        <w:rPr>
          <w:rFonts w:ascii="Times New Roman" w:hAnsi="Times New Roman"/>
          <w:sz w:val="24"/>
          <w:szCs w:val="24"/>
        </w:rPr>
      </w:pPr>
      <w:r>
        <w:rPr>
          <w:rFonts w:ascii="Times New Roman" w:hAnsi="Times New Roman"/>
          <w:noProof/>
          <w:sz w:val="24"/>
          <w:szCs w:val="24"/>
        </w:rPr>
        <w:drawing>
          <wp:inline distT="0" distB="0" distL="0" distR="0" wp14:anchorId="2BF63EB9" wp14:editId="20D10C89">
            <wp:extent cx="3133725" cy="1284827"/>
            <wp:effectExtent l="0" t="0" r="0" b="0"/>
            <wp:docPr id="3" name="Imagem 3"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10;&#10;Descrição gerada automaticamente com confiança média"/>
                    <pic:cNvPicPr/>
                  </pic:nvPicPr>
                  <pic:blipFill>
                    <a:blip r:embed="rId8"/>
                    <a:stretch>
                      <a:fillRect/>
                    </a:stretch>
                  </pic:blipFill>
                  <pic:spPr>
                    <a:xfrm>
                      <a:off x="0" y="0"/>
                      <a:ext cx="3133725" cy="1284827"/>
                    </a:xfrm>
                    <a:prstGeom prst="rect">
                      <a:avLst/>
                    </a:prstGeom>
                  </pic:spPr>
                </pic:pic>
              </a:graphicData>
            </a:graphic>
          </wp:inline>
        </w:drawing>
      </w:r>
    </w:p>
    <w:p w14:paraId="4BD32A82" w14:textId="77777777" w:rsidR="00707358" w:rsidRPr="00467F42" w:rsidRDefault="00707358" w:rsidP="00707358">
      <w:pPr>
        <w:keepNext/>
        <w:widowControl w:val="0"/>
        <w:autoSpaceDE w:val="0"/>
        <w:autoSpaceDN w:val="0"/>
        <w:adjustRightInd w:val="0"/>
        <w:spacing w:before="140" w:line="288" w:lineRule="auto"/>
        <w:ind w:left="851" w:hanging="851"/>
        <w:jc w:val="right"/>
        <w:rPr>
          <w:rFonts w:ascii="Humanist 521" w:hAnsi="Humanist 521"/>
          <w:sz w:val="24"/>
          <w:szCs w:val="24"/>
        </w:rPr>
      </w:pPr>
      <w:r w:rsidRPr="00467F42">
        <w:rPr>
          <w:rFonts w:ascii="Humanist 521" w:hAnsi="Humanist 521"/>
          <w:sz w:val="24"/>
          <w:szCs w:val="24"/>
        </w:rPr>
        <w:t>Demonstrações contábeis referentes ao exercício findo em 31 de dezembro de 2020</w:t>
      </w:r>
    </w:p>
    <w:p w14:paraId="7F129AE2" w14:textId="77777777" w:rsidR="00707358" w:rsidRPr="00467F42"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r w:rsidRPr="00467F42">
        <w:rPr>
          <w:rFonts w:ascii="Humanist 521" w:hAnsi="Humanist 521"/>
          <w:b/>
          <w:bCs/>
          <w:sz w:val="24"/>
          <w:szCs w:val="24"/>
        </w:rPr>
        <w:t>Companhia São Paulo de Desenvolvimento e Mobilização de Ativos</w:t>
      </w:r>
    </w:p>
    <w:p w14:paraId="07CCD241" w14:textId="77777777" w:rsidR="00707358"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r w:rsidRPr="00467F42">
        <w:rPr>
          <w:rFonts w:ascii="Humanist 521" w:hAnsi="Humanist 521"/>
          <w:b/>
          <w:bCs/>
          <w:sz w:val="24"/>
          <w:szCs w:val="24"/>
        </w:rPr>
        <w:t>CNPJ 11.697.171/0001-38</w:t>
      </w:r>
    </w:p>
    <w:p w14:paraId="57AACEB8" w14:textId="77777777" w:rsidR="00707358"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p>
    <w:p w14:paraId="4EC95125" w14:textId="77777777" w:rsidR="00707358"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p>
    <w:p w14:paraId="1C3ACC4A" w14:textId="77777777" w:rsidR="00707358" w:rsidRPr="00D907B9"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p>
    <w:p w14:paraId="42F9B827"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sectPr w:rsidR="00707358" w:rsidSect="004400F7">
          <w:headerReference w:type="default" r:id="rId9"/>
          <w:pgSz w:w="11907" w:h="16840" w:code="9"/>
          <w:pgMar w:top="1985" w:right="1134" w:bottom="1134" w:left="1134" w:header="567" w:footer="567" w:gutter="0"/>
          <w:cols w:space="720"/>
          <w:noEndnote/>
        </w:sectPr>
      </w:pPr>
    </w:p>
    <w:p w14:paraId="011A86CA"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r>
        <w:rPr>
          <w:rFonts w:ascii="Times New Roman" w:hAnsi="Times New Roman"/>
          <w:noProof/>
          <w:sz w:val="24"/>
          <w:szCs w:val="24"/>
        </w:rPr>
        <w:lastRenderedPageBreak/>
        <w:drawing>
          <wp:inline distT="0" distB="0" distL="0" distR="0" wp14:anchorId="0EDAA8A2" wp14:editId="7583FF8D">
            <wp:extent cx="1554413" cy="637309"/>
            <wp:effectExtent l="0" t="0" r="8255" b="0"/>
            <wp:docPr id="11" name="Imagem 11"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10;&#10;Descrição gerada automaticamente com confiança média"/>
                    <pic:cNvPicPr/>
                  </pic:nvPicPr>
                  <pic:blipFill>
                    <a:blip r:embed="rId8"/>
                    <a:stretch>
                      <a:fillRect/>
                    </a:stretch>
                  </pic:blipFill>
                  <pic:spPr>
                    <a:xfrm>
                      <a:off x="0" y="0"/>
                      <a:ext cx="1562909" cy="640792"/>
                    </a:xfrm>
                    <a:prstGeom prst="rect">
                      <a:avLst/>
                    </a:prstGeom>
                  </pic:spPr>
                </pic:pic>
              </a:graphicData>
            </a:graphic>
          </wp:inline>
        </w:drawing>
      </w:r>
    </w:p>
    <w:p w14:paraId="71B1A5F5" w14:textId="77777777" w:rsidR="00707358" w:rsidRDefault="00707358" w:rsidP="00707358">
      <w:pPr>
        <w:pStyle w:val="Corpodetexto"/>
        <w:rPr>
          <w:sz w:val="20"/>
        </w:rPr>
      </w:pPr>
    </w:p>
    <w:p w14:paraId="47389926" w14:textId="77777777" w:rsidR="00707358" w:rsidRPr="00467F42" w:rsidRDefault="00707358" w:rsidP="00707358">
      <w:pPr>
        <w:keepNext/>
        <w:widowControl w:val="0"/>
        <w:tabs>
          <w:tab w:val="left" w:pos="3402"/>
        </w:tabs>
        <w:autoSpaceDE w:val="0"/>
        <w:autoSpaceDN w:val="0"/>
        <w:adjustRightInd w:val="0"/>
        <w:spacing w:before="140" w:line="288" w:lineRule="auto"/>
        <w:ind w:right="5244"/>
        <w:jc w:val="left"/>
        <w:rPr>
          <w:rFonts w:ascii="Humanist 521" w:hAnsi="Humanist 521"/>
          <w:sz w:val="24"/>
          <w:szCs w:val="24"/>
        </w:rPr>
      </w:pPr>
      <w:r w:rsidRPr="00467F42">
        <w:rPr>
          <w:rFonts w:ascii="Humanist 521" w:hAnsi="Humanist 521"/>
          <w:sz w:val="24"/>
          <w:szCs w:val="24"/>
        </w:rPr>
        <w:t>Demonstrações contábeis referentes ao exercício findo em 31 de dezembro de 2020</w:t>
      </w:r>
    </w:p>
    <w:p w14:paraId="61581075" w14:textId="77777777" w:rsidR="00707358" w:rsidRPr="00D907B9" w:rsidRDefault="00707358" w:rsidP="00707358">
      <w:pPr>
        <w:pStyle w:val="Corpodetexto"/>
        <w:rPr>
          <w:rFonts w:ascii="Times New Roman" w:hAnsi="Times New Roman"/>
          <w:sz w:val="24"/>
          <w:szCs w:val="24"/>
        </w:rPr>
      </w:pPr>
    </w:p>
    <w:p w14:paraId="0A7C478D" w14:textId="4F0B1432" w:rsidR="00707358" w:rsidRPr="00DE76E9" w:rsidRDefault="00707358" w:rsidP="00707358">
      <w:pPr>
        <w:pStyle w:val="Corpodetexto"/>
        <w:rPr>
          <w:rFonts w:ascii="Times New Roman" w:hAnsi="Times New Roman"/>
          <w:sz w:val="24"/>
          <w:szCs w:val="24"/>
        </w:rPr>
      </w:pPr>
    </w:p>
    <w:sdt>
      <w:sdtPr>
        <w:rPr>
          <w:rFonts w:ascii="Times New Roman" w:eastAsia="Times New Roman" w:hAnsi="Times New Roman" w:cs="Times New Roman"/>
          <w:color w:val="auto"/>
          <w:sz w:val="24"/>
          <w:szCs w:val="24"/>
        </w:rPr>
        <w:id w:val="-712566852"/>
        <w:docPartObj>
          <w:docPartGallery w:val="Table of Contents"/>
          <w:docPartUnique/>
        </w:docPartObj>
      </w:sdtPr>
      <w:sdtEndPr>
        <w:rPr>
          <w:b/>
          <w:bCs/>
        </w:rPr>
      </w:sdtEndPr>
      <w:sdtContent>
        <w:p w14:paraId="6E206A3B" w14:textId="5A1CA0F9" w:rsidR="00726C93" w:rsidRPr="00DE76E9" w:rsidRDefault="00726C93" w:rsidP="00C738E6">
          <w:pPr>
            <w:pStyle w:val="CabealhodoSumrio"/>
            <w:spacing w:before="0" w:line="480" w:lineRule="auto"/>
            <w:jc w:val="both"/>
            <w:rPr>
              <w:rFonts w:ascii="Times New Roman" w:hAnsi="Times New Roman" w:cs="Times New Roman"/>
              <w:color w:val="auto"/>
              <w:sz w:val="24"/>
              <w:szCs w:val="24"/>
            </w:rPr>
          </w:pPr>
          <w:r w:rsidRPr="00DE76E9">
            <w:rPr>
              <w:rFonts w:ascii="Times New Roman" w:hAnsi="Times New Roman" w:cs="Times New Roman"/>
              <w:color w:val="auto"/>
              <w:sz w:val="24"/>
              <w:szCs w:val="24"/>
            </w:rPr>
            <w:t>Índice</w:t>
          </w:r>
        </w:p>
        <w:p w14:paraId="17585D08" w14:textId="77777777" w:rsidR="00726C93" w:rsidRPr="00DE76E9" w:rsidRDefault="00726C93" w:rsidP="00C738E6">
          <w:pPr>
            <w:spacing w:line="480" w:lineRule="auto"/>
            <w:rPr>
              <w:rFonts w:ascii="Times New Roman" w:hAnsi="Times New Roman"/>
              <w:sz w:val="24"/>
              <w:szCs w:val="24"/>
            </w:rPr>
          </w:pPr>
        </w:p>
        <w:p w14:paraId="780A0F19" w14:textId="4424A768" w:rsidR="00C738E6" w:rsidRPr="00DE76E9" w:rsidRDefault="00726C93" w:rsidP="00C738E6">
          <w:pPr>
            <w:pStyle w:val="Sumrio1"/>
            <w:tabs>
              <w:tab w:val="right" w:leader="dot" w:pos="8494"/>
            </w:tabs>
            <w:spacing w:after="0" w:line="480" w:lineRule="auto"/>
            <w:rPr>
              <w:rFonts w:ascii="Times New Roman" w:eastAsiaTheme="minorEastAsia" w:hAnsi="Times New Roman"/>
              <w:noProof/>
              <w:sz w:val="24"/>
              <w:szCs w:val="24"/>
            </w:rPr>
          </w:pPr>
          <w:r w:rsidRPr="00DE76E9">
            <w:rPr>
              <w:rFonts w:ascii="Times New Roman" w:hAnsi="Times New Roman"/>
              <w:sz w:val="24"/>
              <w:szCs w:val="24"/>
            </w:rPr>
            <w:fldChar w:fldCharType="begin"/>
          </w:r>
          <w:r w:rsidRPr="00DE76E9">
            <w:rPr>
              <w:rFonts w:ascii="Times New Roman" w:hAnsi="Times New Roman"/>
              <w:sz w:val="24"/>
              <w:szCs w:val="24"/>
            </w:rPr>
            <w:instrText xml:space="preserve"> TOC \o "1-3" \h \z \u </w:instrText>
          </w:r>
          <w:r w:rsidRPr="00DE76E9">
            <w:rPr>
              <w:rFonts w:ascii="Times New Roman" w:hAnsi="Times New Roman"/>
              <w:sz w:val="24"/>
              <w:szCs w:val="24"/>
            </w:rPr>
            <w:fldChar w:fldCharType="separate"/>
          </w:r>
          <w:hyperlink w:anchor="_Toc81581289" w:history="1">
            <w:r w:rsidR="00C738E6" w:rsidRPr="00DE76E9">
              <w:rPr>
                <w:rStyle w:val="Hyperlink"/>
                <w:rFonts w:ascii="Times New Roman" w:hAnsi="Times New Roman"/>
                <w:noProof/>
                <w:sz w:val="24"/>
                <w:szCs w:val="24"/>
              </w:rPr>
              <w:t>RELATÓRIO DO AUDITOR INDEPENDENTE SOBRE AS DEMONSTRAÇÕES CONTÁBEIS</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_Toc81581289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1</w:t>
            </w:r>
            <w:r w:rsidR="00C738E6" w:rsidRPr="00DE76E9">
              <w:rPr>
                <w:rFonts w:ascii="Times New Roman" w:hAnsi="Times New Roman"/>
                <w:noProof/>
                <w:webHidden/>
                <w:sz w:val="24"/>
                <w:szCs w:val="24"/>
              </w:rPr>
              <w:fldChar w:fldCharType="end"/>
            </w:r>
          </w:hyperlink>
        </w:p>
        <w:p w14:paraId="34F2301D" w14:textId="0978E61B"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0" w:history="1">
            <w:r w:rsidR="00C738E6" w:rsidRPr="00DE76E9">
              <w:rPr>
                <w:rStyle w:val="Hyperlink"/>
                <w:rFonts w:ascii="Times New Roman" w:hAnsi="Times New Roman"/>
                <w:noProof/>
                <w:sz w:val="24"/>
                <w:szCs w:val="24"/>
              </w:rPr>
              <w:t>BALANÇO PATRIMONIAL</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_Toc81581290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7</w:t>
            </w:r>
            <w:r w:rsidR="00C738E6" w:rsidRPr="00DE76E9">
              <w:rPr>
                <w:rFonts w:ascii="Times New Roman" w:hAnsi="Times New Roman"/>
                <w:noProof/>
                <w:webHidden/>
                <w:sz w:val="24"/>
                <w:szCs w:val="24"/>
              </w:rPr>
              <w:fldChar w:fldCharType="end"/>
            </w:r>
          </w:hyperlink>
        </w:p>
        <w:p w14:paraId="4A2C9017" w14:textId="4B8F0BD6"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1" w:history="1">
            <w:r w:rsidR="00C738E6" w:rsidRPr="00DE76E9">
              <w:rPr>
                <w:rStyle w:val="Hyperlink"/>
                <w:rFonts w:ascii="Times New Roman" w:hAnsi="Times New Roman"/>
                <w:noProof/>
                <w:sz w:val="24"/>
                <w:szCs w:val="24"/>
              </w:rPr>
              <w:t>DEMONSTRAÇÃO DO RESULTADO</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_Toc81581291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9</w:t>
            </w:r>
            <w:r w:rsidR="00C738E6" w:rsidRPr="00DE76E9">
              <w:rPr>
                <w:rFonts w:ascii="Times New Roman" w:hAnsi="Times New Roman"/>
                <w:noProof/>
                <w:webHidden/>
                <w:sz w:val="24"/>
                <w:szCs w:val="24"/>
              </w:rPr>
              <w:fldChar w:fldCharType="end"/>
            </w:r>
          </w:hyperlink>
        </w:p>
        <w:p w14:paraId="2AA0AE1B" w14:textId="02FAA96C"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2" w:history="1">
            <w:r w:rsidR="00C738E6" w:rsidRPr="00DE76E9">
              <w:rPr>
                <w:rStyle w:val="Hyperlink"/>
                <w:rFonts w:ascii="Times New Roman" w:hAnsi="Times New Roman"/>
                <w:noProof/>
                <w:sz w:val="24"/>
                <w:szCs w:val="24"/>
              </w:rPr>
              <w:t>DEMONSTRAÇÃO DO FLUXO DE CAIXA - MÉTODO INDIRETO</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_Toc81581292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12</w:t>
            </w:r>
            <w:r w:rsidR="00C738E6" w:rsidRPr="00DE76E9">
              <w:rPr>
                <w:rFonts w:ascii="Times New Roman" w:hAnsi="Times New Roman"/>
                <w:noProof/>
                <w:webHidden/>
                <w:sz w:val="24"/>
                <w:szCs w:val="24"/>
              </w:rPr>
              <w:fldChar w:fldCharType="end"/>
            </w:r>
          </w:hyperlink>
        </w:p>
        <w:p w14:paraId="7143FCED" w14:textId="47D38F18"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3" w:history="1">
            <w:r w:rsidR="00C738E6" w:rsidRPr="00DE76E9">
              <w:rPr>
                <w:rStyle w:val="Hyperlink"/>
                <w:rFonts w:ascii="Times New Roman" w:hAnsi="Times New Roman"/>
                <w:noProof/>
                <w:sz w:val="24"/>
                <w:szCs w:val="24"/>
              </w:rPr>
              <w:t>DEMONSTRAÇÕES DAS MUTAÇÕES DO PATRIMÔNIO LIQUIDO REFERENTES</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_Toc81581293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14</w:t>
            </w:r>
            <w:r w:rsidR="00C738E6" w:rsidRPr="00DE76E9">
              <w:rPr>
                <w:rFonts w:ascii="Times New Roman" w:hAnsi="Times New Roman"/>
                <w:noProof/>
                <w:webHidden/>
                <w:sz w:val="24"/>
                <w:szCs w:val="24"/>
              </w:rPr>
              <w:fldChar w:fldCharType="end"/>
            </w:r>
          </w:hyperlink>
        </w:p>
        <w:p w14:paraId="584AF600" w14:textId="7278D987"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4" w:history="1">
            <w:r w:rsidR="00C738E6" w:rsidRPr="00DE76E9">
              <w:rPr>
                <w:rStyle w:val="Hyperlink"/>
                <w:rFonts w:ascii="Times New Roman" w:hAnsi="Times New Roman"/>
                <w:noProof/>
                <w:sz w:val="24"/>
                <w:szCs w:val="24"/>
              </w:rPr>
              <w:t>DEMONSTRAÇÃO DO RESULTADO ABRANGENTE</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_Toc81581294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16</w:t>
            </w:r>
            <w:r w:rsidR="00C738E6" w:rsidRPr="00DE76E9">
              <w:rPr>
                <w:rFonts w:ascii="Times New Roman" w:hAnsi="Times New Roman"/>
                <w:noProof/>
                <w:webHidden/>
                <w:sz w:val="24"/>
                <w:szCs w:val="24"/>
              </w:rPr>
              <w:fldChar w:fldCharType="end"/>
            </w:r>
          </w:hyperlink>
        </w:p>
        <w:p w14:paraId="4ECC390A" w14:textId="183A5E3A"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5" w:history="1">
            <w:r w:rsidR="00C738E6" w:rsidRPr="00DE76E9">
              <w:rPr>
                <w:rStyle w:val="Hyperlink"/>
                <w:rFonts w:ascii="Times New Roman" w:hAnsi="Times New Roman"/>
                <w:noProof/>
                <w:sz w:val="24"/>
                <w:szCs w:val="24"/>
              </w:rPr>
              <w:t>NOTAS EXPLICATIVAS ÀS DEMONSTRAÇÕES FINANCEIRAS</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_Toc81581295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17</w:t>
            </w:r>
            <w:r w:rsidR="00C738E6" w:rsidRPr="00DE76E9">
              <w:rPr>
                <w:rFonts w:ascii="Times New Roman" w:hAnsi="Times New Roman"/>
                <w:noProof/>
                <w:webHidden/>
                <w:sz w:val="24"/>
                <w:szCs w:val="24"/>
              </w:rPr>
              <w:fldChar w:fldCharType="end"/>
            </w:r>
          </w:hyperlink>
        </w:p>
        <w:p w14:paraId="0BB502B6" w14:textId="477C0177"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6" w:history="1">
            <w:r w:rsidR="00C738E6" w:rsidRPr="00DE76E9">
              <w:rPr>
                <w:rStyle w:val="Hyperlink"/>
                <w:rFonts w:ascii="Times New Roman" w:hAnsi="Times New Roman"/>
                <w:noProof/>
                <w:sz w:val="24"/>
                <w:szCs w:val="24"/>
              </w:rPr>
              <w:t>PARECER DO CONSELHO FISCAL</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_Toc81581296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38</w:t>
            </w:r>
            <w:r w:rsidR="00C738E6" w:rsidRPr="00DE76E9">
              <w:rPr>
                <w:rFonts w:ascii="Times New Roman" w:hAnsi="Times New Roman"/>
                <w:noProof/>
                <w:webHidden/>
                <w:sz w:val="24"/>
                <w:szCs w:val="24"/>
              </w:rPr>
              <w:fldChar w:fldCharType="end"/>
            </w:r>
          </w:hyperlink>
        </w:p>
        <w:p w14:paraId="3A35BDEF" w14:textId="479D95CD" w:rsidR="00C738E6" w:rsidRPr="00DE76E9" w:rsidRDefault="000D310F" w:rsidP="00C738E6">
          <w:pPr>
            <w:pStyle w:val="Sumrio1"/>
            <w:tabs>
              <w:tab w:val="right" w:leader="dot" w:pos="8494"/>
            </w:tabs>
            <w:spacing w:after="0" w:line="480" w:lineRule="auto"/>
            <w:rPr>
              <w:rFonts w:ascii="Times New Roman" w:eastAsiaTheme="minorEastAsia" w:hAnsi="Times New Roman"/>
              <w:noProof/>
              <w:sz w:val="24"/>
              <w:szCs w:val="24"/>
            </w:rPr>
          </w:pPr>
          <w:hyperlink w:anchor="_Toc81581297" w:history="1">
            <w:r w:rsidR="00C738E6" w:rsidRPr="00DE76E9">
              <w:rPr>
                <w:rStyle w:val="Hyperlink"/>
                <w:rFonts w:ascii="Times New Roman" w:hAnsi="Times New Roman"/>
                <w:noProof/>
                <w:sz w:val="24"/>
                <w:szCs w:val="24"/>
              </w:rPr>
              <w:t>RELATÓRIO DA ADMINISTRAÇÃO</w:t>
            </w:r>
            <w:r w:rsidR="00C738E6" w:rsidRPr="00DE76E9">
              <w:rPr>
                <w:rFonts w:ascii="Times New Roman" w:hAnsi="Times New Roman"/>
                <w:noProof/>
                <w:webHidden/>
                <w:sz w:val="24"/>
                <w:szCs w:val="24"/>
              </w:rPr>
              <w:tab/>
            </w:r>
            <w:r w:rsidR="00C738E6" w:rsidRPr="00DE76E9">
              <w:rPr>
                <w:rFonts w:ascii="Times New Roman" w:hAnsi="Times New Roman"/>
                <w:noProof/>
                <w:webHidden/>
                <w:sz w:val="24"/>
                <w:szCs w:val="24"/>
              </w:rPr>
              <w:fldChar w:fldCharType="begin"/>
            </w:r>
            <w:r w:rsidR="00C738E6" w:rsidRPr="00DE76E9">
              <w:rPr>
                <w:rFonts w:ascii="Times New Roman" w:hAnsi="Times New Roman"/>
                <w:noProof/>
                <w:webHidden/>
                <w:sz w:val="24"/>
                <w:szCs w:val="24"/>
              </w:rPr>
              <w:instrText xml:space="preserve"> PAGEREF _Toc81581297 \h </w:instrText>
            </w:r>
            <w:r w:rsidR="00C738E6" w:rsidRPr="00DE76E9">
              <w:rPr>
                <w:rFonts w:ascii="Times New Roman" w:hAnsi="Times New Roman"/>
                <w:noProof/>
                <w:webHidden/>
                <w:sz w:val="24"/>
                <w:szCs w:val="24"/>
              </w:rPr>
            </w:r>
            <w:r w:rsidR="00C738E6" w:rsidRPr="00DE76E9">
              <w:rPr>
                <w:rFonts w:ascii="Times New Roman" w:hAnsi="Times New Roman"/>
                <w:noProof/>
                <w:webHidden/>
                <w:sz w:val="24"/>
                <w:szCs w:val="24"/>
              </w:rPr>
              <w:fldChar w:fldCharType="separate"/>
            </w:r>
            <w:r w:rsidR="00C738E6" w:rsidRPr="00DE76E9">
              <w:rPr>
                <w:rFonts w:ascii="Times New Roman" w:hAnsi="Times New Roman"/>
                <w:noProof/>
                <w:webHidden/>
                <w:sz w:val="24"/>
                <w:szCs w:val="24"/>
              </w:rPr>
              <w:t>40</w:t>
            </w:r>
            <w:r w:rsidR="00C738E6" w:rsidRPr="00DE76E9">
              <w:rPr>
                <w:rFonts w:ascii="Times New Roman" w:hAnsi="Times New Roman"/>
                <w:noProof/>
                <w:webHidden/>
                <w:sz w:val="24"/>
                <w:szCs w:val="24"/>
              </w:rPr>
              <w:fldChar w:fldCharType="end"/>
            </w:r>
          </w:hyperlink>
        </w:p>
        <w:p w14:paraId="6C9859B5" w14:textId="3AC44E0B" w:rsidR="00726C93" w:rsidRPr="00C738E6" w:rsidRDefault="00726C93" w:rsidP="00C738E6">
          <w:pPr>
            <w:spacing w:line="480" w:lineRule="auto"/>
            <w:rPr>
              <w:rFonts w:ascii="Times New Roman" w:hAnsi="Times New Roman"/>
              <w:sz w:val="24"/>
              <w:szCs w:val="24"/>
            </w:rPr>
          </w:pPr>
          <w:r w:rsidRPr="00DE76E9">
            <w:rPr>
              <w:rFonts w:ascii="Times New Roman" w:hAnsi="Times New Roman"/>
              <w:sz w:val="24"/>
              <w:szCs w:val="24"/>
            </w:rPr>
            <w:fldChar w:fldCharType="end"/>
          </w:r>
        </w:p>
      </w:sdtContent>
    </w:sdt>
    <w:p w14:paraId="681C8410" w14:textId="77777777" w:rsidR="00726C93" w:rsidRDefault="00726C93" w:rsidP="00707358">
      <w:pPr>
        <w:pStyle w:val="Sumrio11"/>
        <w:spacing w:before="0" w:line="360" w:lineRule="auto"/>
        <w:ind w:left="0"/>
        <w:rPr>
          <w:rFonts w:ascii="Times New Roman" w:hAnsi="Times New Roman" w:cs="Times New Roman"/>
          <w:w w:val="105"/>
          <w:sz w:val="24"/>
          <w:szCs w:val="24"/>
        </w:rPr>
      </w:pPr>
    </w:p>
    <w:p w14:paraId="3D90A820" w14:textId="718E963C" w:rsidR="00707358" w:rsidRDefault="00707358"/>
    <w:p w14:paraId="062667FF" w14:textId="0A706035" w:rsidR="00707358" w:rsidRDefault="00707358"/>
    <w:p w14:paraId="14277812" w14:textId="49360176" w:rsidR="00707358" w:rsidRDefault="00707358"/>
    <w:p w14:paraId="37E2EB2D" w14:textId="1764F8FD" w:rsidR="00707358" w:rsidRDefault="00707358"/>
    <w:p w14:paraId="27925246" w14:textId="77777777" w:rsidR="00707358" w:rsidRDefault="00707358">
      <w:pPr>
        <w:sectPr w:rsidR="00707358">
          <w:pgSz w:w="11906" w:h="16838"/>
          <w:pgMar w:top="1417" w:right="1701" w:bottom="1417" w:left="1701" w:header="708" w:footer="708" w:gutter="0"/>
          <w:cols w:space="708"/>
          <w:docGrid w:linePitch="360"/>
        </w:sectPr>
      </w:pPr>
    </w:p>
    <w:p w14:paraId="7F7B4EDE" w14:textId="32C97B8F" w:rsidR="008C04F4" w:rsidRPr="008C04F4" w:rsidRDefault="00F24C0F" w:rsidP="008C04F4">
      <w:pPr>
        <w:pStyle w:val="Default"/>
        <w:rPr>
          <w:rFonts w:ascii="Times New Roman" w:hAnsi="Times New Roman" w:cs="Times New Roman"/>
        </w:rPr>
      </w:pPr>
      <w:r>
        <w:rPr>
          <w:rFonts w:ascii="Times New Roman" w:hAnsi="Times New Roman" w:cs="Times New Roman"/>
          <w:noProof/>
        </w:rPr>
        <w:lastRenderedPageBreak/>
        <w:drawing>
          <wp:inline distT="0" distB="0" distL="0" distR="0" wp14:anchorId="7695E135" wp14:editId="5CEB78FE">
            <wp:extent cx="5400040" cy="62420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0">
                      <a:extLst>
                        <a:ext uri="{28A0092B-C50C-407E-A947-70E740481C1C}">
                          <a14:useLocalDpi xmlns:a14="http://schemas.microsoft.com/office/drawing/2010/main" val="0"/>
                        </a:ext>
                      </a:extLst>
                    </a:blip>
                    <a:stretch>
                      <a:fillRect/>
                    </a:stretch>
                  </pic:blipFill>
                  <pic:spPr>
                    <a:xfrm>
                      <a:off x="0" y="0"/>
                      <a:ext cx="5400040" cy="624205"/>
                    </a:xfrm>
                    <a:prstGeom prst="rect">
                      <a:avLst/>
                    </a:prstGeom>
                  </pic:spPr>
                </pic:pic>
              </a:graphicData>
            </a:graphic>
          </wp:inline>
        </w:drawing>
      </w:r>
    </w:p>
    <w:p w14:paraId="3322D96A" w14:textId="77777777" w:rsidR="00F24C0F" w:rsidRDefault="00F24C0F" w:rsidP="00726C93">
      <w:pPr>
        <w:pStyle w:val="Default"/>
        <w:spacing w:line="360" w:lineRule="auto"/>
        <w:jc w:val="both"/>
        <w:outlineLvl w:val="0"/>
        <w:rPr>
          <w:rFonts w:ascii="Times New Roman" w:hAnsi="Times New Roman" w:cs="Times New Roman"/>
          <w:b/>
          <w:bCs/>
        </w:rPr>
      </w:pPr>
    </w:p>
    <w:p w14:paraId="388D863F" w14:textId="69FF9018" w:rsidR="008C04F4" w:rsidRDefault="008C04F4" w:rsidP="00726C93">
      <w:pPr>
        <w:pStyle w:val="Default"/>
        <w:spacing w:line="360" w:lineRule="auto"/>
        <w:jc w:val="center"/>
        <w:outlineLvl w:val="0"/>
        <w:rPr>
          <w:rFonts w:ascii="Times New Roman" w:hAnsi="Times New Roman" w:cs="Times New Roman"/>
          <w:b/>
          <w:bCs/>
        </w:rPr>
      </w:pPr>
      <w:bookmarkStart w:id="0" w:name="_Toc81581289"/>
      <w:r w:rsidRPr="008C04F4">
        <w:rPr>
          <w:rFonts w:ascii="Times New Roman" w:hAnsi="Times New Roman" w:cs="Times New Roman"/>
          <w:b/>
          <w:bCs/>
        </w:rPr>
        <w:t>RELATÓRIO DO AUDITOR INDEPENDENTE SOBRE AS DEMONSTRAÇÕES CONTÁBEIS</w:t>
      </w:r>
      <w:bookmarkEnd w:id="0"/>
    </w:p>
    <w:p w14:paraId="3980BB2B" w14:textId="77777777" w:rsidR="00F24C0F" w:rsidRPr="008C04F4" w:rsidRDefault="00F24C0F" w:rsidP="008C04F4">
      <w:pPr>
        <w:pStyle w:val="Default"/>
        <w:spacing w:line="360" w:lineRule="auto"/>
        <w:jc w:val="both"/>
        <w:rPr>
          <w:rFonts w:ascii="Times New Roman" w:hAnsi="Times New Roman" w:cs="Times New Roman"/>
        </w:rPr>
      </w:pPr>
    </w:p>
    <w:p w14:paraId="2863F26F"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rPr>
        <w:t xml:space="preserve">Aos Administradores da </w:t>
      </w:r>
    </w:p>
    <w:p w14:paraId="1D58541C"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b/>
          <w:bCs/>
        </w:rPr>
        <w:t xml:space="preserve">Cia São Paulo de Desenvolvimento e Mobilização de Ativos - SPDA </w:t>
      </w:r>
    </w:p>
    <w:p w14:paraId="609F6A18" w14:textId="6129D42B" w:rsid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rPr>
        <w:t xml:space="preserve">São Paulo (SP) </w:t>
      </w:r>
    </w:p>
    <w:p w14:paraId="1CBD6917" w14:textId="77777777" w:rsidR="00F24C0F" w:rsidRPr="008C04F4" w:rsidRDefault="00F24C0F" w:rsidP="008C04F4">
      <w:pPr>
        <w:pStyle w:val="Default"/>
        <w:spacing w:line="360" w:lineRule="auto"/>
        <w:jc w:val="both"/>
        <w:rPr>
          <w:rFonts w:ascii="Times New Roman" w:hAnsi="Times New Roman" w:cs="Times New Roman"/>
        </w:rPr>
      </w:pPr>
    </w:p>
    <w:p w14:paraId="5EB61633"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b/>
          <w:bCs/>
        </w:rPr>
        <w:t xml:space="preserve">Opinião </w:t>
      </w:r>
    </w:p>
    <w:p w14:paraId="0A7E898F"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rPr>
        <w:t xml:space="preserve">Examinamos as demonstrações contábeis da Companhia São Paulo de Desenvolvimento e Mobilização de Ativos – SPDA, que compreendem o balanço patrimonial em 31 de dezembro de 2020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14:paraId="336FDD0F" w14:textId="29754750" w:rsid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rPr>
        <w:t xml:space="preserve">Em nossa opinião as demonstrações contábeis acima referidas apresentam, adequadamente, em todos os aspectos relevantes, a posição patrimonial e financeira da Companhia São Paulo de Desenvolvimento e Mobilização de Ativos – SPDA em 31 de dezembro de 2020, o desempenho de suas operações e os seus fluxos de caixa para o exercício findo nessa data, de acordo com as práticas contábeis adotadas no Brasil. </w:t>
      </w:r>
    </w:p>
    <w:p w14:paraId="133D8522" w14:textId="77777777" w:rsidR="00F24C0F" w:rsidRPr="008C04F4" w:rsidRDefault="00F24C0F" w:rsidP="008C04F4">
      <w:pPr>
        <w:pStyle w:val="Default"/>
        <w:spacing w:line="360" w:lineRule="auto"/>
        <w:jc w:val="both"/>
        <w:rPr>
          <w:rFonts w:ascii="Times New Roman" w:hAnsi="Times New Roman" w:cs="Times New Roman"/>
        </w:rPr>
      </w:pPr>
    </w:p>
    <w:p w14:paraId="6580656F"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b/>
          <w:bCs/>
        </w:rPr>
        <w:t xml:space="preserve">Base para opinião </w:t>
      </w:r>
    </w:p>
    <w:p w14:paraId="09C03D20"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Cia São Paulo de Desenvolvimento e Mobilização de Ativos, consoante os princípios éticos relevantes previstos no Código de Ética Profissional do Contador e nas normas profissionais emitidas pelo Conselho Federal de Contabilidade. Cabe ressaltar que cumprimos com as demais responsabilidades éticas de acordo com essas normas. </w:t>
      </w:r>
    </w:p>
    <w:p w14:paraId="2EF5BA62" w14:textId="7CC22354" w:rsid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rPr>
        <w:lastRenderedPageBreak/>
        <w:t xml:space="preserve">Acreditamos que a evidência de auditoria obtida é suficiente e apropriada para fundamentar nossa opinião. </w:t>
      </w:r>
    </w:p>
    <w:p w14:paraId="567A603B" w14:textId="77777777" w:rsidR="00F24C0F" w:rsidRPr="008C04F4" w:rsidRDefault="00F24C0F" w:rsidP="008C04F4">
      <w:pPr>
        <w:pStyle w:val="Default"/>
        <w:spacing w:line="360" w:lineRule="auto"/>
        <w:jc w:val="both"/>
        <w:rPr>
          <w:rFonts w:ascii="Times New Roman" w:hAnsi="Times New Roman" w:cs="Times New Roman"/>
        </w:rPr>
      </w:pPr>
    </w:p>
    <w:p w14:paraId="23FC1F90" w14:textId="77777777" w:rsidR="008C04F4" w:rsidRPr="008C04F4" w:rsidRDefault="008C04F4" w:rsidP="008C04F4">
      <w:pPr>
        <w:pStyle w:val="Default"/>
        <w:spacing w:line="360" w:lineRule="auto"/>
        <w:jc w:val="both"/>
        <w:rPr>
          <w:rFonts w:ascii="Times New Roman" w:hAnsi="Times New Roman" w:cs="Times New Roman"/>
        </w:rPr>
      </w:pPr>
      <w:r w:rsidRPr="008C04F4">
        <w:rPr>
          <w:rFonts w:ascii="Times New Roman" w:hAnsi="Times New Roman" w:cs="Times New Roman"/>
          <w:b/>
          <w:bCs/>
        </w:rPr>
        <w:t xml:space="preserve">Principais assuntos de auditoria </w:t>
      </w:r>
    </w:p>
    <w:p w14:paraId="32464C7E" w14:textId="77777777" w:rsidR="00F24C0F" w:rsidRDefault="008C04F4" w:rsidP="00F24C0F">
      <w:pPr>
        <w:pStyle w:val="Default"/>
        <w:spacing w:line="360" w:lineRule="auto"/>
        <w:jc w:val="both"/>
        <w:rPr>
          <w:rFonts w:ascii="Times New Roman" w:hAnsi="Times New Roman" w:cs="Times New Roman"/>
        </w:rPr>
      </w:pPr>
      <w:r w:rsidRPr="008C04F4">
        <w:rPr>
          <w:rFonts w:ascii="Times New Roman" w:hAnsi="Times New Roman" w:cs="Times New Roman"/>
        </w:rPr>
        <w:t xml:space="preserve">Os chamados “Principais assuntos de auditoria” são aqueles que, em nosso julgamento profissional, são os mais significativos em nossa auditoria do exercício corrente. </w:t>
      </w:r>
    </w:p>
    <w:p w14:paraId="1F1247F6" w14:textId="4DF15BE2" w:rsidR="008C04F4" w:rsidRDefault="008C04F4" w:rsidP="00F24C0F">
      <w:pPr>
        <w:pStyle w:val="Default"/>
        <w:spacing w:line="360" w:lineRule="auto"/>
        <w:jc w:val="both"/>
        <w:rPr>
          <w:rFonts w:ascii="Times New Roman" w:hAnsi="Times New Roman" w:cs="Times New Roman"/>
          <w:color w:val="auto"/>
        </w:rPr>
      </w:pPr>
      <w:r w:rsidRPr="008C04F4">
        <w:rPr>
          <w:rFonts w:ascii="Times New Roman" w:hAnsi="Times New Roman" w:cs="Times New Roman"/>
          <w:color w:val="auto"/>
        </w:rPr>
        <w:t xml:space="preserve">Esses temas foram tratados no contexto de nossa auditoria das demonstrações contábeis como um todo, bem como na formação de nossa opinião sobre tais evidências contábeis e, portanto, não expressamos uma opinião separada sobre esses pontos. </w:t>
      </w:r>
    </w:p>
    <w:p w14:paraId="3F5ECC56" w14:textId="77777777" w:rsidR="00F24C0F" w:rsidRPr="008C04F4" w:rsidRDefault="00F24C0F" w:rsidP="00F24C0F">
      <w:pPr>
        <w:pStyle w:val="Default"/>
        <w:spacing w:line="360" w:lineRule="auto"/>
        <w:jc w:val="both"/>
        <w:rPr>
          <w:rFonts w:ascii="Times New Roman" w:hAnsi="Times New Roman" w:cs="Times New Roman"/>
          <w:color w:val="auto"/>
        </w:rPr>
      </w:pPr>
    </w:p>
    <w:p w14:paraId="1B5F7240" w14:textId="77777777" w:rsidR="008C04F4" w:rsidRPr="008C04F4" w:rsidRDefault="008C04F4" w:rsidP="008C04F4">
      <w:pPr>
        <w:pStyle w:val="Default"/>
        <w:spacing w:line="360" w:lineRule="auto"/>
        <w:jc w:val="both"/>
        <w:rPr>
          <w:rFonts w:ascii="Times New Roman" w:hAnsi="Times New Roman" w:cs="Times New Roman"/>
          <w:color w:val="auto"/>
        </w:rPr>
      </w:pPr>
      <w:r w:rsidRPr="008C04F4">
        <w:rPr>
          <w:rFonts w:ascii="Times New Roman" w:hAnsi="Times New Roman" w:cs="Times New Roman"/>
          <w:b/>
          <w:bCs/>
          <w:color w:val="auto"/>
        </w:rPr>
        <w:t xml:space="preserve">1. </w:t>
      </w:r>
      <w:r w:rsidRPr="008C04F4">
        <w:rPr>
          <w:rFonts w:ascii="Times New Roman" w:hAnsi="Times New Roman" w:cs="Times New Roman"/>
          <w:color w:val="auto"/>
        </w:rPr>
        <w:t xml:space="preserve">Conforme Nota 3.2.1.9 o IRPJ e CSLL diferidos foram calculados sobre as diferenças entre os saldos dos ativos e passivos das demonstrações financeiras e as correspondentes bases fiscais utilizadas no cálculo do IRPJ e CSLL correntes. O IRPJ e a CSLL diferidos são reconhecidos no montante provável em que os lucros tributáveis futuros serão suficientes para deduzir todas as diferenças temporárias, os prejuízos fiscais do IRPJ e bases negativas de CSLL. </w:t>
      </w:r>
    </w:p>
    <w:p w14:paraId="37AEB879" w14:textId="77777777" w:rsidR="008C04F4" w:rsidRPr="008C04F4" w:rsidRDefault="008C04F4" w:rsidP="008C04F4">
      <w:pPr>
        <w:pStyle w:val="Default"/>
        <w:spacing w:line="360" w:lineRule="auto"/>
        <w:jc w:val="both"/>
        <w:rPr>
          <w:rFonts w:ascii="Times New Roman" w:hAnsi="Times New Roman" w:cs="Times New Roman"/>
          <w:color w:val="auto"/>
        </w:rPr>
      </w:pPr>
    </w:p>
    <w:p w14:paraId="44E7CEC7" w14:textId="77777777" w:rsidR="008C04F4" w:rsidRPr="008C04F4" w:rsidRDefault="008C04F4" w:rsidP="008C04F4">
      <w:pPr>
        <w:pStyle w:val="Default"/>
        <w:spacing w:line="360" w:lineRule="auto"/>
        <w:jc w:val="both"/>
        <w:rPr>
          <w:rFonts w:ascii="Times New Roman" w:hAnsi="Times New Roman" w:cs="Times New Roman"/>
          <w:color w:val="auto"/>
        </w:rPr>
      </w:pPr>
      <w:r w:rsidRPr="008C04F4">
        <w:rPr>
          <w:rFonts w:ascii="Times New Roman" w:hAnsi="Times New Roman" w:cs="Times New Roman"/>
          <w:b/>
          <w:bCs/>
          <w:color w:val="auto"/>
        </w:rPr>
        <w:t xml:space="preserve">2. </w:t>
      </w:r>
      <w:r w:rsidRPr="008C04F4">
        <w:rPr>
          <w:rFonts w:ascii="Times New Roman" w:hAnsi="Times New Roman" w:cs="Times New Roman"/>
          <w:color w:val="auto"/>
        </w:rPr>
        <w:t xml:space="preserve">Conforme Nota nº 8, em 01 de novembro de 2016 foi iniciada a operação do FIDC, sob a forma de condomínio fechado, regido pela Resolução CMN nº 2.907/2001, pela Instrução CVM n° 356/01 e 444/2006, pelo seu Regulamento e pelas demais disposições legais e regulamentares aplicáveis, com a finalidade específica de adquirir direitos creditórios representados pela CCI nele integralizada pela SPDA. </w:t>
      </w:r>
    </w:p>
    <w:p w14:paraId="0BF47373" w14:textId="77777777" w:rsidR="008C04F4" w:rsidRPr="008C04F4" w:rsidRDefault="008C04F4" w:rsidP="008C04F4">
      <w:pPr>
        <w:pStyle w:val="Default"/>
        <w:spacing w:line="360" w:lineRule="auto"/>
        <w:jc w:val="both"/>
        <w:rPr>
          <w:rFonts w:ascii="Times New Roman" w:hAnsi="Times New Roman" w:cs="Times New Roman"/>
          <w:color w:val="auto"/>
        </w:rPr>
      </w:pPr>
    </w:p>
    <w:p w14:paraId="3BFDBD5F" w14:textId="77777777" w:rsidR="008C04F4" w:rsidRPr="008C04F4" w:rsidRDefault="008C04F4" w:rsidP="008C04F4">
      <w:pPr>
        <w:pStyle w:val="Default"/>
        <w:spacing w:line="360" w:lineRule="auto"/>
        <w:jc w:val="both"/>
        <w:rPr>
          <w:rFonts w:ascii="Times New Roman" w:hAnsi="Times New Roman" w:cs="Times New Roman"/>
          <w:color w:val="auto"/>
        </w:rPr>
      </w:pPr>
      <w:r w:rsidRPr="008C04F4">
        <w:rPr>
          <w:rFonts w:ascii="Times New Roman" w:hAnsi="Times New Roman" w:cs="Times New Roman"/>
          <w:color w:val="auto"/>
        </w:rPr>
        <w:t xml:space="preserve">Em 01 de novembro de 2016 a SPDA transferiu a CCI ao FIDC pelo valor de R$ 194.979.126,05, referente a 194,97912605 cotas. </w:t>
      </w:r>
    </w:p>
    <w:p w14:paraId="77FB1467" w14:textId="32D1D3EA" w:rsidR="00707358" w:rsidRDefault="008C04F4" w:rsidP="008C04F4">
      <w:pPr>
        <w:spacing w:line="360" w:lineRule="auto"/>
        <w:rPr>
          <w:rFonts w:ascii="Times New Roman" w:hAnsi="Times New Roman"/>
          <w:sz w:val="24"/>
          <w:szCs w:val="24"/>
        </w:rPr>
      </w:pPr>
      <w:r w:rsidRPr="008C04F4">
        <w:rPr>
          <w:rFonts w:ascii="Times New Roman" w:hAnsi="Times New Roman"/>
          <w:sz w:val="24"/>
          <w:szCs w:val="24"/>
        </w:rPr>
        <w:t>As cotas foram ajustadas ao seu valor justo em 31/12/2020, conforme movimentação abaixo demonstrada:</w:t>
      </w:r>
    </w:p>
    <w:p w14:paraId="36BB753A" w14:textId="26C4CDBA" w:rsidR="00F24C0F" w:rsidRDefault="00F24C0F" w:rsidP="00F24C0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67152585" wp14:editId="2C737046">
            <wp:extent cx="4584357" cy="1667382"/>
            <wp:effectExtent l="0" t="0" r="6985" b="9525"/>
            <wp:docPr id="5" name="Imagem 5"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abela&#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4593268" cy="1670623"/>
                    </a:xfrm>
                    <a:prstGeom prst="rect">
                      <a:avLst/>
                    </a:prstGeom>
                  </pic:spPr>
                </pic:pic>
              </a:graphicData>
            </a:graphic>
          </wp:inline>
        </w:drawing>
      </w:r>
    </w:p>
    <w:p w14:paraId="4A9C4305" w14:textId="112900C9"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lastRenderedPageBreak/>
        <w:t>As cotas do FIDC foram classificadas como ativos financeiros mensurados ao valor justo por meio do resultado e tem sua marcação atualizada mensalmente pelo administrador do FIDC com base no valor presente do fluxo de caixa remanescente dos direitos creditórios a uma taxa de desconto definida pelo Comitê de Investimentos do FIDC e pela Companhia. O fluxo de caixa remanescente é reavaliado periodicamente pelo administrador do FIDC levando em conta os fatores econômicos e operacionais com impacto direto sobre a recuperação, informados pelo gestor do FIDC ou diante de informações relevantes que afetem de forma efetiva a expectativa de recebimento do direito creditório.</w:t>
      </w:r>
    </w:p>
    <w:p w14:paraId="731C55CC" w14:textId="23193040"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3. Conforme Nota nº 9, em 31/10/2016 a SPDA fez um investimento no valor de R$ 1.000.000,00 (um milhão de reais) na Companhia Paulistana de Securitização – SP Securitização, na forma de integralização de capital social, e passou a ter uma participação de 22,20% em seu capital social, sendo a SP Securitização considerada, portanto, coligada, tendo a</w:t>
      </w:r>
      <w:r>
        <w:rPr>
          <w:rFonts w:ascii="Times New Roman" w:hAnsi="Times New Roman"/>
          <w:sz w:val="24"/>
          <w:szCs w:val="24"/>
        </w:rPr>
        <w:t xml:space="preserve"> </w:t>
      </w:r>
      <w:r w:rsidRPr="00F24C0F">
        <w:rPr>
          <w:rFonts w:ascii="Times New Roman" w:hAnsi="Times New Roman"/>
          <w:sz w:val="24"/>
          <w:szCs w:val="24"/>
        </w:rPr>
        <w:t>Companhia influência significativa sobre a SP Securitização.</w:t>
      </w:r>
    </w:p>
    <w:p w14:paraId="6D0FE4C6" w14:textId="4F14718C" w:rsid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O investimento foi avaliado pelo Método de Equivalência Patrimonial</w:t>
      </w:r>
      <w:r>
        <w:rPr>
          <w:rFonts w:ascii="Times New Roman" w:hAnsi="Times New Roman"/>
          <w:sz w:val="24"/>
          <w:szCs w:val="24"/>
        </w:rPr>
        <w:t xml:space="preserve"> </w:t>
      </w:r>
      <w:r w:rsidRPr="00F24C0F">
        <w:rPr>
          <w:rFonts w:ascii="Times New Roman" w:hAnsi="Times New Roman"/>
          <w:sz w:val="24"/>
          <w:szCs w:val="24"/>
        </w:rPr>
        <w:t>(MEP):</w:t>
      </w:r>
    </w:p>
    <w:p w14:paraId="77B76C89" w14:textId="2ADEF6CA" w:rsidR="00F24C0F" w:rsidRPr="00F24C0F" w:rsidRDefault="003A27CF" w:rsidP="00F24C0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59C06D5B" wp14:editId="67E3D5D7">
            <wp:extent cx="4389678" cy="1362611"/>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0901" cy="1375407"/>
                    </a:xfrm>
                    <a:prstGeom prst="rect">
                      <a:avLst/>
                    </a:prstGeom>
                    <a:noFill/>
                    <a:ln>
                      <a:noFill/>
                    </a:ln>
                  </pic:spPr>
                </pic:pic>
              </a:graphicData>
            </a:graphic>
          </wp:inline>
        </w:drawing>
      </w:r>
    </w:p>
    <w:p w14:paraId="52CBB104" w14:textId="06D33E04" w:rsidR="00F24C0F" w:rsidRDefault="00F24C0F" w:rsidP="00F24C0F">
      <w:pPr>
        <w:spacing w:line="360" w:lineRule="auto"/>
        <w:rPr>
          <w:rFonts w:ascii="Times New Roman" w:hAnsi="Times New Roman"/>
          <w:sz w:val="24"/>
          <w:szCs w:val="24"/>
        </w:rPr>
      </w:pPr>
      <w:r w:rsidRPr="00F24C0F">
        <w:rPr>
          <w:rFonts w:ascii="Times New Roman" w:hAnsi="Times New Roman"/>
          <w:b/>
          <w:bCs/>
          <w:sz w:val="24"/>
          <w:szCs w:val="24"/>
        </w:rPr>
        <w:t xml:space="preserve">4. </w:t>
      </w:r>
      <w:r w:rsidRPr="00F24C0F">
        <w:rPr>
          <w:rFonts w:ascii="Times New Roman" w:hAnsi="Times New Roman"/>
          <w:sz w:val="24"/>
          <w:szCs w:val="24"/>
        </w:rPr>
        <w:t xml:space="preserve">O IRPJ e CSLL diferidos foram calculados sobre a receita de ajuste a valor justo referente às cotas do FIDC. O IRPJ e a CSLL diferidos foram reconhecidos no montante provável em que os lucros tributáveis futuros serão suficientes para deduzir todas as diferenças temporárias, os prejuízos fiscais do IRPJ e bases negativas de CSLL e serão compensadas fiscalmente à medida da sua realização. </w:t>
      </w:r>
    </w:p>
    <w:p w14:paraId="70FEC55D" w14:textId="3D6B019B" w:rsidR="00F24C0F" w:rsidRPr="00F24C0F" w:rsidRDefault="00F24C0F" w:rsidP="00F24C0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4D29757E" wp14:editId="2B5DCBDB">
            <wp:extent cx="4809388" cy="902043"/>
            <wp:effectExtent l="0" t="0" r="0" b="0"/>
            <wp:docPr id="7" name="Imagem 7"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baixa"/>
                    <pic:cNvPicPr/>
                  </pic:nvPicPr>
                  <pic:blipFill>
                    <a:blip r:embed="rId13">
                      <a:extLst>
                        <a:ext uri="{28A0092B-C50C-407E-A947-70E740481C1C}">
                          <a14:useLocalDpi xmlns:a14="http://schemas.microsoft.com/office/drawing/2010/main" val="0"/>
                        </a:ext>
                      </a:extLst>
                    </a:blip>
                    <a:stretch>
                      <a:fillRect/>
                    </a:stretch>
                  </pic:blipFill>
                  <pic:spPr>
                    <a:xfrm>
                      <a:off x="0" y="0"/>
                      <a:ext cx="4829960" cy="905901"/>
                    </a:xfrm>
                    <a:prstGeom prst="rect">
                      <a:avLst/>
                    </a:prstGeom>
                  </pic:spPr>
                </pic:pic>
              </a:graphicData>
            </a:graphic>
          </wp:inline>
        </w:drawing>
      </w:r>
    </w:p>
    <w:p w14:paraId="456E0D7F" w14:textId="77777777" w:rsidR="00F24C0F" w:rsidRDefault="00F24C0F" w:rsidP="00F24C0F">
      <w:pPr>
        <w:spacing w:line="360" w:lineRule="auto"/>
        <w:rPr>
          <w:rFonts w:ascii="Times New Roman" w:hAnsi="Times New Roman"/>
          <w:sz w:val="24"/>
          <w:szCs w:val="24"/>
        </w:rPr>
      </w:pPr>
    </w:p>
    <w:p w14:paraId="668AB6A2"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b/>
          <w:bCs/>
          <w:sz w:val="24"/>
          <w:szCs w:val="24"/>
        </w:rPr>
        <w:t xml:space="preserve">Outras informações que acompanham as demonstrações contábeis e o relatório do auditor </w:t>
      </w:r>
    </w:p>
    <w:p w14:paraId="728D62BA"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lastRenderedPageBreak/>
        <w:t xml:space="preserve">A administração da Companhia é responsável por essas demais informações que compreendem o Relatório da Administração. </w:t>
      </w:r>
    </w:p>
    <w:p w14:paraId="35117FC5"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 xml:space="preserve">Nossa opinião sobre as demonstrações contábeis não abrange o Relatório da Administração, e não expressamos qualquer forma de conclusão de auditoria sobre esse relatório. </w:t>
      </w:r>
    </w:p>
    <w:p w14:paraId="7B5F6854"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 xml:space="preserve">Em conexão com a auditoria das demonstrações contábeis, nossa responsabilidade consiste em ler o Relatório da Administração e, ao fazê-lo, considerar se este se encontra inconsistente com as demonstrações contábeis, com o nosso conhecimento obtido na auditoria ou se, de outra forma, aparenta estar distorcido de forma relevante. </w:t>
      </w:r>
    </w:p>
    <w:p w14:paraId="62C350E6" w14:textId="08FC25DD" w:rsid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Se acaso concluirmos, com base no trabalho realizado, que há distorção significativa no Relatório da Administração, somos requeridos a comunicar esse fato. Não temos nada a relatar a este respeito.</w:t>
      </w:r>
    </w:p>
    <w:p w14:paraId="4C454CF3" w14:textId="19A5F2ED" w:rsidR="00F24C0F" w:rsidRDefault="00F24C0F" w:rsidP="00F24C0F">
      <w:pPr>
        <w:spacing w:line="360" w:lineRule="auto"/>
        <w:rPr>
          <w:rFonts w:ascii="Times New Roman" w:hAnsi="Times New Roman"/>
          <w:sz w:val="24"/>
          <w:szCs w:val="24"/>
        </w:rPr>
      </w:pPr>
    </w:p>
    <w:p w14:paraId="1A135D91"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b/>
          <w:bCs/>
          <w:sz w:val="24"/>
          <w:szCs w:val="24"/>
        </w:rPr>
        <w:t xml:space="preserve">Responsabilidade da administração e da governança pelas demonstrações contábeis </w:t>
      </w:r>
    </w:p>
    <w:p w14:paraId="73F9569E"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 xml:space="preserve">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 </w:t>
      </w:r>
    </w:p>
    <w:p w14:paraId="36D75FB9" w14:textId="236A7A61"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 xml:space="preserve">Na elaboração das demonstrações contábeis, a administração é responsável pela avaliação da capacidade da Cia São Paulo de Desenvolvimento e Mobilização de Ativos, continuar operando, divulgando, quando aplicável, os assuntos relacionados com a sua continuidade operacional e o uso dessa base contábil na elaboração das demonstrações contábeis, a não ser que a administração pretenda liquidar a Companhia, cessar suas operações, ou não tenha nenhuma alternativa realista para evitar o encerramento das operações. </w:t>
      </w:r>
    </w:p>
    <w:p w14:paraId="0E65301D" w14:textId="5312340D" w:rsid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Os responsáveis pela governança da Cia São Paulo de Desenvolvimento e Mobilização de Ativos, são aqueles com responsabilidade pela supervisão do processo de elaboração das demonstrações contábeis.</w:t>
      </w:r>
    </w:p>
    <w:p w14:paraId="7C63C816" w14:textId="1AFFED61" w:rsidR="00F24C0F" w:rsidRDefault="00F24C0F" w:rsidP="00F24C0F">
      <w:pPr>
        <w:spacing w:line="360" w:lineRule="auto"/>
        <w:rPr>
          <w:rFonts w:ascii="Times New Roman" w:hAnsi="Times New Roman"/>
          <w:sz w:val="24"/>
          <w:szCs w:val="24"/>
        </w:rPr>
      </w:pPr>
    </w:p>
    <w:p w14:paraId="291A9CF7"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b/>
          <w:bCs/>
          <w:sz w:val="24"/>
          <w:szCs w:val="24"/>
        </w:rPr>
        <w:t xml:space="preserve">Responsabilidades do auditor pela auditoria das demonstrações contábeis </w:t>
      </w:r>
    </w:p>
    <w:p w14:paraId="7D047BB4"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w:t>
      </w:r>
      <w:r w:rsidRPr="00F24C0F">
        <w:rPr>
          <w:rFonts w:ascii="Times New Roman" w:hAnsi="Times New Roman"/>
          <w:sz w:val="24"/>
          <w:szCs w:val="24"/>
        </w:rPr>
        <w:lastRenderedPageBreak/>
        <w:t xml:space="preserve">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300AAFA3" w14:textId="77777777" w:rsidR="00F24C0F" w:rsidRP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 xml:space="preserve">Como parte da auditoria realizada de acordo com as normas brasileiras e internacionais de auditoria, exercemos julgamento profissional e mantemos ceticismo profissional ao longo da auditoria. </w:t>
      </w:r>
    </w:p>
    <w:p w14:paraId="7A01343B" w14:textId="43BEA945" w:rsidR="00F24C0F" w:rsidRDefault="00F24C0F" w:rsidP="00F24C0F">
      <w:pPr>
        <w:spacing w:line="360" w:lineRule="auto"/>
        <w:rPr>
          <w:rFonts w:ascii="Times New Roman" w:hAnsi="Times New Roman"/>
          <w:sz w:val="24"/>
          <w:szCs w:val="24"/>
        </w:rPr>
      </w:pPr>
      <w:r w:rsidRPr="00F24C0F">
        <w:rPr>
          <w:rFonts w:ascii="Times New Roman" w:hAnsi="Times New Roman"/>
          <w:sz w:val="24"/>
          <w:szCs w:val="24"/>
        </w:rPr>
        <w:t>Além disso, 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w:t>
      </w:r>
    </w:p>
    <w:p w14:paraId="276B1FFF" w14:textId="77777777" w:rsidR="00B93F8C" w:rsidRPr="00B93F8C" w:rsidRDefault="00B93F8C" w:rsidP="00B93F8C">
      <w:pPr>
        <w:spacing w:line="360" w:lineRule="auto"/>
        <w:rPr>
          <w:rFonts w:ascii="Times New Roman" w:hAnsi="Times New Roman"/>
          <w:sz w:val="24"/>
          <w:szCs w:val="24"/>
        </w:rPr>
      </w:pPr>
      <w:r w:rsidRPr="00B93F8C">
        <w:rPr>
          <w:rFonts w:ascii="Times New Roman" w:hAnsi="Times New Roman"/>
          <w:sz w:val="24"/>
          <w:szCs w:val="24"/>
        </w:rPr>
        <w:t xml:space="preserve">O risco de não detecção de distorção relevante resultante de fraude é maior do que o proveniente de erro, já que a fraude pode envolver o ato de burlar os controles internos, conluio, falsificação, omissão ou representações falsas intencionais. </w:t>
      </w:r>
    </w:p>
    <w:p w14:paraId="53B7326E" w14:textId="77777777" w:rsidR="00B93F8C" w:rsidRPr="00B93F8C" w:rsidRDefault="00B93F8C" w:rsidP="00B93F8C">
      <w:pPr>
        <w:spacing w:line="360" w:lineRule="auto"/>
        <w:rPr>
          <w:rFonts w:ascii="Times New Roman" w:hAnsi="Times New Roman"/>
          <w:sz w:val="24"/>
          <w:szCs w:val="24"/>
        </w:rPr>
      </w:pPr>
      <w:r w:rsidRPr="00B93F8C">
        <w:rPr>
          <w:rFonts w:ascii="Times New Roman" w:hAnsi="Times New Roman"/>
          <w:sz w:val="24"/>
          <w:szCs w:val="24"/>
        </w:rPr>
        <w:t xml:space="preserve">Obtivemos entendimento dos controles internos relevantes para a auditoria para planejarmos procedimentos de auditoria apropriados às circunstâncias, mas, não, com o objetivo de expressarmos opinião sobre a eficácia dos controles internos da Cia São Paulo de Desenvolvimento e Mobilização de Ativos. Avaliamos a adequação das políticas contábeis utilizadas e a razoabilidade das estimativas contábeis e respectivas divulgações feitas pela administração. </w:t>
      </w:r>
    </w:p>
    <w:p w14:paraId="517E0A9C" w14:textId="46E59349" w:rsidR="00E62283" w:rsidRPr="00E62283" w:rsidRDefault="00B93F8C" w:rsidP="00E62283">
      <w:pPr>
        <w:spacing w:line="360" w:lineRule="auto"/>
        <w:rPr>
          <w:rFonts w:ascii="Times New Roman" w:hAnsi="Times New Roman"/>
          <w:sz w:val="24"/>
          <w:szCs w:val="24"/>
        </w:rPr>
      </w:pPr>
      <w:r w:rsidRPr="00B93F8C">
        <w:rPr>
          <w:rFonts w:ascii="Times New Roman" w:hAnsi="Times New Roman"/>
          <w:sz w:val="24"/>
          <w:szCs w:val="24"/>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Cia São Paulo de Desenvolvimento e Mobilização de Ativos.</w:t>
      </w:r>
    </w:p>
    <w:p w14:paraId="6B69EA98" w14:textId="076665F4" w:rsidR="00E62283" w:rsidRPr="00E62283" w:rsidRDefault="00E62283" w:rsidP="00E62283">
      <w:pPr>
        <w:numPr>
          <w:ilvl w:val="0"/>
          <w:numId w:val="1"/>
        </w:numPr>
        <w:spacing w:line="360" w:lineRule="auto"/>
        <w:rPr>
          <w:rFonts w:ascii="Times New Roman" w:hAnsi="Times New Roman"/>
          <w:sz w:val="24"/>
          <w:szCs w:val="24"/>
        </w:rPr>
      </w:pPr>
      <w:r w:rsidRPr="00E62283">
        <w:rPr>
          <w:rFonts w:ascii="Times New Roman" w:hAnsi="Times New Roman"/>
          <w:sz w:val="24"/>
          <w:szCs w:val="24"/>
        </w:rPr>
        <w:t xml:space="preserve">Se concluirmos que existe incerteza relevante, devemos chamar atenção em nosso relatório de auditoria para as respectivas divulgações nas demonstrações contábeis ou incluir modificação em nossa opinião, se as divulgações forem inadequadas. </w:t>
      </w:r>
    </w:p>
    <w:p w14:paraId="5959C6F2" w14:textId="118C147A" w:rsidR="00E62283" w:rsidRPr="00E62283" w:rsidRDefault="00E62283" w:rsidP="00E62283">
      <w:pPr>
        <w:numPr>
          <w:ilvl w:val="0"/>
          <w:numId w:val="1"/>
        </w:numPr>
        <w:spacing w:line="360" w:lineRule="auto"/>
        <w:rPr>
          <w:rFonts w:ascii="Times New Roman" w:hAnsi="Times New Roman"/>
          <w:sz w:val="24"/>
          <w:szCs w:val="24"/>
        </w:rPr>
      </w:pPr>
      <w:r w:rsidRPr="00E62283">
        <w:rPr>
          <w:rFonts w:ascii="Times New Roman" w:hAnsi="Times New Roman"/>
          <w:sz w:val="24"/>
          <w:szCs w:val="24"/>
        </w:rPr>
        <w:t xml:space="preserve">Nossas conclusões estão fundamentadas nas evidências de auditoria obtidas até a data de nosso relatório. Todavia, eventos ou condições futuras podem levar a SPDA a não mais se manter em continuidade operacional. </w:t>
      </w:r>
    </w:p>
    <w:p w14:paraId="64322A52" w14:textId="2B65D2AE" w:rsidR="00E62283" w:rsidRPr="00E62283" w:rsidRDefault="00E62283" w:rsidP="00E62283">
      <w:pPr>
        <w:numPr>
          <w:ilvl w:val="0"/>
          <w:numId w:val="1"/>
        </w:numPr>
        <w:spacing w:line="360" w:lineRule="auto"/>
        <w:rPr>
          <w:rFonts w:ascii="Times New Roman" w:hAnsi="Times New Roman"/>
          <w:sz w:val="24"/>
          <w:szCs w:val="24"/>
        </w:rPr>
      </w:pPr>
      <w:r w:rsidRPr="00E62283">
        <w:rPr>
          <w:rFonts w:ascii="Times New Roman" w:hAnsi="Times New Roman"/>
          <w:sz w:val="24"/>
          <w:szCs w:val="24"/>
        </w:rPr>
        <w:t xml:space="preserve">Avaliamos a apresentação geral, a estrutura e o conteúdo das demonstrações contábeis, inclusive as divulgações e se as demonstrações contábeis representam as </w:t>
      </w:r>
      <w:r w:rsidRPr="00E62283">
        <w:rPr>
          <w:rFonts w:ascii="Times New Roman" w:hAnsi="Times New Roman"/>
          <w:sz w:val="24"/>
          <w:szCs w:val="24"/>
        </w:rPr>
        <w:lastRenderedPageBreak/>
        <w:t xml:space="preserve">correspondentes transações e os eventos de maneira compatível com o objetivo de apresentação adequada. </w:t>
      </w:r>
    </w:p>
    <w:p w14:paraId="52ED90AA" w14:textId="77777777" w:rsidR="00E62283" w:rsidRPr="00E62283" w:rsidRDefault="00E62283" w:rsidP="00E62283">
      <w:pPr>
        <w:spacing w:line="360" w:lineRule="auto"/>
        <w:rPr>
          <w:rFonts w:ascii="Times New Roman" w:hAnsi="Times New Roman"/>
          <w:sz w:val="24"/>
          <w:szCs w:val="24"/>
        </w:rPr>
      </w:pPr>
      <w:r w:rsidRPr="00E62283">
        <w:rPr>
          <w:rFonts w:ascii="Times New Roman" w:hAnsi="Times New Roman"/>
          <w:sz w:val="24"/>
          <w:szCs w:val="24"/>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7ED3A53E" w14:textId="77777777" w:rsidR="00E62283" w:rsidRPr="00E62283" w:rsidRDefault="00E62283" w:rsidP="00E62283">
      <w:pPr>
        <w:spacing w:line="360" w:lineRule="auto"/>
        <w:rPr>
          <w:rFonts w:ascii="Times New Roman" w:hAnsi="Times New Roman"/>
          <w:sz w:val="24"/>
          <w:szCs w:val="24"/>
        </w:rPr>
      </w:pPr>
      <w:r w:rsidRPr="00E62283">
        <w:rPr>
          <w:rFonts w:ascii="Times New Roman" w:hAnsi="Times New Roman"/>
          <w:sz w:val="24"/>
          <w:szCs w:val="24"/>
        </w:rPr>
        <w:t>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w:t>
      </w:r>
    </w:p>
    <w:p w14:paraId="736ADB6E" w14:textId="2FFC0E99" w:rsidR="00F24C0F" w:rsidRDefault="00E62283" w:rsidP="00E62283">
      <w:pPr>
        <w:spacing w:line="360" w:lineRule="auto"/>
        <w:rPr>
          <w:rFonts w:ascii="Times New Roman" w:hAnsi="Times New Roman"/>
          <w:sz w:val="24"/>
          <w:szCs w:val="24"/>
        </w:rPr>
      </w:pPr>
      <w:r w:rsidRPr="00E62283">
        <w:rPr>
          <w:rFonts w:ascii="Times New Roman" w:hAnsi="Times New Roman"/>
          <w:sz w:val="24"/>
          <w:szCs w:val="24"/>
        </w:rPr>
        <w:t>Dos assuntos que foram objeto de comunicação com os responsáveis pela governança, determinamos aqueles que foram considerados como mais significativos na auditoria das demonstrações contábeis do exercício corrente e que, dessa maneira, constituem os principais assuntos de auditoria.</w:t>
      </w:r>
    </w:p>
    <w:p w14:paraId="04B0640C" w14:textId="77777777" w:rsidR="00E62283" w:rsidRPr="00E62283" w:rsidRDefault="00E62283" w:rsidP="00E62283">
      <w:pPr>
        <w:spacing w:line="360" w:lineRule="auto"/>
        <w:rPr>
          <w:rFonts w:ascii="Times New Roman" w:hAnsi="Times New Roman"/>
          <w:sz w:val="24"/>
          <w:szCs w:val="24"/>
        </w:rPr>
      </w:pPr>
      <w:r w:rsidRPr="00E62283">
        <w:rPr>
          <w:rFonts w:ascii="Times New Roman" w:hAnsi="Times New Roman"/>
          <w:sz w:val="24"/>
          <w:szCs w:val="24"/>
        </w:rPr>
        <w:t>Descrevemos esses assuntos em nosso relatório de auditoria, a menos que lei ou regulamento tenha proibido divulgação pública do assunto, ou quando, em circunstâncias extremamente raras, determinarmos que o assunto não deva ser comunicado em nosso relatório porque as consequências adversas de tal comunicação podem, dentro de uma perspectiva razoável, superar os benefícios da comunicação para o interesse público.</w:t>
      </w:r>
    </w:p>
    <w:p w14:paraId="7BE72E2A" w14:textId="77777777" w:rsidR="00E62283" w:rsidRDefault="00E62283" w:rsidP="00E62283">
      <w:pPr>
        <w:spacing w:line="360" w:lineRule="auto"/>
        <w:rPr>
          <w:rFonts w:ascii="Times New Roman" w:hAnsi="Times New Roman"/>
          <w:sz w:val="24"/>
          <w:szCs w:val="24"/>
        </w:rPr>
      </w:pPr>
    </w:p>
    <w:p w14:paraId="7DFAC7D8" w14:textId="4A46097F" w:rsidR="00E62283" w:rsidRPr="00E62283" w:rsidRDefault="00E62283" w:rsidP="00E62283">
      <w:pPr>
        <w:spacing w:line="360" w:lineRule="auto"/>
        <w:rPr>
          <w:rFonts w:ascii="Times New Roman" w:hAnsi="Times New Roman"/>
          <w:b/>
          <w:bCs/>
          <w:sz w:val="24"/>
          <w:szCs w:val="24"/>
        </w:rPr>
      </w:pPr>
      <w:r w:rsidRPr="00E62283">
        <w:rPr>
          <w:rFonts w:ascii="Times New Roman" w:hAnsi="Times New Roman"/>
          <w:b/>
          <w:bCs/>
          <w:sz w:val="24"/>
          <w:szCs w:val="24"/>
        </w:rPr>
        <w:t>Outros</w:t>
      </w:r>
    </w:p>
    <w:p w14:paraId="18D19F1C" w14:textId="53482E14" w:rsidR="00E62283" w:rsidRDefault="00E62283" w:rsidP="00E62283">
      <w:pPr>
        <w:spacing w:line="360" w:lineRule="auto"/>
        <w:rPr>
          <w:rFonts w:ascii="Times New Roman" w:hAnsi="Times New Roman"/>
          <w:sz w:val="24"/>
          <w:szCs w:val="24"/>
        </w:rPr>
      </w:pPr>
      <w:r w:rsidRPr="00E62283">
        <w:rPr>
          <w:rFonts w:ascii="Times New Roman" w:hAnsi="Times New Roman"/>
          <w:sz w:val="24"/>
          <w:szCs w:val="24"/>
        </w:rPr>
        <w:t>Chamamos a atenção para o fato que as Demonstrações Contábeis do Exercício encerrado em 31 de dezembro de 2019 foram auditadas por nossa firma, cujo relatório foi emitido em 13/02/2020 o qual não continha ressalva.</w:t>
      </w:r>
    </w:p>
    <w:p w14:paraId="131C9327" w14:textId="77777777" w:rsidR="00E62283" w:rsidRPr="0094474F" w:rsidRDefault="00E62283" w:rsidP="00E62283">
      <w:pPr>
        <w:spacing w:line="360" w:lineRule="auto"/>
        <w:rPr>
          <w:rFonts w:ascii="Times New Roman" w:hAnsi="Times New Roman"/>
          <w:sz w:val="20"/>
          <w:szCs w:val="20"/>
        </w:rPr>
      </w:pPr>
    </w:p>
    <w:p w14:paraId="73C8DA0C" w14:textId="3CD1AF8B" w:rsidR="00E62283" w:rsidRPr="009352FE" w:rsidRDefault="00E62283" w:rsidP="0094474F">
      <w:pPr>
        <w:spacing w:line="360" w:lineRule="auto"/>
        <w:jc w:val="center"/>
        <w:rPr>
          <w:rFonts w:ascii="Times New Roman" w:hAnsi="Times New Roman"/>
          <w:sz w:val="24"/>
          <w:szCs w:val="24"/>
        </w:rPr>
      </w:pPr>
      <w:r w:rsidRPr="009352FE">
        <w:rPr>
          <w:rFonts w:ascii="Times New Roman" w:hAnsi="Times New Roman"/>
          <w:sz w:val="24"/>
          <w:szCs w:val="24"/>
        </w:rPr>
        <w:t>Ribeirão Preto (SP), 17 de março de 2021.</w:t>
      </w:r>
    </w:p>
    <w:p w14:paraId="05CF0197" w14:textId="0BA5E2AA" w:rsidR="00F24C0F" w:rsidRPr="0094474F" w:rsidRDefault="0094474F" w:rsidP="0094474F">
      <w:pPr>
        <w:spacing w:line="360" w:lineRule="auto"/>
        <w:jc w:val="center"/>
        <w:rPr>
          <w:rFonts w:ascii="Times New Roman" w:hAnsi="Times New Roman"/>
          <w:sz w:val="20"/>
          <w:szCs w:val="20"/>
        </w:rPr>
      </w:pPr>
      <w:r w:rsidRPr="0094474F">
        <w:rPr>
          <w:rFonts w:ascii="Times New Roman" w:hAnsi="Times New Roman"/>
          <w:noProof/>
          <w:sz w:val="20"/>
          <w:szCs w:val="20"/>
        </w:rPr>
        <w:drawing>
          <wp:inline distT="0" distB="0" distL="0" distR="0" wp14:anchorId="75F54F9F" wp14:editId="0EB7C9F9">
            <wp:extent cx="1522013" cy="561975"/>
            <wp:effectExtent l="0" t="0" r="2540" b="0"/>
            <wp:docPr id="8" name="Imagem 8"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Imagem em preto e branco&#10;&#10;Descrição gerada automaticamente com confiança mé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7791" cy="567801"/>
                    </a:xfrm>
                    <a:prstGeom prst="rect">
                      <a:avLst/>
                    </a:prstGeom>
                  </pic:spPr>
                </pic:pic>
              </a:graphicData>
            </a:graphic>
          </wp:inline>
        </w:drawing>
      </w:r>
    </w:p>
    <w:p w14:paraId="2E99AD6E" w14:textId="43B4D8D4" w:rsidR="0094474F" w:rsidRPr="0094474F" w:rsidRDefault="0094474F" w:rsidP="0094474F">
      <w:pPr>
        <w:spacing w:line="360" w:lineRule="auto"/>
        <w:jc w:val="center"/>
        <w:rPr>
          <w:rFonts w:ascii="Times New Roman" w:hAnsi="Times New Roman"/>
          <w:sz w:val="20"/>
          <w:szCs w:val="20"/>
        </w:rPr>
      </w:pPr>
      <w:r w:rsidRPr="0094474F">
        <w:rPr>
          <w:rFonts w:ascii="Times New Roman" w:hAnsi="Times New Roman"/>
          <w:b/>
          <w:bCs/>
          <w:sz w:val="20"/>
          <w:szCs w:val="20"/>
        </w:rPr>
        <w:t>AGUIAR FERES Auditores Independentes S/S</w:t>
      </w:r>
    </w:p>
    <w:p w14:paraId="589F2F19" w14:textId="0BEF24DF" w:rsidR="0094474F" w:rsidRPr="0094474F" w:rsidRDefault="0094474F" w:rsidP="0094474F">
      <w:pPr>
        <w:spacing w:line="360" w:lineRule="auto"/>
        <w:jc w:val="center"/>
        <w:rPr>
          <w:rFonts w:ascii="Times New Roman" w:hAnsi="Times New Roman"/>
          <w:sz w:val="20"/>
          <w:szCs w:val="20"/>
        </w:rPr>
      </w:pPr>
      <w:r w:rsidRPr="0094474F">
        <w:rPr>
          <w:rFonts w:ascii="Times New Roman" w:hAnsi="Times New Roman"/>
          <w:sz w:val="20"/>
          <w:szCs w:val="20"/>
        </w:rPr>
        <w:t>CRC-2SP 022486/O-4 CVM – 9555</w:t>
      </w:r>
    </w:p>
    <w:p w14:paraId="6DDEBFA0" w14:textId="7066290B" w:rsidR="0094474F" w:rsidRPr="0094474F" w:rsidRDefault="0094474F" w:rsidP="0094474F">
      <w:pPr>
        <w:spacing w:line="360" w:lineRule="auto"/>
        <w:jc w:val="center"/>
        <w:rPr>
          <w:rFonts w:ascii="Times New Roman" w:hAnsi="Times New Roman"/>
          <w:sz w:val="20"/>
          <w:szCs w:val="20"/>
        </w:rPr>
      </w:pPr>
      <w:proofErr w:type="spellStart"/>
      <w:r w:rsidRPr="0094474F">
        <w:rPr>
          <w:rFonts w:ascii="Times New Roman" w:hAnsi="Times New Roman"/>
          <w:b/>
          <w:bCs/>
          <w:sz w:val="20"/>
          <w:szCs w:val="20"/>
        </w:rPr>
        <w:t>Tanagildo</w:t>
      </w:r>
      <w:proofErr w:type="spellEnd"/>
      <w:r w:rsidRPr="0094474F">
        <w:rPr>
          <w:rFonts w:ascii="Times New Roman" w:hAnsi="Times New Roman"/>
          <w:b/>
          <w:bCs/>
          <w:sz w:val="20"/>
          <w:szCs w:val="20"/>
        </w:rPr>
        <w:t xml:space="preserve"> Aguiar Feres</w:t>
      </w:r>
    </w:p>
    <w:p w14:paraId="15281658" w14:textId="77777777" w:rsidR="003E0483" w:rsidRDefault="0094474F" w:rsidP="0094474F">
      <w:pPr>
        <w:spacing w:line="360" w:lineRule="auto"/>
        <w:jc w:val="center"/>
        <w:rPr>
          <w:rFonts w:ascii="Times New Roman" w:hAnsi="Times New Roman"/>
          <w:sz w:val="20"/>
          <w:szCs w:val="20"/>
        </w:rPr>
        <w:sectPr w:rsidR="003E0483" w:rsidSect="00726C93">
          <w:footerReference w:type="default" r:id="rId15"/>
          <w:pgSz w:w="11906" w:h="16838"/>
          <w:pgMar w:top="1417" w:right="1701" w:bottom="1417" w:left="1701" w:header="708" w:footer="708" w:gutter="0"/>
          <w:pgNumType w:start="1"/>
          <w:cols w:space="708"/>
          <w:docGrid w:linePitch="360"/>
        </w:sectPr>
      </w:pPr>
      <w:r w:rsidRPr="0094474F">
        <w:rPr>
          <w:rFonts w:ascii="Times New Roman" w:hAnsi="Times New Roman"/>
          <w:sz w:val="20"/>
          <w:szCs w:val="20"/>
        </w:rPr>
        <w:t>Contador - CRC1SP067138/O-0</w:t>
      </w:r>
    </w:p>
    <w:tbl>
      <w:tblPr>
        <w:tblW w:w="5000" w:type="pct"/>
        <w:tblCellMar>
          <w:left w:w="70" w:type="dxa"/>
          <w:right w:w="70" w:type="dxa"/>
        </w:tblCellMar>
        <w:tblLook w:val="04A0" w:firstRow="1" w:lastRow="0" w:firstColumn="1" w:lastColumn="0" w:noHBand="0" w:noVBand="1"/>
      </w:tblPr>
      <w:tblGrid>
        <w:gridCol w:w="3278"/>
        <w:gridCol w:w="185"/>
        <w:gridCol w:w="1096"/>
        <w:gridCol w:w="1283"/>
        <w:gridCol w:w="186"/>
        <w:gridCol w:w="1049"/>
        <w:gridCol w:w="186"/>
        <w:gridCol w:w="186"/>
        <w:gridCol w:w="4015"/>
        <w:gridCol w:w="186"/>
        <w:gridCol w:w="1076"/>
        <w:gridCol w:w="1310"/>
        <w:gridCol w:w="186"/>
        <w:gridCol w:w="1176"/>
      </w:tblGrid>
      <w:tr w:rsidR="00D40091" w:rsidRPr="00D40091" w14:paraId="7B405C3F" w14:textId="77777777" w:rsidTr="00AA502F">
        <w:trPr>
          <w:trHeight w:val="315"/>
        </w:trPr>
        <w:tc>
          <w:tcPr>
            <w:tcW w:w="2275" w:type="pct"/>
            <w:gridSpan w:val="6"/>
            <w:tcBorders>
              <w:top w:val="nil"/>
              <w:left w:val="nil"/>
              <w:bottom w:val="nil"/>
              <w:right w:val="nil"/>
            </w:tcBorders>
            <w:shd w:val="clear" w:color="000000" w:fill="FFFFFF"/>
            <w:noWrap/>
            <w:vAlign w:val="center"/>
            <w:hideMark/>
          </w:tcPr>
          <w:p w14:paraId="06D4A4FD"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lastRenderedPageBreak/>
              <w:t>COMPANHIA SÃO PAULO DE DESENVOLVIMENTO E MOBILIZAÇÃO DE ATIVOS - SPDA</w:t>
            </w:r>
          </w:p>
        </w:tc>
        <w:tc>
          <w:tcPr>
            <w:tcW w:w="50" w:type="pct"/>
            <w:tcBorders>
              <w:top w:val="nil"/>
              <w:left w:val="nil"/>
              <w:bottom w:val="nil"/>
              <w:right w:val="nil"/>
            </w:tcBorders>
            <w:shd w:val="clear" w:color="000000" w:fill="FFFFFF"/>
            <w:noWrap/>
            <w:vAlign w:val="center"/>
            <w:hideMark/>
          </w:tcPr>
          <w:p w14:paraId="26CA2EFD" w14:textId="77777777" w:rsidR="00D40091" w:rsidRPr="00D40091" w:rsidRDefault="00D40091" w:rsidP="00AA502F">
            <w:pPr>
              <w:spacing w:line="240" w:lineRule="auto"/>
              <w:jc w:val="center"/>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50" w:type="pct"/>
            <w:tcBorders>
              <w:top w:val="nil"/>
              <w:left w:val="nil"/>
              <w:bottom w:val="nil"/>
              <w:right w:val="nil"/>
            </w:tcBorders>
            <w:shd w:val="clear" w:color="000000" w:fill="FFFFFF"/>
            <w:noWrap/>
            <w:vAlign w:val="center"/>
            <w:hideMark/>
          </w:tcPr>
          <w:p w14:paraId="357978C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101B2E1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DC4840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770A89B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A5204B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678C25E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069773C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043C922F" w14:textId="77777777" w:rsidTr="00AA502F">
        <w:trPr>
          <w:trHeight w:val="315"/>
        </w:trPr>
        <w:tc>
          <w:tcPr>
            <w:tcW w:w="1073" w:type="pct"/>
            <w:tcBorders>
              <w:top w:val="nil"/>
              <w:left w:val="nil"/>
              <w:bottom w:val="nil"/>
              <w:right w:val="nil"/>
            </w:tcBorders>
            <w:shd w:val="clear" w:color="000000" w:fill="FFFFFF"/>
            <w:noWrap/>
            <w:vAlign w:val="center"/>
            <w:hideMark/>
          </w:tcPr>
          <w:p w14:paraId="6F1FD25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2D67F8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69E6F8A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5CDD97E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C1A2B9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530777E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08ED0C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1EC143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38CF9AF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F7865D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18E7FC3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16C2ACC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456B4B5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4036753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22BF42D4" w14:textId="77777777" w:rsidTr="00AA502F">
        <w:trPr>
          <w:trHeight w:val="315"/>
        </w:trPr>
        <w:tc>
          <w:tcPr>
            <w:tcW w:w="1073" w:type="pct"/>
            <w:tcBorders>
              <w:top w:val="nil"/>
              <w:left w:val="nil"/>
              <w:bottom w:val="nil"/>
              <w:right w:val="nil"/>
            </w:tcBorders>
            <w:shd w:val="clear" w:color="000000" w:fill="FFFFFF"/>
            <w:noWrap/>
            <w:vAlign w:val="center"/>
            <w:hideMark/>
          </w:tcPr>
          <w:p w14:paraId="22C0D391" w14:textId="0FB0DD97" w:rsidR="00D40091" w:rsidRPr="00D40091" w:rsidRDefault="00D40091" w:rsidP="007D6D88">
            <w:pPr>
              <w:pStyle w:val="Ttulo1"/>
              <w:rPr>
                <w:rFonts w:ascii="Arial" w:eastAsia="Times New Roman" w:hAnsi="Arial" w:cs="Arial"/>
                <w:color w:val="000000"/>
                <w:sz w:val="18"/>
                <w:szCs w:val="18"/>
              </w:rPr>
            </w:pPr>
            <w:bookmarkStart w:id="1" w:name="_Toc81581290"/>
            <w:r w:rsidRPr="00D40091">
              <w:rPr>
                <w:rFonts w:ascii="Arial" w:eastAsia="Times New Roman" w:hAnsi="Arial" w:cs="Arial"/>
                <w:color w:val="000000"/>
                <w:sz w:val="18"/>
                <w:szCs w:val="18"/>
              </w:rPr>
              <w:t>BALANÇO PATRIMONIAL</w:t>
            </w:r>
            <w:bookmarkEnd w:id="1"/>
            <w:r w:rsidRPr="00D40091">
              <w:rPr>
                <w:rFonts w:ascii="Arial" w:eastAsia="Times New Roman" w:hAnsi="Arial" w:cs="Arial"/>
                <w:color w:val="000000"/>
                <w:sz w:val="18"/>
                <w:szCs w:val="18"/>
              </w:rPr>
              <w:t xml:space="preserve"> </w:t>
            </w:r>
          </w:p>
        </w:tc>
        <w:tc>
          <w:tcPr>
            <w:tcW w:w="50" w:type="pct"/>
            <w:tcBorders>
              <w:top w:val="nil"/>
              <w:left w:val="nil"/>
              <w:bottom w:val="nil"/>
              <w:right w:val="nil"/>
            </w:tcBorders>
            <w:shd w:val="clear" w:color="000000" w:fill="FFFFFF"/>
            <w:noWrap/>
            <w:vAlign w:val="center"/>
            <w:hideMark/>
          </w:tcPr>
          <w:p w14:paraId="5A8127E2"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27E3EA83"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6DA85C29"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EE4700D"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4CAB96F0"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DCA4489"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3B42353"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30BBDBD4"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1ED2218"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7141B088" w14:textId="77777777" w:rsidR="00D40091" w:rsidRPr="00D40091" w:rsidRDefault="00D40091" w:rsidP="007D6D88">
            <w:pPr>
              <w:pStyle w:val="Ttulo1"/>
              <w:rPr>
                <w:rFonts w:ascii="Arial" w:eastAsia="Times New Roman" w:hAnsi="Arial" w:cs="Arial"/>
                <w:sz w:val="18"/>
                <w:szCs w:val="18"/>
              </w:rPr>
            </w:pPr>
            <w:r w:rsidRPr="00D40091">
              <w:rPr>
                <w:rFonts w:ascii="Arial" w:eastAsia="Times New Roman" w:hAnsi="Arial" w:cs="Arial"/>
                <w:sz w:val="18"/>
                <w:szCs w:val="18"/>
              </w:rPr>
              <w:t> </w:t>
            </w:r>
          </w:p>
        </w:tc>
        <w:tc>
          <w:tcPr>
            <w:tcW w:w="417" w:type="pct"/>
            <w:tcBorders>
              <w:top w:val="nil"/>
              <w:left w:val="nil"/>
              <w:bottom w:val="nil"/>
              <w:right w:val="nil"/>
            </w:tcBorders>
            <w:shd w:val="clear" w:color="000000" w:fill="FFFFFF"/>
            <w:noWrap/>
            <w:vAlign w:val="center"/>
            <w:hideMark/>
          </w:tcPr>
          <w:p w14:paraId="001E4BFE" w14:textId="77777777" w:rsidR="00D40091" w:rsidRPr="00D40091" w:rsidRDefault="00D40091" w:rsidP="007D6D88">
            <w:pPr>
              <w:pStyle w:val="Ttulo1"/>
              <w:rPr>
                <w:rFonts w:ascii="Arial" w:eastAsia="Times New Roman" w:hAnsi="Arial" w:cs="Arial"/>
                <w:sz w:val="18"/>
                <w:szCs w:val="18"/>
              </w:rPr>
            </w:pPr>
            <w:r w:rsidRPr="00D40091">
              <w:rPr>
                <w:rFonts w:ascii="Arial" w:eastAsia="Times New Roman" w:hAnsi="Arial" w:cs="Arial"/>
                <w:sz w:val="18"/>
                <w:szCs w:val="18"/>
              </w:rPr>
              <w:t> </w:t>
            </w:r>
          </w:p>
        </w:tc>
        <w:tc>
          <w:tcPr>
            <w:tcW w:w="50" w:type="pct"/>
            <w:tcBorders>
              <w:top w:val="nil"/>
              <w:left w:val="nil"/>
              <w:bottom w:val="nil"/>
              <w:right w:val="nil"/>
            </w:tcBorders>
            <w:shd w:val="clear" w:color="000000" w:fill="FFFFFF"/>
            <w:noWrap/>
            <w:vAlign w:val="center"/>
            <w:hideMark/>
          </w:tcPr>
          <w:p w14:paraId="2556090C" w14:textId="77777777" w:rsidR="00D40091" w:rsidRPr="00D40091" w:rsidRDefault="00D40091" w:rsidP="007D6D88">
            <w:pPr>
              <w:pStyle w:val="Ttulo1"/>
              <w:rPr>
                <w:rFonts w:ascii="Arial" w:eastAsia="Times New Roman" w:hAnsi="Arial" w:cs="Arial"/>
                <w:sz w:val="18"/>
                <w:szCs w:val="18"/>
              </w:rPr>
            </w:pPr>
            <w:r w:rsidRPr="00D40091">
              <w:rPr>
                <w:rFonts w:ascii="Arial" w:eastAsia="Times New Roman" w:hAnsi="Arial" w:cs="Arial"/>
                <w:sz w:val="18"/>
                <w:szCs w:val="18"/>
              </w:rPr>
              <w:t> </w:t>
            </w:r>
          </w:p>
        </w:tc>
        <w:tc>
          <w:tcPr>
            <w:tcW w:w="375" w:type="pct"/>
            <w:tcBorders>
              <w:top w:val="nil"/>
              <w:left w:val="nil"/>
              <w:bottom w:val="nil"/>
              <w:right w:val="nil"/>
            </w:tcBorders>
            <w:shd w:val="clear" w:color="000000" w:fill="FFFFFF"/>
            <w:noWrap/>
            <w:vAlign w:val="center"/>
            <w:hideMark/>
          </w:tcPr>
          <w:p w14:paraId="70A5C68F" w14:textId="77777777" w:rsidR="00D40091" w:rsidRPr="00D40091" w:rsidRDefault="00D40091" w:rsidP="007D6D88">
            <w:pPr>
              <w:pStyle w:val="Ttulo1"/>
              <w:rPr>
                <w:rFonts w:ascii="Arial" w:eastAsia="Times New Roman" w:hAnsi="Arial" w:cs="Arial"/>
                <w:sz w:val="18"/>
                <w:szCs w:val="18"/>
              </w:rPr>
            </w:pPr>
            <w:r w:rsidRPr="00D40091">
              <w:rPr>
                <w:rFonts w:ascii="Arial" w:eastAsia="Times New Roman" w:hAnsi="Arial" w:cs="Arial"/>
                <w:sz w:val="18"/>
                <w:szCs w:val="18"/>
              </w:rPr>
              <w:t> </w:t>
            </w:r>
          </w:p>
        </w:tc>
      </w:tr>
      <w:tr w:rsidR="00A31378" w:rsidRPr="00D40091" w14:paraId="429068A8" w14:textId="77777777" w:rsidTr="00AA502F">
        <w:trPr>
          <w:trHeight w:val="315"/>
        </w:trPr>
        <w:tc>
          <w:tcPr>
            <w:tcW w:w="1073" w:type="pct"/>
            <w:tcBorders>
              <w:top w:val="nil"/>
              <w:left w:val="nil"/>
              <w:bottom w:val="nil"/>
              <w:right w:val="nil"/>
            </w:tcBorders>
            <w:shd w:val="clear" w:color="000000" w:fill="FFFFFF"/>
            <w:noWrap/>
            <w:vAlign w:val="center"/>
            <w:hideMark/>
          </w:tcPr>
          <w:p w14:paraId="1E7381A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EM 31 de DEZEMBRO DE 2020 e 2019</w:t>
            </w:r>
          </w:p>
        </w:tc>
        <w:tc>
          <w:tcPr>
            <w:tcW w:w="50" w:type="pct"/>
            <w:tcBorders>
              <w:top w:val="nil"/>
              <w:left w:val="nil"/>
              <w:bottom w:val="nil"/>
              <w:right w:val="nil"/>
            </w:tcBorders>
            <w:shd w:val="clear" w:color="000000" w:fill="FFFFFF"/>
            <w:noWrap/>
            <w:vAlign w:val="center"/>
            <w:hideMark/>
          </w:tcPr>
          <w:p w14:paraId="5040C35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5F9205B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7FF2310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94F6A1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46A646D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3F8159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F62501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bottom"/>
            <w:hideMark/>
          </w:tcPr>
          <w:p w14:paraId="49A7B91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2751B7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21ABC28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5553940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261E31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00511B4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2C90CCE2" w14:textId="77777777" w:rsidTr="00AA502F">
        <w:trPr>
          <w:trHeight w:val="315"/>
        </w:trPr>
        <w:tc>
          <w:tcPr>
            <w:tcW w:w="1073" w:type="pct"/>
            <w:tcBorders>
              <w:top w:val="nil"/>
              <w:left w:val="nil"/>
              <w:bottom w:val="single" w:sz="4" w:space="0" w:color="auto"/>
              <w:right w:val="nil"/>
            </w:tcBorders>
            <w:shd w:val="clear" w:color="000000" w:fill="FFFFFF"/>
            <w:noWrap/>
            <w:vAlign w:val="center"/>
            <w:hideMark/>
          </w:tcPr>
          <w:p w14:paraId="390BDB2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(Valores expressos em reais R$)</w:t>
            </w:r>
          </w:p>
        </w:tc>
        <w:tc>
          <w:tcPr>
            <w:tcW w:w="50" w:type="pct"/>
            <w:tcBorders>
              <w:top w:val="nil"/>
              <w:left w:val="nil"/>
              <w:bottom w:val="single" w:sz="4" w:space="0" w:color="auto"/>
              <w:right w:val="nil"/>
            </w:tcBorders>
            <w:shd w:val="clear" w:color="000000" w:fill="FFFFFF"/>
            <w:noWrap/>
            <w:vAlign w:val="center"/>
            <w:hideMark/>
          </w:tcPr>
          <w:p w14:paraId="16E346D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single" w:sz="4" w:space="0" w:color="auto"/>
              <w:right w:val="nil"/>
            </w:tcBorders>
            <w:shd w:val="clear" w:color="000000" w:fill="FFFFFF"/>
            <w:noWrap/>
            <w:vAlign w:val="center"/>
            <w:hideMark/>
          </w:tcPr>
          <w:p w14:paraId="2821F15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393354E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single" w:sz="4" w:space="0" w:color="auto"/>
              <w:right w:val="nil"/>
            </w:tcBorders>
            <w:shd w:val="clear" w:color="000000" w:fill="FFFFFF"/>
            <w:noWrap/>
            <w:vAlign w:val="center"/>
            <w:hideMark/>
          </w:tcPr>
          <w:p w14:paraId="014D807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single" w:sz="4" w:space="0" w:color="auto"/>
              <w:right w:val="nil"/>
            </w:tcBorders>
            <w:shd w:val="clear" w:color="000000" w:fill="FFFFFF"/>
            <w:noWrap/>
            <w:vAlign w:val="center"/>
            <w:hideMark/>
          </w:tcPr>
          <w:p w14:paraId="1545CE1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single" w:sz="4" w:space="0" w:color="auto"/>
              <w:right w:val="nil"/>
            </w:tcBorders>
            <w:shd w:val="clear" w:color="000000" w:fill="FFFFFF"/>
            <w:noWrap/>
            <w:vAlign w:val="center"/>
            <w:hideMark/>
          </w:tcPr>
          <w:p w14:paraId="3200FE9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single" w:sz="4" w:space="0" w:color="auto"/>
              <w:right w:val="nil"/>
            </w:tcBorders>
            <w:shd w:val="clear" w:color="000000" w:fill="FFFFFF"/>
            <w:noWrap/>
            <w:vAlign w:val="center"/>
            <w:hideMark/>
          </w:tcPr>
          <w:p w14:paraId="6B3298F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single" w:sz="4" w:space="0" w:color="auto"/>
              <w:right w:val="nil"/>
            </w:tcBorders>
            <w:shd w:val="clear" w:color="000000" w:fill="FFFFFF"/>
            <w:noWrap/>
            <w:vAlign w:val="center"/>
            <w:hideMark/>
          </w:tcPr>
          <w:p w14:paraId="0F240CB9" w14:textId="77777777" w:rsidR="00D40091" w:rsidRPr="00D40091" w:rsidRDefault="00D40091" w:rsidP="00AA502F">
            <w:pPr>
              <w:spacing w:line="240" w:lineRule="auto"/>
              <w:rPr>
                <w:rFonts w:ascii="Arial" w:hAnsi="Arial" w:cs="Arial"/>
                <w:i/>
                <w:iCs/>
                <w:color w:val="000000"/>
                <w:sz w:val="18"/>
                <w:szCs w:val="18"/>
              </w:rPr>
            </w:pPr>
            <w:r w:rsidRPr="00D40091">
              <w:rPr>
                <w:rFonts w:ascii="Arial" w:hAnsi="Arial" w:cs="Arial"/>
                <w:i/>
                <w:iCs/>
                <w:color w:val="000000"/>
                <w:sz w:val="18"/>
                <w:szCs w:val="18"/>
              </w:rPr>
              <w:t> </w:t>
            </w:r>
          </w:p>
        </w:tc>
        <w:tc>
          <w:tcPr>
            <w:tcW w:w="50" w:type="pct"/>
            <w:tcBorders>
              <w:top w:val="nil"/>
              <w:left w:val="nil"/>
              <w:bottom w:val="single" w:sz="4" w:space="0" w:color="auto"/>
              <w:right w:val="nil"/>
            </w:tcBorders>
            <w:shd w:val="clear" w:color="000000" w:fill="FFFFFF"/>
            <w:noWrap/>
            <w:vAlign w:val="center"/>
            <w:hideMark/>
          </w:tcPr>
          <w:p w14:paraId="7508D92A" w14:textId="77777777" w:rsidR="00D40091" w:rsidRPr="00D40091" w:rsidRDefault="00D40091" w:rsidP="00AA502F">
            <w:pPr>
              <w:spacing w:line="240" w:lineRule="auto"/>
              <w:rPr>
                <w:rFonts w:ascii="Arial" w:hAnsi="Arial" w:cs="Arial"/>
                <w:i/>
                <w:iCs/>
                <w:color w:val="000000"/>
                <w:sz w:val="18"/>
                <w:szCs w:val="18"/>
              </w:rPr>
            </w:pPr>
            <w:r w:rsidRPr="00D40091">
              <w:rPr>
                <w:rFonts w:ascii="Arial" w:hAnsi="Arial" w:cs="Arial"/>
                <w:i/>
                <w:iCs/>
                <w:color w:val="000000"/>
                <w:sz w:val="18"/>
                <w:szCs w:val="18"/>
              </w:rPr>
              <w:t> </w:t>
            </w:r>
          </w:p>
        </w:tc>
        <w:tc>
          <w:tcPr>
            <w:tcW w:w="375" w:type="pct"/>
            <w:tcBorders>
              <w:top w:val="nil"/>
              <w:left w:val="nil"/>
              <w:bottom w:val="single" w:sz="4" w:space="0" w:color="auto"/>
              <w:right w:val="nil"/>
            </w:tcBorders>
            <w:shd w:val="clear" w:color="000000" w:fill="FFFFFF"/>
            <w:noWrap/>
            <w:vAlign w:val="center"/>
            <w:hideMark/>
          </w:tcPr>
          <w:p w14:paraId="6F8016CB"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417" w:type="pct"/>
            <w:tcBorders>
              <w:top w:val="nil"/>
              <w:left w:val="nil"/>
              <w:bottom w:val="single" w:sz="4" w:space="0" w:color="auto"/>
              <w:right w:val="nil"/>
            </w:tcBorders>
            <w:shd w:val="clear" w:color="000000" w:fill="FFFFFF"/>
            <w:noWrap/>
            <w:vAlign w:val="center"/>
            <w:hideMark/>
          </w:tcPr>
          <w:p w14:paraId="1FF75160"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50" w:type="pct"/>
            <w:tcBorders>
              <w:top w:val="nil"/>
              <w:left w:val="nil"/>
              <w:bottom w:val="nil"/>
              <w:right w:val="nil"/>
            </w:tcBorders>
            <w:shd w:val="clear" w:color="000000" w:fill="FFFFFF"/>
            <w:noWrap/>
            <w:vAlign w:val="center"/>
            <w:hideMark/>
          </w:tcPr>
          <w:p w14:paraId="6DF98B71"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375" w:type="pct"/>
            <w:tcBorders>
              <w:top w:val="nil"/>
              <w:left w:val="nil"/>
              <w:bottom w:val="single" w:sz="4" w:space="0" w:color="auto"/>
              <w:right w:val="nil"/>
            </w:tcBorders>
            <w:shd w:val="clear" w:color="000000" w:fill="FFFFFF"/>
            <w:noWrap/>
            <w:vAlign w:val="center"/>
            <w:hideMark/>
          </w:tcPr>
          <w:p w14:paraId="19675767"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r>
      <w:tr w:rsidR="00A31378" w:rsidRPr="00D40091" w14:paraId="2B10133B" w14:textId="77777777" w:rsidTr="00AA502F">
        <w:trPr>
          <w:trHeight w:val="315"/>
        </w:trPr>
        <w:tc>
          <w:tcPr>
            <w:tcW w:w="1073" w:type="pct"/>
            <w:tcBorders>
              <w:top w:val="nil"/>
              <w:left w:val="nil"/>
              <w:bottom w:val="nil"/>
              <w:right w:val="nil"/>
            </w:tcBorders>
            <w:shd w:val="clear" w:color="000000" w:fill="FFFFFF"/>
            <w:noWrap/>
            <w:vAlign w:val="center"/>
            <w:hideMark/>
          </w:tcPr>
          <w:p w14:paraId="4A10B1F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D8970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1CB981A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13AEBB7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15A334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6C6EC27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02884C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D7BF10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6D9C4A5" w14:textId="77777777" w:rsidR="00D40091" w:rsidRPr="00D40091" w:rsidRDefault="00D40091" w:rsidP="00AA502F">
            <w:pPr>
              <w:spacing w:line="240" w:lineRule="auto"/>
              <w:rPr>
                <w:rFonts w:ascii="Arial" w:hAnsi="Arial" w:cs="Arial"/>
                <w:i/>
                <w:iCs/>
                <w:color w:val="000000"/>
                <w:sz w:val="18"/>
                <w:szCs w:val="18"/>
              </w:rPr>
            </w:pPr>
            <w:r w:rsidRPr="00D40091">
              <w:rPr>
                <w:rFonts w:ascii="Arial" w:hAnsi="Arial" w:cs="Arial"/>
                <w:i/>
                <w:iCs/>
                <w:color w:val="000000"/>
                <w:sz w:val="18"/>
                <w:szCs w:val="18"/>
              </w:rPr>
              <w:t> </w:t>
            </w:r>
          </w:p>
        </w:tc>
        <w:tc>
          <w:tcPr>
            <w:tcW w:w="50" w:type="pct"/>
            <w:tcBorders>
              <w:top w:val="nil"/>
              <w:left w:val="nil"/>
              <w:bottom w:val="nil"/>
              <w:right w:val="nil"/>
            </w:tcBorders>
            <w:shd w:val="clear" w:color="000000" w:fill="FFFFFF"/>
            <w:noWrap/>
            <w:vAlign w:val="center"/>
            <w:hideMark/>
          </w:tcPr>
          <w:p w14:paraId="1B59F5DD" w14:textId="77777777" w:rsidR="00D40091" w:rsidRPr="00D40091" w:rsidRDefault="00D40091" w:rsidP="00AA502F">
            <w:pPr>
              <w:spacing w:line="240" w:lineRule="auto"/>
              <w:rPr>
                <w:rFonts w:ascii="Arial" w:hAnsi="Arial" w:cs="Arial"/>
                <w:i/>
                <w:iCs/>
                <w:color w:val="000000"/>
                <w:sz w:val="18"/>
                <w:szCs w:val="18"/>
              </w:rPr>
            </w:pPr>
            <w:r w:rsidRPr="00D40091">
              <w:rPr>
                <w:rFonts w:ascii="Arial" w:hAnsi="Arial" w:cs="Arial"/>
                <w:i/>
                <w:iCs/>
                <w:color w:val="000000"/>
                <w:sz w:val="18"/>
                <w:szCs w:val="18"/>
              </w:rPr>
              <w:t> </w:t>
            </w:r>
          </w:p>
        </w:tc>
        <w:tc>
          <w:tcPr>
            <w:tcW w:w="375" w:type="pct"/>
            <w:tcBorders>
              <w:top w:val="nil"/>
              <w:left w:val="nil"/>
              <w:bottom w:val="nil"/>
              <w:right w:val="nil"/>
            </w:tcBorders>
            <w:shd w:val="clear" w:color="000000" w:fill="FFFFFF"/>
            <w:noWrap/>
            <w:vAlign w:val="center"/>
            <w:hideMark/>
          </w:tcPr>
          <w:p w14:paraId="6539E5F1"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417" w:type="pct"/>
            <w:tcBorders>
              <w:top w:val="nil"/>
              <w:left w:val="nil"/>
              <w:bottom w:val="nil"/>
              <w:right w:val="nil"/>
            </w:tcBorders>
            <w:shd w:val="clear" w:color="000000" w:fill="FFFFFF"/>
            <w:noWrap/>
            <w:vAlign w:val="center"/>
            <w:hideMark/>
          </w:tcPr>
          <w:p w14:paraId="79373367"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50" w:type="pct"/>
            <w:tcBorders>
              <w:top w:val="nil"/>
              <w:left w:val="nil"/>
              <w:bottom w:val="nil"/>
              <w:right w:val="nil"/>
            </w:tcBorders>
            <w:shd w:val="clear" w:color="000000" w:fill="FFFFFF"/>
            <w:noWrap/>
            <w:vAlign w:val="center"/>
            <w:hideMark/>
          </w:tcPr>
          <w:p w14:paraId="55BBE2FD"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375" w:type="pct"/>
            <w:tcBorders>
              <w:top w:val="nil"/>
              <w:left w:val="nil"/>
              <w:bottom w:val="nil"/>
              <w:right w:val="nil"/>
            </w:tcBorders>
            <w:shd w:val="clear" w:color="000000" w:fill="FFFFFF"/>
            <w:noWrap/>
            <w:vAlign w:val="center"/>
            <w:hideMark/>
          </w:tcPr>
          <w:p w14:paraId="23FFE565"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r>
      <w:tr w:rsidR="00A31378" w:rsidRPr="00D40091" w14:paraId="7C7EC581" w14:textId="77777777" w:rsidTr="00AA502F">
        <w:trPr>
          <w:trHeight w:val="315"/>
        </w:trPr>
        <w:tc>
          <w:tcPr>
            <w:tcW w:w="1073" w:type="pct"/>
            <w:tcBorders>
              <w:top w:val="nil"/>
              <w:left w:val="nil"/>
              <w:bottom w:val="nil"/>
              <w:right w:val="nil"/>
            </w:tcBorders>
            <w:shd w:val="clear" w:color="000000" w:fill="FFFFFF"/>
            <w:noWrap/>
            <w:vAlign w:val="center"/>
            <w:hideMark/>
          </w:tcPr>
          <w:p w14:paraId="22BE997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512850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3286681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6953E83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3003FC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4B9A845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1D2C98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E8B13E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0887F538" w14:textId="77777777" w:rsidR="00D40091" w:rsidRPr="00D40091" w:rsidRDefault="00D40091" w:rsidP="00AA502F">
            <w:pPr>
              <w:spacing w:line="240" w:lineRule="auto"/>
              <w:rPr>
                <w:rFonts w:ascii="Arial" w:hAnsi="Arial" w:cs="Arial"/>
                <w:i/>
                <w:iCs/>
                <w:color w:val="000000"/>
                <w:sz w:val="18"/>
                <w:szCs w:val="18"/>
              </w:rPr>
            </w:pPr>
            <w:r w:rsidRPr="00D40091">
              <w:rPr>
                <w:rFonts w:ascii="Arial" w:hAnsi="Arial" w:cs="Arial"/>
                <w:i/>
                <w:iCs/>
                <w:color w:val="000000"/>
                <w:sz w:val="18"/>
                <w:szCs w:val="18"/>
              </w:rPr>
              <w:t> </w:t>
            </w:r>
          </w:p>
        </w:tc>
        <w:tc>
          <w:tcPr>
            <w:tcW w:w="50" w:type="pct"/>
            <w:tcBorders>
              <w:top w:val="nil"/>
              <w:left w:val="nil"/>
              <w:bottom w:val="nil"/>
              <w:right w:val="nil"/>
            </w:tcBorders>
            <w:shd w:val="clear" w:color="000000" w:fill="FFFFFF"/>
            <w:noWrap/>
            <w:vAlign w:val="center"/>
            <w:hideMark/>
          </w:tcPr>
          <w:p w14:paraId="62D71D77" w14:textId="77777777" w:rsidR="00D40091" w:rsidRPr="00D40091" w:rsidRDefault="00D40091" w:rsidP="00AA502F">
            <w:pPr>
              <w:spacing w:line="240" w:lineRule="auto"/>
              <w:rPr>
                <w:rFonts w:ascii="Arial" w:hAnsi="Arial" w:cs="Arial"/>
                <w:i/>
                <w:iCs/>
                <w:color w:val="000000"/>
                <w:sz w:val="18"/>
                <w:szCs w:val="18"/>
              </w:rPr>
            </w:pPr>
            <w:r w:rsidRPr="00D40091">
              <w:rPr>
                <w:rFonts w:ascii="Arial" w:hAnsi="Arial" w:cs="Arial"/>
                <w:i/>
                <w:iCs/>
                <w:color w:val="000000"/>
                <w:sz w:val="18"/>
                <w:szCs w:val="18"/>
              </w:rPr>
              <w:t> </w:t>
            </w:r>
          </w:p>
        </w:tc>
        <w:tc>
          <w:tcPr>
            <w:tcW w:w="375" w:type="pct"/>
            <w:tcBorders>
              <w:top w:val="nil"/>
              <w:left w:val="nil"/>
              <w:bottom w:val="nil"/>
              <w:right w:val="nil"/>
            </w:tcBorders>
            <w:shd w:val="clear" w:color="000000" w:fill="FFFFFF"/>
            <w:noWrap/>
            <w:vAlign w:val="center"/>
            <w:hideMark/>
          </w:tcPr>
          <w:p w14:paraId="719239F1"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417" w:type="pct"/>
            <w:tcBorders>
              <w:top w:val="nil"/>
              <w:left w:val="nil"/>
              <w:bottom w:val="nil"/>
              <w:right w:val="nil"/>
            </w:tcBorders>
            <w:shd w:val="clear" w:color="000000" w:fill="FFFFFF"/>
            <w:noWrap/>
            <w:vAlign w:val="center"/>
            <w:hideMark/>
          </w:tcPr>
          <w:p w14:paraId="11C5B8FB"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50" w:type="pct"/>
            <w:tcBorders>
              <w:top w:val="nil"/>
              <w:left w:val="nil"/>
              <w:bottom w:val="nil"/>
              <w:right w:val="nil"/>
            </w:tcBorders>
            <w:shd w:val="clear" w:color="000000" w:fill="FFFFFF"/>
            <w:noWrap/>
            <w:vAlign w:val="center"/>
            <w:hideMark/>
          </w:tcPr>
          <w:p w14:paraId="69563459"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c>
          <w:tcPr>
            <w:tcW w:w="375" w:type="pct"/>
            <w:tcBorders>
              <w:top w:val="nil"/>
              <w:left w:val="nil"/>
              <w:bottom w:val="nil"/>
              <w:right w:val="nil"/>
            </w:tcBorders>
            <w:shd w:val="clear" w:color="000000" w:fill="FFFFFF"/>
            <w:noWrap/>
            <w:vAlign w:val="center"/>
            <w:hideMark/>
          </w:tcPr>
          <w:p w14:paraId="2B2318E5" w14:textId="77777777" w:rsidR="00D40091" w:rsidRPr="00D40091" w:rsidRDefault="00D40091" w:rsidP="00AA502F">
            <w:pPr>
              <w:spacing w:line="240" w:lineRule="auto"/>
              <w:jc w:val="center"/>
              <w:rPr>
                <w:rFonts w:ascii="Arial" w:hAnsi="Arial" w:cs="Arial"/>
                <w:i/>
                <w:iCs/>
                <w:sz w:val="18"/>
                <w:szCs w:val="18"/>
              </w:rPr>
            </w:pPr>
            <w:r w:rsidRPr="00D40091">
              <w:rPr>
                <w:rFonts w:ascii="Arial" w:hAnsi="Arial" w:cs="Arial"/>
                <w:i/>
                <w:iCs/>
                <w:sz w:val="18"/>
                <w:szCs w:val="18"/>
              </w:rPr>
              <w:t> </w:t>
            </w:r>
          </w:p>
        </w:tc>
      </w:tr>
      <w:tr w:rsidR="00A31378" w:rsidRPr="00D40091" w14:paraId="4D2B6636" w14:textId="77777777" w:rsidTr="00AA502F">
        <w:trPr>
          <w:trHeight w:val="630"/>
        </w:trPr>
        <w:tc>
          <w:tcPr>
            <w:tcW w:w="1073" w:type="pct"/>
            <w:tcBorders>
              <w:top w:val="nil"/>
              <w:left w:val="nil"/>
              <w:bottom w:val="nil"/>
              <w:right w:val="nil"/>
            </w:tcBorders>
            <w:shd w:val="clear" w:color="000000" w:fill="FFFFFF"/>
            <w:noWrap/>
            <w:vAlign w:val="center"/>
            <w:hideMark/>
          </w:tcPr>
          <w:p w14:paraId="266BEE89"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ATIVO</w:t>
            </w:r>
          </w:p>
        </w:tc>
        <w:tc>
          <w:tcPr>
            <w:tcW w:w="50" w:type="pct"/>
            <w:tcBorders>
              <w:top w:val="nil"/>
              <w:left w:val="nil"/>
              <w:bottom w:val="nil"/>
              <w:right w:val="nil"/>
            </w:tcBorders>
            <w:shd w:val="clear" w:color="000000" w:fill="FFFFFF"/>
            <w:noWrap/>
            <w:vAlign w:val="center"/>
            <w:hideMark/>
          </w:tcPr>
          <w:p w14:paraId="15AABD3D"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355" w:type="pct"/>
            <w:tcBorders>
              <w:top w:val="nil"/>
              <w:left w:val="nil"/>
              <w:bottom w:val="single" w:sz="4" w:space="0" w:color="auto"/>
              <w:right w:val="nil"/>
            </w:tcBorders>
            <w:shd w:val="clear" w:color="000000" w:fill="FFFFFF"/>
            <w:vAlign w:val="center"/>
            <w:hideMark/>
          </w:tcPr>
          <w:p w14:paraId="522A7ADE"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Notas Explicativas</w:t>
            </w:r>
          </w:p>
        </w:tc>
        <w:tc>
          <w:tcPr>
            <w:tcW w:w="417" w:type="pct"/>
            <w:tcBorders>
              <w:top w:val="nil"/>
              <w:left w:val="nil"/>
              <w:bottom w:val="nil"/>
              <w:right w:val="nil"/>
            </w:tcBorders>
            <w:shd w:val="clear" w:color="000000" w:fill="FFFFFF"/>
            <w:vAlign w:val="center"/>
            <w:hideMark/>
          </w:tcPr>
          <w:p w14:paraId="42B868D8"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31/12/2020</w:t>
            </w:r>
          </w:p>
        </w:tc>
        <w:tc>
          <w:tcPr>
            <w:tcW w:w="50" w:type="pct"/>
            <w:tcBorders>
              <w:top w:val="nil"/>
              <w:left w:val="nil"/>
              <w:bottom w:val="nil"/>
              <w:right w:val="nil"/>
            </w:tcBorders>
            <w:shd w:val="clear" w:color="000000" w:fill="FFFFFF"/>
            <w:vAlign w:val="center"/>
            <w:hideMark/>
          </w:tcPr>
          <w:p w14:paraId="379B0A46"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329" w:type="pct"/>
            <w:tcBorders>
              <w:top w:val="nil"/>
              <w:left w:val="nil"/>
              <w:bottom w:val="nil"/>
              <w:right w:val="nil"/>
            </w:tcBorders>
            <w:shd w:val="clear" w:color="auto" w:fill="auto"/>
            <w:noWrap/>
            <w:vAlign w:val="center"/>
            <w:hideMark/>
          </w:tcPr>
          <w:p w14:paraId="51E5F72C"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31/12/2019</w:t>
            </w:r>
          </w:p>
        </w:tc>
        <w:tc>
          <w:tcPr>
            <w:tcW w:w="50" w:type="pct"/>
            <w:tcBorders>
              <w:top w:val="nil"/>
              <w:left w:val="nil"/>
              <w:bottom w:val="nil"/>
              <w:right w:val="nil"/>
            </w:tcBorders>
            <w:shd w:val="clear" w:color="000000" w:fill="FFFFFF"/>
            <w:vAlign w:val="center"/>
            <w:hideMark/>
          </w:tcPr>
          <w:p w14:paraId="7E48215B"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50" w:type="pct"/>
            <w:tcBorders>
              <w:top w:val="nil"/>
              <w:left w:val="nil"/>
              <w:bottom w:val="nil"/>
              <w:right w:val="nil"/>
            </w:tcBorders>
            <w:shd w:val="clear" w:color="000000" w:fill="FFFFFF"/>
            <w:noWrap/>
            <w:vAlign w:val="center"/>
            <w:hideMark/>
          </w:tcPr>
          <w:p w14:paraId="3034A01D"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1357" w:type="pct"/>
            <w:tcBorders>
              <w:top w:val="nil"/>
              <w:left w:val="nil"/>
              <w:bottom w:val="nil"/>
              <w:right w:val="nil"/>
            </w:tcBorders>
            <w:shd w:val="clear" w:color="000000" w:fill="FFFFFF"/>
            <w:noWrap/>
            <w:vAlign w:val="center"/>
            <w:hideMark/>
          </w:tcPr>
          <w:p w14:paraId="6DEF3C58"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PASSIVO E PATRIMÔNIO LÍQUIDO</w:t>
            </w:r>
          </w:p>
        </w:tc>
        <w:tc>
          <w:tcPr>
            <w:tcW w:w="50" w:type="pct"/>
            <w:tcBorders>
              <w:top w:val="nil"/>
              <w:left w:val="nil"/>
              <w:bottom w:val="nil"/>
              <w:right w:val="nil"/>
            </w:tcBorders>
            <w:shd w:val="clear" w:color="000000" w:fill="FFFFFF"/>
            <w:noWrap/>
            <w:vAlign w:val="center"/>
            <w:hideMark/>
          </w:tcPr>
          <w:p w14:paraId="0DEAE492"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375" w:type="pct"/>
            <w:tcBorders>
              <w:top w:val="nil"/>
              <w:left w:val="nil"/>
              <w:bottom w:val="single" w:sz="4" w:space="0" w:color="auto"/>
              <w:right w:val="nil"/>
            </w:tcBorders>
            <w:shd w:val="clear" w:color="000000" w:fill="FFFFFF"/>
            <w:vAlign w:val="center"/>
            <w:hideMark/>
          </w:tcPr>
          <w:p w14:paraId="074F7E66"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Notas Explicativas</w:t>
            </w:r>
          </w:p>
        </w:tc>
        <w:tc>
          <w:tcPr>
            <w:tcW w:w="417" w:type="pct"/>
            <w:tcBorders>
              <w:top w:val="nil"/>
              <w:left w:val="nil"/>
              <w:bottom w:val="nil"/>
              <w:right w:val="nil"/>
            </w:tcBorders>
            <w:shd w:val="clear" w:color="000000" w:fill="FFFFFF"/>
            <w:vAlign w:val="center"/>
            <w:hideMark/>
          </w:tcPr>
          <w:p w14:paraId="0FB0BBDD"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31/12/2020</w:t>
            </w:r>
          </w:p>
        </w:tc>
        <w:tc>
          <w:tcPr>
            <w:tcW w:w="50" w:type="pct"/>
            <w:tcBorders>
              <w:top w:val="nil"/>
              <w:left w:val="nil"/>
              <w:bottom w:val="nil"/>
              <w:right w:val="nil"/>
            </w:tcBorders>
            <w:shd w:val="clear" w:color="000000" w:fill="FFFFFF"/>
            <w:vAlign w:val="center"/>
            <w:hideMark/>
          </w:tcPr>
          <w:p w14:paraId="0A23D897"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375" w:type="pct"/>
            <w:tcBorders>
              <w:top w:val="nil"/>
              <w:left w:val="nil"/>
              <w:bottom w:val="nil"/>
              <w:right w:val="nil"/>
            </w:tcBorders>
            <w:shd w:val="clear" w:color="auto" w:fill="auto"/>
            <w:noWrap/>
            <w:vAlign w:val="center"/>
            <w:hideMark/>
          </w:tcPr>
          <w:p w14:paraId="1C38E163"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31/12/2019</w:t>
            </w:r>
          </w:p>
        </w:tc>
      </w:tr>
      <w:tr w:rsidR="00A31378" w:rsidRPr="00D40091" w14:paraId="5F37D968" w14:textId="77777777" w:rsidTr="00AA502F">
        <w:trPr>
          <w:trHeight w:val="315"/>
        </w:trPr>
        <w:tc>
          <w:tcPr>
            <w:tcW w:w="1073" w:type="pct"/>
            <w:tcBorders>
              <w:top w:val="nil"/>
              <w:left w:val="nil"/>
              <w:bottom w:val="nil"/>
              <w:right w:val="nil"/>
            </w:tcBorders>
            <w:shd w:val="clear" w:color="000000" w:fill="FFFFFF"/>
            <w:noWrap/>
            <w:vAlign w:val="center"/>
            <w:hideMark/>
          </w:tcPr>
          <w:p w14:paraId="14FCF7E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7BEAA3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7895B9C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2304FC6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153F80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5D5EDAA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AF6A4F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32353F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D5952C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6CA1FB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732EDA6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77ECE4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6BD7B7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2E35C0F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2109461F" w14:textId="77777777" w:rsidTr="00AA502F">
        <w:trPr>
          <w:trHeight w:val="315"/>
        </w:trPr>
        <w:tc>
          <w:tcPr>
            <w:tcW w:w="1073" w:type="pct"/>
            <w:tcBorders>
              <w:top w:val="nil"/>
              <w:left w:val="nil"/>
              <w:bottom w:val="nil"/>
              <w:right w:val="nil"/>
            </w:tcBorders>
            <w:shd w:val="clear" w:color="000000" w:fill="FFFFFF"/>
            <w:noWrap/>
            <w:vAlign w:val="center"/>
            <w:hideMark/>
          </w:tcPr>
          <w:p w14:paraId="7C9C4E4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CIRCULANTE</w:t>
            </w:r>
          </w:p>
        </w:tc>
        <w:tc>
          <w:tcPr>
            <w:tcW w:w="50" w:type="pct"/>
            <w:tcBorders>
              <w:top w:val="nil"/>
              <w:left w:val="nil"/>
              <w:bottom w:val="nil"/>
              <w:right w:val="nil"/>
            </w:tcBorders>
            <w:shd w:val="clear" w:color="000000" w:fill="FFFFFF"/>
            <w:noWrap/>
            <w:vAlign w:val="center"/>
            <w:hideMark/>
          </w:tcPr>
          <w:p w14:paraId="137428C1"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355" w:type="pct"/>
            <w:tcBorders>
              <w:top w:val="nil"/>
              <w:left w:val="nil"/>
              <w:bottom w:val="nil"/>
              <w:right w:val="nil"/>
            </w:tcBorders>
            <w:shd w:val="clear" w:color="000000" w:fill="FFFFFF"/>
            <w:noWrap/>
            <w:vAlign w:val="center"/>
            <w:hideMark/>
          </w:tcPr>
          <w:p w14:paraId="6A4C2CAF"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075B14BD" w14:textId="77777777" w:rsidR="00D40091" w:rsidRPr="00D40091" w:rsidRDefault="00D40091" w:rsidP="00AA502F">
            <w:pPr>
              <w:spacing w:line="240" w:lineRule="auto"/>
              <w:jc w:val="right"/>
              <w:rPr>
                <w:rFonts w:ascii="Arial" w:hAnsi="Arial" w:cs="Arial"/>
                <w:b/>
                <w:bCs/>
                <w:color w:val="000000"/>
                <w:sz w:val="18"/>
                <w:szCs w:val="18"/>
              </w:rPr>
            </w:pPr>
            <w:r w:rsidRPr="00D40091">
              <w:rPr>
                <w:rFonts w:ascii="Arial" w:hAnsi="Arial" w:cs="Arial"/>
                <w:b/>
                <w:bCs/>
                <w:color w:val="000000"/>
                <w:sz w:val="18"/>
                <w:szCs w:val="18"/>
              </w:rPr>
              <w:t>15.147.965</w:t>
            </w:r>
          </w:p>
        </w:tc>
        <w:tc>
          <w:tcPr>
            <w:tcW w:w="50" w:type="pct"/>
            <w:tcBorders>
              <w:top w:val="nil"/>
              <w:left w:val="nil"/>
              <w:bottom w:val="nil"/>
              <w:right w:val="nil"/>
            </w:tcBorders>
            <w:shd w:val="clear" w:color="000000" w:fill="FFFFFF"/>
            <w:noWrap/>
            <w:vAlign w:val="center"/>
            <w:hideMark/>
          </w:tcPr>
          <w:p w14:paraId="4C373DFF"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329" w:type="pct"/>
            <w:tcBorders>
              <w:top w:val="nil"/>
              <w:left w:val="nil"/>
              <w:bottom w:val="single" w:sz="4" w:space="0" w:color="auto"/>
              <w:right w:val="nil"/>
            </w:tcBorders>
            <w:shd w:val="clear" w:color="000000" w:fill="FFFFFF"/>
            <w:noWrap/>
            <w:vAlign w:val="center"/>
            <w:hideMark/>
          </w:tcPr>
          <w:p w14:paraId="7E524756" w14:textId="77777777" w:rsidR="00D40091" w:rsidRPr="00D40091" w:rsidRDefault="00D40091" w:rsidP="00AA502F">
            <w:pPr>
              <w:spacing w:line="240" w:lineRule="auto"/>
              <w:jc w:val="right"/>
              <w:rPr>
                <w:rFonts w:ascii="Arial" w:hAnsi="Arial" w:cs="Arial"/>
                <w:b/>
                <w:bCs/>
                <w:color w:val="000000"/>
                <w:sz w:val="18"/>
                <w:szCs w:val="18"/>
              </w:rPr>
            </w:pPr>
            <w:r w:rsidRPr="00D40091">
              <w:rPr>
                <w:rFonts w:ascii="Arial" w:hAnsi="Arial" w:cs="Arial"/>
                <w:b/>
                <w:bCs/>
                <w:color w:val="000000"/>
                <w:sz w:val="18"/>
                <w:szCs w:val="18"/>
              </w:rPr>
              <w:t>11.441.732</w:t>
            </w:r>
          </w:p>
        </w:tc>
        <w:tc>
          <w:tcPr>
            <w:tcW w:w="50" w:type="pct"/>
            <w:tcBorders>
              <w:top w:val="nil"/>
              <w:left w:val="nil"/>
              <w:bottom w:val="nil"/>
              <w:right w:val="nil"/>
            </w:tcBorders>
            <w:shd w:val="clear" w:color="000000" w:fill="FFFFFF"/>
            <w:noWrap/>
            <w:vAlign w:val="center"/>
            <w:hideMark/>
          </w:tcPr>
          <w:p w14:paraId="35879711"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50" w:type="pct"/>
            <w:tcBorders>
              <w:top w:val="nil"/>
              <w:left w:val="nil"/>
              <w:bottom w:val="nil"/>
              <w:right w:val="nil"/>
            </w:tcBorders>
            <w:shd w:val="clear" w:color="000000" w:fill="FFFFFF"/>
            <w:noWrap/>
            <w:vAlign w:val="center"/>
            <w:hideMark/>
          </w:tcPr>
          <w:p w14:paraId="2DBB458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0466805F"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CIRCULANTE</w:t>
            </w:r>
          </w:p>
        </w:tc>
        <w:tc>
          <w:tcPr>
            <w:tcW w:w="50" w:type="pct"/>
            <w:tcBorders>
              <w:top w:val="nil"/>
              <w:left w:val="nil"/>
              <w:bottom w:val="nil"/>
              <w:right w:val="nil"/>
            </w:tcBorders>
            <w:shd w:val="clear" w:color="000000" w:fill="FFFFFF"/>
            <w:noWrap/>
            <w:vAlign w:val="center"/>
            <w:hideMark/>
          </w:tcPr>
          <w:p w14:paraId="6B575E74"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375" w:type="pct"/>
            <w:tcBorders>
              <w:top w:val="nil"/>
              <w:left w:val="nil"/>
              <w:bottom w:val="nil"/>
              <w:right w:val="nil"/>
            </w:tcBorders>
            <w:shd w:val="clear" w:color="000000" w:fill="FFFFFF"/>
            <w:noWrap/>
            <w:vAlign w:val="center"/>
            <w:hideMark/>
          </w:tcPr>
          <w:p w14:paraId="11CF6CD9"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417" w:type="pct"/>
            <w:tcBorders>
              <w:top w:val="nil"/>
              <w:left w:val="nil"/>
              <w:bottom w:val="single" w:sz="4" w:space="0" w:color="auto"/>
              <w:right w:val="nil"/>
            </w:tcBorders>
            <w:shd w:val="clear" w:color="000000" w:fill="FFFFFF"/>
            <w:noWrap/>
            <w:vAlign w:val="center"/>
            <w:hideMark/>
          </w:tcPr>
          <w:p w14:paraId="5D8F791A" w14:textId="77777777" w:rsidR="00D40091" w:rsidRPr="00D40091" w:rsidRDefault="00D40091" w:rsidP="00A31378">
            <w:pPr>
              <w:spacing w:line="240" w:lineRule="auto"/>
              <w:jc w:val="right"/>
              <w:rPr>
                <w:rFonts w:ascii="Arial" w:hAnsi="Arial" w:cs="Arial"/>
                <w:b/>
                <w:bCs/>
                <w:color w:val="000000"/>
                <w:sz w:val="18"/>
                <w:szCs w:val="18"/>
              </w:rPr>
            </w:pPr>
            <w:r w:rsidRPr="00D40091">
              <w:rPr>
                <w:rFonts w:ascii="Arial" w:hAnsi="Arial" w:cs="Arial"/>
                <w:b/>
                <w:bCs/>
                <w:color w:val="000000"/>
                <w:sz w:val="18"/>
                <w:szCs w:val="18"/>
              </w:rPr>
              <w:t xml:space="preserve">            780.342 </w:t>
            </w:r>
          </w:p>
        </w:tc>
        <w:tc>
          <w:tcPr>
            <w:tcW w:w="50" w:type="pct"/>
            <w:tcBorders>
              <w:top w:val="nil"/>
              <w:left w:val="nil"/>
              <w:bottom w:val="nil"/>
              <w:right w:val="nil"/>
            </w:tcBorders>
            <w:shd w:val="clear" w:color="000000" w:fill="FFFFFF"/>
            <w:noWrap/>
            <w:vAlign w:val="center"/>
            <w:hideMark/>
          </w:tcPr>
          <w:p w14:paraId="6425C418"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375" w:type="pct"/>
            <w:tcBorders>
              <w:top w:val="nil"/>
              <w:left w:val="nil"/>
              <w:bottom w:val="single" w:sz="4" w:space="0" w:color="auto"/>
              <w:right w:val="nil"/>
            </w:tcBorders>
            <w:shd w:val="clear" w:color="000000" w:fill="FFFFFF"/>
            <w:noWrap/>
            <w:vAlign w:val="center"/>
            <w:hideMark/>
          </w:tcPr>
          <w:p w14:paraId="17E0AAE8" w14:textId="77777777" w:rsidR="00D40091" w:rsidRPr="00D40091" w:rsidRDefault="00D40091" w:rsidP="00A31378">
            <w:pPr>
              <w:spacing w:line="240" w:lineRule="auto"/>
              <w:jc w:val="right"/>
              <w:rPr>
                <w:rFonts w:ascii="Arial" w:hAnsi="Arial" w:cs="Arial"/>
                <w:b/>
                <w:bCs/>
                <w:color w:val="000000"/>
                <w:sz w:val="18"/>
                <w:szCs w:val="18"/>
              </w:rPr>
            </w:pPr>
            <w:r w:rsidRPr="00D40091">
              <w:rPr>
                <w:rFonts w:ascii="Arial" w:hAnsi="Arial" w:cs="Arial"/>
                <w:b/>
                <w:bCs/>
                <w:color w:val="000000"/>
                <w:sz w:val="18"/>
                <w:szCs w:val="18"/>
              </w:rPr>
              <w:t xml:space="preserve">          499.799 </w:t>
            </w:r>
          </w:p>
        </w:tc>
      </w:tr>
      <w:tr w:rsidR="00A31378" w:rsidRPr="00D40091" w14:paraId="1CB88AC2" w14:textId="77777777" w:rsidTr="00AA502F">
        <w:trPr>
          <w:trHeight w:val="315"/>
        </w:trPr>
        <w:tc>
          <w:tcPr>
            <w:tcW w:w="1073" w:type="pct"/>
            <w:tcBorders>
              <w:top w:val="nil"/>
              <w:left w:val="nil"/>
              <w:bottom w:val="nil"/>
              <w:right w:val="nil"/>
            </w:tcBorders>
            <w:shd w:val="clear" w:color="000000" w:fill="FFFFFF"/>
            <w:noWrap/>
            <w:vAlign w:val="center"/>
            <w:hideMark/>
          </w:tcPr>
          <w:p w14:paraId="7BD3E3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AD7602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03909E0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5E0A13B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3A2D8F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5969C61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9E0EB5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4B269E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5B95032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EA6D943" w14:textId="77777777" w:rsidR="00D40091" w:rsidRPr="00D40091" w:rsidRDefault="00D40091" w:rsidP="00AA502F">
            <w:pPr>
              <w:spacing w:line="240" w:lineRule="auto"/>
              <w:rPr>
                <w:rFonts w:ascii="Arial" w:hAnsi="Arial" w:cs="Arial"/>
                <w:b/>
                <w:bCs/>
                <w:color w:val="FF0000"/>
                <w:sz w:val="18"/>
                <w:szCs w:val="18"/>
              </w:rPr>
            </w:pPr>
            <w:r w:rsidRPr="00D40091">
              <w:rPr>
                <w:rFonts w:ascii="Arial" w:hAnsi="Arial" w:cs="Arial"/>
                <w:b/>
                <w:bCs/>
                <w:color w:val="FF0000"/>
                <w:sz w:val="18"/>
                <w:szCs w:val="18"/>
              </w:rPr>
              <w:t> </w:t>
            </w:r>
          </w:p>
        </w:tc>
        <w:tc>
          <w:tcPr>
            <w:tcW w:w="375" w:type="pct"/>
            <w:tcBorders>
              <w:top w:val="nil"/>
              <w:left w:val="nil"/>
              <w:bottom w:val="nil"/>
              <w:right w:val="nil"/>
            </w:tcBorders>
            <w:shd w:val="clear" w:color="000000" w:fill="FFFFFF"/>
            <w:noWrap/>
            <w:vAlign w:val="center"/>
            <w:hideMark/>
          </w:tcPr>
          <w:p w14:paraId="61E9E75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55C9BC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2CD1948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7F3B304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67ADE572" w14:textId="77777777" w:rsidTr="00AA502F">
        <w:trPr>
          <w:trHeight w:val="315"/>
        </w:trPr>
        <w:tc>
          <w:tcPr>
            <w:tcW w:w="1073" w:type="pct"/>
            <w:tcBorders>
              <w:top w:val="nil"/>
              <w:left w:val="nil"/>
              <w:bottom w:val="nil"/>
              <w:right w:val="nil"/>
            </w:tcBorders>
            <w:shd w:val="clear" w:color="000000" w:fill="FFFFFF"/>
            <w:noWrap/>
            <w:vAlign w:val="center"/>
            <w:hideMark/>
          </w:tcPr>
          <w:p w14:paraId="6EB00253"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Caixa e Equivalentes de Caixa</w:t>
            </w:r>
          </w:p>
        </w:tc>
        <w:tc>
          <w:tcPr>
            <w:tcW w:w="50" w:type="pct"/>
            <w:tcBorders>
              <w:top w:val="nil"/>
              <w:left w:val="nil"/>
              <w:bottom w:val="nil"/>
              <w:right w:val="nil"/>
            </w:tcBorders>
            <w:shd w:val="clear" w:color="000000" w:fill="FFFFFF"/>
            <w:noWrap/>
            <w:vAlign w:val="center"/>
            <w:hideMark/>
          </w:tcPr>
          <w:p w14:paraId="71561FC9" w14:textId="77777777" w:rsidR="00D40091" w:rsidRPr="00D40091" w:rsidRDefault="00D40091" w:rsidP="00AA502F">
            <w:pPr>
              <w:spacing w:line="240" w:lineRule="auto"/>
              <w:rPr>
                <w:rFonts w:ascii="Arial" w:hAnsi="Arial" w:cs="Arial"/>
                <w:b/>
                <w:bCs/>
                <w:color w:val="FF0000"/>
                <w:sz w:val="18"/>
                <w:szCs w:val="18"/>
              </w:rPr>
            </w:pPr>
            <w:r w:rsidRPr="00D40091">
              <w:rPr>
                <w:rFonts w:ascii="Arial" w:hAnsi="Arial" w:cs="Arial"/>
                <w:b/>
                <w:bCs/>
                <w:color w:val="FF0000"/>
                <w:sz w:val="18"/>
                <w:szCs w:val="18"/>
              </w:rPr>
              <w:t> </w:t>
            </w:r>
          </w:p>
        </w:tc>
        <w:tc>
          <w:tcPr>
            <w:tcW w:w="355" w:type="pct"/>
            <w:tcBorders>
              <w:top w:val="nil"/>
              <w:left w:val="nil"/>
              <w:bottom w:val="nil"/>
              <w:right w:val="nil"/>
            </w:tcBorders>
            <w:shd w:val="clear" w:color="000000" w:fill="FFFFFF"/>
            <w:noWrap/>
            <w:vAlign w:val="center"/>
            <w:hideMark/>
          </w:tcPr>
          <w:p w14:paraId="100E691E"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13E36A8F"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7.362.876</w:t>
            </w:r>
          </w:p>
        </w:tc>
        <w:tc>
          <w:tcPr>
            <w:tcW w:w="50" w:type="pct"/>
            <w:tcBorders>
              <w:top w:val="nil"/>
              <w:left w:val="nil"/>
              <w:bottom w:val="nil"/>
              <w:right w:val="nil"/>
            </w:tcBorders>
            <w:shd w:val="clear" w:color="000000" w:fill="FFFFFF"/>
            <w:noWrap/>
            <w:vAlign w:val="center"/>
            <w:hideMark/>
          </w:tcPr>
          <w:p w14:paraId="167BAE71"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329" w:type="pct"/>
            <w:tcBorders>
              <w:top w:val="nil"/>
              <w:left w:val="nil"/>
              <w:bottom w:val="single" w:sz="4" w:space="0" w:color="auto"/>
              <w:right w:val="nil"/>
            </w:tcBorders>
            <w:shd w:val="clear" w:color="000000" w:fill="FFFFFF"/>
            <w:noWrap/>
            <w:vAlign w:val="center"/>
            <w:hideMark/>
          </w:tcPr>
          <w:p w14:paraId="21DFEB43"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4.174.397</w:t>
            </w:r>
          </w:p>
        </w:tc>
        <w:tc>
          <w:tcPr>
            <w:tcW w:w="50" w:type="pct"/>
            <w:tcBorders>
              <w:top w:val="nil"/>
              <w:left w:val="nil"/>
              <w:bottom w:val="nil"/>
              <w:right w:val="nil"/>
            </w:tcBorders>
            <w:shd w:val="clear" w:color="000000" w:fill="FFFFFF"/>
            <w:noWrap/>
            <w:vAlign w:val="center"/>
            <w:hideMark/>
          </w:tcPr>
          <w:p w14:paraId="26512463"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50" w:type="pct"/>
            <w:tcBorders>
              <w:top w:val="nil"/>
              <w:left w:val="nil"/>
              <w:bottom w:val="nil"/>
              <w:right w:val="nil"/>
            </w:tcBorders>
            <w:shd w:val="clear" w:color="000000" w:fill="FFFFFF"/>
            <w:noWrap/>
            <w:vAlign w:val="center"/>
            <w:hideMark/>
          </w:tcPr>
          <w:p w14:paraId="11EDA28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648140E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Obrigações com Fornecedores </w:t>
            </w:r>
          </w:p>
        </w:tc>
        <w:tc>
          <w:tcPr>
            <w:tcW w:w="50" w:type="pct"/>
            <w:tcBorders>
              <w:top w:val="nil"/>
              <w:left w:val="nil"/>
              <w:bottom w:val="nil"/>
              <w:right w:val="nil"/>
            </w:tcBorders>
            <w:shd w:val="clear" w:color="000000" w:fill="FFFFFF"/>
            <w:noWrap/>
            <w:vAlign w:val="center"/>
            <w:hideMark/>
          </w:tcPr>
          <w:p w14:paraId="4DA4B82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4339E49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13</w:t>
            </w:r>
          </w:p>
        </w:tc>
        <w:tc>
          <w:tcPr>
            <w:tcW w:w="417" w:type="pct"/>
            <w:tcBorders>
              <w:top w:val="nil"/>
              <w:left w:val="nil"/>
              <w:bottom w:val="nil"/>
              <w:right w:val="nil"/>
            </w:tcBorders>
            <w:shd w:val="clear" w:color="000000" w:fill="FFFFFF"/>
            <w:noWrap/>
            <w:vAlign w:val="center"/>
            <w:hideMark/>
          </w:tcPr>
          <w:p w14:paraId="1F03840C" w14:textId="1EEDBA48"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103.504 </w:t>
            </w:r>
          </w:p>
        </w:tc>
        <w:tc>
          <w:tcPr>
            <w:tcW w:w="50" w:type="pct"/>
            <w:tcBorders>
              <w:top w:val="nil"/>
              <w:left w:val="nil"/>
              <w:bottom w:val="nil"/>
              <w:right w:val="nil"/>
            </w:tcBorders>
            <w:shd w:val="clear" w:color="000000" w:fill="FFFFFF"/>
            <w:noWrap/>
            <w:vAlign w:val="center"/>
            <w:hideMark/>
          </w:tcPr>
          <w:p w14:paraId="64ED7841"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052B42CA"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91.367</w:t>
            </w:r>
          </w:p>
        </w:tc>
      </w:tr>
      <w:tr w:rsidR="00A31378" w:rsidRPr="00D40091" w14:paraId="15147FDB" w14:textId="77777777" w:rsidTr="00AA502F">
        <w:trPr>
          <w:trHeight w:val="315"/>
        </w:trPr>
        <w:tc>
          <w:tcPr>
            <w:tcW w:w="1073" w:type="pct"/>
            <w:tcBorders>
              <w:top w:val="nil"/>
              <w:left w:val="nil"/>
              <w:bottom w:val="nil"/>
              <w:right w:val="nil"/>
            </w:tcBorders>
            <w:shd w:val="clear" w:color="000000" w:fill="FFFFFF"/>
            <w:noWrap/>
            <w:vAlign w:val="center"/>
            <w:hideMark/>
          </w:tcPr>
          <w:p w14:paraId="15482AB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Caixa</w:t>
            </w:r>
          </w:p>
        </w:tc>
        <w:tc>
          <w:tcPr>
            <w:tcW w:w="50" w:type="pct"/>
            <w:tcBorders>
              <w:top w:val="nil"/>
              <w:left w:val="nil"/>
              <w:bottom w:val="nil"/>
              <w:right w:val="nil"/>
            </w:tcBorders>
            <w:shd w:val="clear" w:color="000000" w:fill="FFFFFF"/>
            <w:noWrap/>
            <w:vAlign w:val="center"/>
            <w:hideMark/>
          </w:tcPr>
          <w:p w14:paraId="0C9C9D2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6F46C59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5</w:t>
            </w:r>
          </w:p>
        </w:tc>
        <w:tc>
          <w:tcPr>
            <w:tcW w:w="417" w:type="pct"/>
            <w:tcBorders>
              <w:top w:val="nil"/>
              <w:left w:val="nil"/>
              <w:bottom w:val="nil"/>
              <w:right w:val="nil"/>
            </w:tcBorders>
            <w:shd w:val="clear" w:color="000000" w:fill="FFFFFF"/>
            <w:noWrap/>
            <w:vAlign w:val="center"/>
            <w:hideMark/>
          </w:tcPr>
          <w:p w14:paraId="09178143" w14:textId="72A2563A"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30 </w:t>
            </w:r>
          </w:p>
        </w:tc>
        <w:tc>
          <w:tcPr>
            <w:tcW w:w="50" w:type="pct"/>
            <w:tcBorders>
              <w:top w:val="nil"/>
              <w:left w:val="nil"/>
              <w:bottom w:val="nil"/>
              <w:right w:val="nil"/>
            </w:tcBorders>
            <w:shd w:val="clear" w:color="000000" w:fill="FFFFFF"/>
            <w:noWrap/>
            <w:vAlign w:val="center"/>
            <w:hideMark/>
          </w:tcPr>
          <w:p w14:paraId="65C6926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0DEC2416"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536</w:t>
            </w:r>
          </w:p>
        </w:tc>
        <w:tc>
          <w:tcPr>
            <w:tcW w:w="50" w:type="pct"/>
            <w:tcBorders>
              <w:top w:val="nil"/>
              <w:left w:val="nil"/>
              <w:bottom w:val="nil"/>
              <w:right w:val="nil"/>
            </w:tcBorders>
            <w:shd w:val="clear" w:color="000000" w:fill="FFFFFF"/>
            <w:noWrap/>
            <w:vAlign w:val="center"/>
            <w:hideMark/>
          </w:tcPr>
          <w:p w14:paraId="3731143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0E172F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1404910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Obrigações Trabalhistas e Previdenciárias </w:t>
            </w:r>
          </w:p>
        </w:tc>
        <w:tc>
          <w:tcPr>
            <w:tcW w:w="50" w:type="pct"/>
            <w:tcBorders>
              <w:top w:val="nil"/>
              <w:left w:val="nil"/>
              <w:bottom w:val="nil"/>
              <w:right w:val="nil"/>
            </w:tcBorders>
            <w:shd w:val="clear" w:color="000000" w:fill="FFFFFF"/>
            <w:noWrap/>
            <w:vAlign w:val="center"/>
            <w:hideMark/>
          </w:tcPr>
          <w:p w14:paraId="0E3B7F0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1B85C53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14</w:t>
            </w:r>
          </w:p>
        </w:tc>
        <w:tc>
          <w:tcPr>
            <w:tcW w:w="417" w:type="pct"/>
            <w:tcBorders>
              <w:top w:val="nil"/>
              <w:left w:val="nil"/>
              <w:bottom w:val="nil"/>
              <w:right w:val="nil"/>
            </w:tcBorders>
            <w:shd w:val="clear" w:color="000000" w:fill="FFFFFF"/>
            <w:noWrap/>
            <w:vAlign w:val="center"/>
            <w:hideMark/>
          </w:tcPr>
          <w:p w14:paraId="75EC220D" w14:textId="00068D99"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375.973 </w:t>
            </w:r>
          </w:p>
        </w:tc>
        <w:tc>
          <w:tcPr>
            <w:tcW w:w="50" w:type="pct"/>
            <w:tcBorders>
              <w:top w:val="nil"/>
              <w:left w:val="nil"/>
              <w:bottom w:val="nil"/>
              <w:right w:val="nil"/>
            </w:tcBorders>
            <w:shd w:val="clear" w:color="000000" w:fill="FFFFFF"/>
            <w:noWrap/>
            <w:vAlign w:val="center"/>
            <w:hideMark/>
          </w:tcPr>
          <w:p w14:paraId="7EE340B5"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auto" w:fill="auto"/>
            <w:noWrap/>
            <w:vAlign w:val="center"/>
            <w:hideMark/>
          </w:tcPr>
          <w:p w14:paraId="6F3666D9"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335.487</w:t>
            </w:r>
          </w:p>
        </w:tc>
      </w:tr>
      <w:tr w:rsidR="00A31378" w:rsidRPr="00D40091" w14:paraId="793A3637" w14:textId="77777777" w:rsidTr="00AA502F">
        <w:trPr>
          <w:trHeight w:val="315"/>
        </w:trPr>
        <w:tc>
          <w:tcPr>
            <w:tcW w:w="1073" w:type="pct"/>
            <w:tcBorders>
              <w:top w:val="nil"/>
              <w:left w:val="nil"/>
              <w:bottom w:val="nil"/>
              <w:right w:val="nil"/>
            </w:tcBorders>
            <w:shd w:val="clear" w:color="000000" w:fill="FFFFFF"/>
            <w:noWrap/>
            <w:vAlign w:val="center"/>
            <w:hideMark/>
          </w:tcPr>
          <w:p w14:paraId="4E79B32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Aplicações Financeiras</w:t>
            </w:r>
          </w:p>
        </w:tc>
        <w:tc>
          <w:tcPr>
            <w:tcW w:w="50" w:type="pct"/>
            <w:tcBorders>
              <w:top w:val="nil"/>
              <w:left w:val="nil"/>
              <w:bottom w:val="nil"/>
              <w:right w:val="nil"/>
            </w:tcBorders>
            <w:shd w:val="clear" w:color="000000" w:fill="FFFFFF"/>
            <w:noWrap/>
            <w:vAlign w:val="center"/>
            <w:hideMark/>
          </w:tcPr>
          <w:p w14:paraId="2DD99FC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10D458C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5</w:t>
            </w:r>
          </w:p>
        </w:tc>
        <w:tc>
          <w:tcPr>
            <w:tcW w:w="417" w:type="pct"/>
            <w:tcBorders>
              <w:top w:val="nil"/>
              <w:left w:val="nil"/>
              <w:bottom w:val="nil"/>
              <w:right w:val="nil"/>
            </w:tcBorders>
            <w:shd w:val="clear" w:color="000000" w:fill="FFFFFF"/>
            <w:noWrap/>
            <w:vAlign w:val="center"/>
            <w:hideMark/>
          </w:tcPr>
          <w:p w14:paraId="3D5DE9C9" w14:textId="15C46FF1"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7.362.846</w:t>
            </w:r>
          </w:p>
        </w:tc>
        <w:tc>
          <w:tcPr>
            <w:tcW w:w="50" w:type="pct"/>
            <w:tcBorders>
              <w:top w:val="nil"/>
              <w:left w:val="nil"/>
              <w:bottom w:val="nil"/>
              <w:right w:val="nil"/>
            </w:tcBorders>
            <w:shd w:val="clear" w:color="000000" w:fill="FFFFFF"/>
            <w:noWrap/>
            <w:vAlign w:val="center"/>
            <w:hideMark/>
          </w:tcPr>
          <w:p w14:paraId="56DE9FA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59FCF7E"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4.173.861</w:t>
            </w:r>
          </w:p>
        </w:tc>
        <w:tc>
          <w:tcPr>
            <w:tcW w:w="50" w:type="pct"/>
            <w:tcBorders>
              <w:top w:val="nil"/>
              <w:left w:val="nil"/>
              <w:bottom w:val="nil"/>
              <w:right w:val="nil"/>
            </w:tcBorders>
            <w:shd w:val="clear" w:color="000000" w:fill="FFFFFF"/>
            <w:noWrap/>
            <w:vAlign w:val="center"/>
            <w:hideMark/>
          </w:tcPr>
          <w:p w14:paraId="4EE7D7F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F55B5C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062AE42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Obrigações Tributárias </w:t>
            </w:r>
          </w:p>
        </w:tc>
        <w:tc>
          <w:tcPr>
            <w:tcW w:w="50" w:type="pct"/>
            <w:tcBorders>
              <w:top w:val="nil"/>
              <w:left w:val="nil"/>
              <w:bottom w:val="nil"/>
              <w:right w:val="nil"/>
            </w:tcBorders>
            <w:shd w:val="clear" w:color="000000" w:fill="FFFFFF"/>
            <w:noWrap/>
            <w:vAlign w:val="center"/>
            <w:hideMark/>
          </w:tcPr>
          <w:p w14:paraId="367FEF6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6511366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15</w:t>
            </w:r>
          </w:p>
        </w:tc>
        <w:tc>
          <w:tcPr>
            <w:tcW w:w="417" w:type="pct"/>
            <w:tcBorders>
              <w:top w:val="nil"/>
              <w:left w:val="nil"/>
              <w:bottom w:val="nil"/>
              <w:right w:val="nil"/>
            </w:tcBorders>
            <w:shd w:val="clear" w:color="000000" w:fill="FFFFFF"/>
            <w:noWrap/>
            <w:vAlign w:val="center"/>
            <w:hideMark/>
          </w:tcPr>
          <w:p w14:paraId="60623A9B" w14:textId="4D751685"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300.866 </w:t>
            </w:r>
          </w:p>
        </w:tc>
        <w:tc>
          <w:tcPr>
            <w:tcW w:w="50" w:type="pct"/>
            <w:tcBorders>
              <w:top w:val="nil"/>
              <w:left w:val="nil"/>
              <w:bottom w:val="nil"/>
              <w:right w:val="nil"/>
            </w:tcBorders>
            <w:shd w:val="clear" w:color="000000" w:fill="FFFFFF"/>
            <w:noWrap/>
            <w:vAlign w:val="center"/>
            <w:hideMark/>
          </w:tcPr>
          <w:p w14:paraId="336F36EF"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4C9B3482"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72.945</w:t>
            </w:r>
          </w:p>
        </w:tc>
      </w:tr>
      <w:tr w:rsidR="00A31378" w:rsidRPr="00D40091" w14:paraId="0C9B7CC7" w14:textId="77777777" w:rsidTr="00AA502F">
        <w:trPr>
          <w:trHeight w:val="315"/>
        </w:trPr>
        <w:tc>
          <w:tcPr>
            <w:tcW w:w="1073" w:type="pct"/>
            <w:tcBorders>
              <w:top w:val="nil"/>
              <w:left w:val="nil"/>
              <w:bottom w:val="nil"/>
              <w:right w:val="nil"/>
            </w:tcBorders>
            <w:shd w:val="clear" w:color="000000" w:fill="FFFFFF"/>
            <w:noWrap/>
            <w:vAlign w:val="center"/>
            <w:hideMark/>
          </w:tcPr>
          <w:p w14:paraId="493ED7C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AE8306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0894B93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4C92C48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58B574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DA0E50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07F6FB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3EDE3C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2848EFEA"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1289F9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E7EB3C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3DC2B56D"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71B6E6EB"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10C5BAC9"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r>
      <w:tr w:rsidR="00A31378" w:rsidRPr="00D40091" w14:paraId="0C34133F" w14:textId="77777777" w:rsidTr="00AA502F">
        <w:trPr>
          <w:trHeight w:val="315"/>
        </w:trPr>
        <w:tc>
          <w:tcPr>
            <w:tcW w:w="1073" w:type="pct"/>
            <w:tcBorders>
              <w:top w:val="nil"/>
              <w:left w:val="nil"/>
              <w:bottom w:val="nil"/>
              <w:right w:val="nil"/>
            </w:tcBorders>
            <w:shd w:val="clear" w:color="000000" w:fill="FFFFFF"/>
            <w:noWrap/>
            <w:vAlign w:val="center"/>
            <w:hideMark/>
          </w:tcPr>
          <w:p w14:paraId="440E83E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BE73C2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70FBEBC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0B9106F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5C3F05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58E81A9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B4FE1C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29646F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A2E701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28EF8D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21EC81C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093C9CC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7557F33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4A1B165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5B26B601" w14:textId="77777777" w:rsidTr="00AA502F">
        <w:trPr>
          <w:trHeight w:val="315"/>
        </w:trPr>
        <w:tc>
          <w:tcPr>
            <w:tcW w:w="1073" w:type="pct"/>
            <w:tcBorders>
              <w:top w:val="nil"/>
              <w:left w:val="nil"/>
              <w:bottom w:val="nil"/>
              <w:right w:val="nil"/>
            </w:tcBorders>
            <w:shd w:val="clear" w:color="000000" w:fill="FFFFFF"/>
            <w:noWrap/>
            <w:vAlign w:val="center"/>
            <w:hideMark/>
          </w:tcPr>
          <w:p w14:paraId="44D307FE"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Direitos Realizáveis</w:t>
            </w:r>
          </w:p>
        </w:tc>
        <w:tc>
          <w:tcPr>
            <w:tcW w:w="50" w:type="pct"/>
            <w:tcBorders>
              <w:top w:val="nil"/>
              <w:left w:val="nil"/>
              <w:bottom w:val="nil"/>
              <w:right w:val="nil"/>
            </w:tcBorders>
            <w:shd w:val="clear" w:color="000000" w:fill="FFFFFF"/>
            <w:noWrap/>
            <w:vAlign w:val="center"/>
            <w:hideMark/>
          </w:tcPr>
          <w:p w14:paraId="6EE66646" w14:textId="77777777" w:rsidR="00D40091" w:rsidRPr="00D40091" w:rsidRDefault="00D40091" w:rsidP="00AA502F">
            <w:pPr>
              <w:spacing w:line="240" w:lineRule="auto"/>
              <w:rPr>
                <w:rFonts w:ascii="Arial" w:hAnsi="Arial" w:cs="Arial"/>
                <w:b/>
                <w:bCs/>
                <w:color w:val="FF0000"/>
                <w:sz w:val="18"/>
                <w:szCs w:val="18"/>
              </w:rPr>
            </w:pPr>
            <w:r w:rsidRPr="00D40091">
              <w:rPr>
                <w:rFonts w:ascii="Arial" w:hAnsi="Arial" w:cs="Arial"/>
                <w:b/>
                <w:bCs/>
                <w:color w:val="FF0000"/>
                <w:sz w:val="18"/>
                <w:szCs w:val="18"/>
              </w:rPr>
              <w:t> </w:t>
            </w:r>
          </w:p>
        </w:tc>
        <w:tc>
          <w:tcPr>
            <w:tcW w:w="355" w:type="pct"/>
            <w:tcBorders>
              <w:top w:val="nil"/>
              <w:left w:val="nil"/>
              <w:bottom w:val="nil"/>
              <w:right w:val="nil"/>
            </w:tcBorders>
            <w:shd w:val="clear" w:color="000000" w:fill="FFFFFF"/>
            <w:noWrap/>
            <w:vAlign w:val="center"/>
            <w:hideMark/>
          </w:tcPr>
          <w:p w14:paraId="17EE84D1"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346A034B"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7.785.089</w:t>
            </w:r>
          </w:p>
        </w:tc>
        <w:tc>
          <w:tcPr>
            <w:tcW w:w="50" w:type="pct"/>
            <w:tcBorders>
              <w:top w:val="nil"/>
              <w:left w:val="nil"/>
              <w:bottom w:val="nil"/>
              <w:right w:val="nil"/>
            </w:tcBorders>
            <w:shd w:val="clear" w:color="000000" w:fill="FFFFFF"/>
            <w:noWrap/>
            <w:vAlign w:val="center"/>
            <w:hideMark/>
          </w:tcPr>
          <w:p w14:paraId="620D2504"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329" w:type="pct"/>
            <w:tcBorders>
              <w:top w:val="nil"/>
              <w:left w:val="nil"/>
              <w:bottom w:val="single" w:sz="4" w:space="0" w:color="auto"/>
              <w:right w:val="nil"/>
            </w:tcBorders>
            <w:shd w:val="clear" w:color="000000" w:fill="FFFFFF"/>
            <w:noWrap/>
            <w:vAlign w:val="center"/>
            <w:hideMark/>
          </w:tcPr>
          <w:p w14:paraId="2D520350"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7.267.335</w:t>
            </w:r>
          </w:p>
        </w:tc>
        <w:tc>
          <w:tcPr>
            <w:tcW w:w="50" w:type="pct"/>
            <w:tcBorders>
              <w:top w:val="nil"/>
              <w:left w:val="nil"/>
              <w:bottom w:val="nil"/>
              <w:right w:val="nil"/>
            </w:tcBorders>
            <w:shd w:val="clear" w:color="000000" w:fill="FFFFFF"/>
            <w:noWrap/>
            <w:vAlign w:val="center"/>
            <w:hideMark/>
          </w:tcPr>
          <w:p w14:paraId="3E55ED61"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50" w:type="pct"/>
            <w:tcBorders>
              <w:top w:val="nil"/>
              <w:left w:val="nil"/>
              <w:bottom w:val="nil"/>
              <w:right w:val="nil"/>
            </w:tcBorders>
            <w:shd w:val="clear" w:color="000000" w:fill="FFFFFF"/>
            <w:noWrap/>
            <w:vAlign w:val="center"/>
            <w:hideMark/>
          </w:tcPr>
          <w:p w14:paraId="0180698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365BFD0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20627B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412DA12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0E8CCFB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4B0A12F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C87A73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38E20136" w14:textId="77777777" w:rsidTr="00AA502F">
        <w:trPr>
          <w:trHeight w:val="315"/>
        </w:trPr>
        <w:tc>
          <w:tcPr>
            <w:tcW w:w="1073" w:type="pct"/>
            <w:tcBorders>
              <w:top w:val="nil"/>
              <w:left w:val="nil"/>
              <w:bottom w:val="nil"/>
              <w:right w:val="nil"/>
            </w:tcBorders>
            <w:shd w:val="clear" w:color="000000" w:fill="FFFFFF"/>
            <w:noWrap/>
            <w:vAlign w:val="center"/>
            <w:hideMark/>
          </w:tcPr>
          <w:p w14:paraId="77213A1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Créditos a receber</w:t>
            </w:r>
          </w:p>
        </w:tc>
        <w:tc>
          <w:tcPr>
            <w:tcW w:w="50" w:type="pct"/>
            <w:tcBorders>
              <w:top w:val="nil"/>
              <w:left w:val="nil"/>
              <w:bottom w:val="nil"/>
              <w:right w:val="nil"/>
            </w:tcBorders>
            <w:shd w:val="clear" w:color="000000" w:fill="FFFFFF"/>
            <w:noWrap/>
            <w:vAlign w:val="center"/>
            <w:hideMark/>
          </w:tcPr>
          <w:p w14:paraId="50BDD27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1D3F872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6</w:t>
            </w:r>
          </w:p>
        </w:tc>
        <w:tc>
          <w:tcPr>
            <w:tcW w:w="417" w:type="pct"/>
            <w:tcBorders>
              <w:top w:val="nil"/>
              <w:left w:val="nil"/>
              <w:bottom w:val="nil"/>
              <w:right w:val="nil"/>
            </w:tcBorders>
            <w:shd w:val="clear" w:color="000000" w:fill="FFFFFF"/>
            <w:noWrap/>
            <w:vAlign w:val="center"/>
            <w:hideMark/>
          </w:tcPr>
          <w:p w14:paraId="2931BDCA" w14:textId="2C073FFA"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6.587.030 </w:t>
            </w:r>
          </w:p>
        </w:tc>
        <w:tc>
          <w:tcPr>
            <w:tcW w:w="50" w:type="pct"/>
            <w:tcBorders>
              <w:top w:val="nil"/>
              <w:left w:val="nil"/>
              <w:bottom w:val="nil"/>
              <w:right w:val="nil"/>
            </w:tcBorders>
            <w:shd w:val="clear" w:color="000000" w:fill="FFFFFF"/>
            <w:noWrap/>
            <w:vAlign w:val="center"/>
            <w:hideMark/>
          </w:tcPr>
          <w:p w14:paraId="744AAC3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6FBCF4BF" w14:textId="77777777" w:rsidR="00D40091" w:rsidRPr="00D40091" w:rsidRDefault="00D40091" w:rsidP="00AA502F">
            <w:pPr>
              <w:spacing w:line="240" w:lineRule="auto"/>
              <w:jc w:val="right"/>
              <w:rPr>
                <w:rFonts w:ascii="Arial" w:hAnsi="Arial" w:cs="Arial"/>
                <w:sz w:val="18"/>
                <w:szCs w:val="18"/>
              </w:rPr>
            </w:pPr>
            <w:r w:rsidRPr="00D40091">
              <w:rPr>
                <w:rFonts w:ascii="Arial" w:hAnsi="Arial" w:cs="Arial"/>
                <w:sz w:val="18"/>
                <w:szCs w:val="18"/>
              </w:rPr>
              <w:t>6.265.835</w:t>
            </w:r>
          </w:p>
        </w:tc>
        <w:tc>
          <w:tcPr>
            <w:tcW w:w="50" w:type="pct"/>
            <w:tcBorders>
              <w:top w:val="nil"/>
              <w:left w:val="nil"/>
              <w:bottom w:val="nil"/>
              <w:right w:val="nil"/>
            </w:tcBorders>
            <w:shd w:val="clear" w:color="000000" w:fill="FFFFFF"/>
            <w:noWrap/>
            <w:vAlign w:val="center"/>
            <w:hideMark/>
          </w:tcPr>
          <w:p w14:paraId="3F06238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98D80F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498F019"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NÃO CIRCULANTE</w:t>
            </w:r>
          </w:p>
        </w:tc>
        <w:tc>
          <w:tcPr>
            <w:tcW w:w="50" w:type="pct"/>
            <w:tcBorders>
              <w:top w:val="nil"/>
              <w:left w:val="nil"/>
              <w:bottom w:val="nil"/>
              <w:right w:val="nil"/>
            </w:tcBorders>
            <w:shd w:val="clear" w:color="000000" w:fill="FFFFFF"/>
            <w:noWrap/>
            <w:vAlign w:val="center"/>
            <w:hideMark/>
          </w:tcPr>
          <w:p w14:paraId="2A3FD8A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375" w:type="pct"/>
            <w:tcBorders>
              <w:top w:val="nil"/>
              <w:left w:val="nil"/>
              <w:bottom w:val="nil"/>
              <w:right w:val="nil"/>
            </w:tcBorders>
            <w:shd w:val="clear" w:color="000000" w:fill="FFFFFF"/>
            <w:noWrap/>
            <w:vAlign w:val="center"/>
            <w:hideMark/>
          </w:tcPr>
          <w:p w14:paraId="6E677C52"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417" w:type="pct"/>
            <w:tcBorders>
              <w:top w:val="nil"/>
              <w:left w:val="nil"/>
              <w:bottom w:val="single" w:sz="4" w:space="0" w:color="auto"/>
              <w:right w:val="nil"/>
            </w:tcBorders>
            <w:shd w:val="clear" w:color="000000" w:fill="FFFFFF"/>
            <w:noWrap/>
            <w:vAlign w:val="center"/>
            <w:hideMark/>
          </w:tcPr>
          <w:p w14:paraId="13194715" w14:textId="1FEDD7B6" w:rsidR="00D40091" w:rsidRPr="00D40091" w:rsidRDefault="00D40091" w:rsidP="00A31378">
            <w:pPr>
              <w:spacing w:line="240" w:lineRule="auto"/>
              <w:jc w:val="right"/>
              <w:rPr>
                <w:rFonts w:ascii="Arial" w:hAnsi="Arial" w:cs="Arial"/>
                <w:b/>
                <w:bCs/>
                <w:color w:val="000000"/>
                <w:sz w:val="18"/>
                <w:szCs w:val="18"/>
              </w:rPr>
            </w:pPr>
            <w:r w:rsidRPr="00D40091">
              <w:rPr>
                <w:rFonts w:ascii="Arial" w:hAnsi="Arial" w:cs="Arial"/>
                <w:b/>
                <w:bCs/>
                <w:color w:val="000000"/>
                <w:sz w:val="18"/>
                <w:szCs w:val="18"/>
              </w:rPr>
              <w:t xml:space="preserve">        73.263.670</w:t>
            </w:r>
          </w:p>
        </w:tc>
        <w:tc>
          <w:tcPr>
            <w:tcW w:w="50" w:type="pct"/>
            <w:tcBorders>
              <w:top w:val="nil"/>
              <w:left w:val="nil"/>
              <w:bottom w:val="nil"/>
              <w:right w:val="nil"/>
            </w:tcBorders>
            <w:shd w:val="clear" w:color="000000" w:fill="FFFFFF"/>
            <w:noWrap/>
            <w:vAlign w:val="center"/>
            <w:hideMark/>
          </w:tcPr>
          <w:p w14:paraId="4BC8BCAE"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375" w:type="pct"/>
            <w:tcBorders>
              <w:top w:val="nil"/>
              <w:left w:val="nil"/>
              <w:bottom w:val="single" w:sz="4" w:space="0" w:color="auto"/>
              <w:right w:val="nil"/>
            </w:tcBorders>
            <w:shd w:val="clear" w:color="000000" w:fill="FFFFFF"/>
            <w:noWrap/>
            <w:vAlign w:val="center"/>
            <w:hideMark/>
          </w:tcPr>
          <w:p w14:paraId="6EFB470F" w14:textId="027917E5"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     63.788.259</w:t>
            </w:r>
          </w:p>
        </w:tc>
      </w:tr>
      <w:tr w:rsidR="00A31378" w:rsidRPr="00D40091" w14:paraId="1B940B57" w14:textId="77777777" w:rsidTr="00AA502F">
        <w:trPr>
          <w:trHeight w:val="315"/>
        </w:trPr>
        <w:tc>
          <w:tcPr>
            <w:tcW w:w="1073" w:type="pct"/>
            <w:tcBorders>
              <w:top w:val="nil"/>
              <w:left w:val="nil"/>
              <w:bottom w:val="nil"/>
              <w:right w:val="nil"/>
            </w:tcBorders>
            <w:shd w:val="clear" w:color="000000" w:fill="FFFFFF"/>
            <w:noWrap/>
            <w:vAlign w:val="center"/>
            <w:hideMark/>
          </w:tcPr>
          <w:p w14:paraId="51554AB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Outros Créditos</w:t>
            </w:r>
          </w:p>
        </w:tc>
        <w:tc>
          <w:tcPr>
            <w:tcW w:w="50" w:type="pct"/>
            <w:tcBorders>
              <w:top w:val="nil"/>
              <w:left w:val="nil"/>
              <w:bottom w:val="nil"/>
              <w:right w:val="nil"/>
            </w:tcBorders>
            <w:shd w:val="clear" w:color="000000" w:fill="FFFFFF"/>
            <w:noWrap/>
            <w:vAlign w:val="center"/>
            <w:hideMark/>
          </w:tcPr>
          <w:p w14:paraId="501FF6A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7545D93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xml:space="preserve"> </w:t>
            </w:r>
          </w:p>
        </w:tc>
        <w:tc>
          <w:tcPr>
            <w:tcW w:w="417" w:type="pct"/>
            <w:tcBorders>
              <w:top w:val="nil"/>
              <w:left w:val="nil"/>
              <w:bottom w:val="nil"/>
              <w:right w:val="nil"/>
            </w:tcBorders>
            <w:shd w:val="clear" w:color="000000" w:fill="FFFFFF"/>
            <w:noWrap/>
            <w:vAlign w:val="center"/>
            <w:hideMark/>
          </w:tcPr>
          <w:p w14:paraId="13AA81C0" w14:textId="77777777"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6.892 </w:t>
            </w:r>
          </w:p>
        </w:tc>
        <w:tc>
          <w:tcPr>
            <w:tcW w:w="50" w:type="pct"/>
            <w:tcBorders>
              <w:top w:val="nil"/>
              <w:left w:val="nil"/>
              <w:bottom w:val="nil"/>
              <w:right w:val="nil"/>
            </w:tcBorders>
            <w:shd w:val="clear" w:color="000000" w:fill="FFFFFF"/>
            <w:noWrap/>
            <w:vAlign w:val="center"/>
            <w:hideMark/>
          </w:tcPr>
          <w:p w14:paraId="0F405EE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38631BE" w14:textId="77777777" w:rsidR="00D40091" w:rsidRPr="00D40091" w:rsidRDefault="00D40091" w:rsidP="00AA502F">
            <w:pPr>
              <w:spacing w:line="240" w:lineRule="auto"/>
              <w:jc w:val="right"/>
              <w:rPr>
                <w:rFonts w:ascii="Arial" w:hAnsi="Arial" w:cs="Arial"/>
                <w:sz w:val="18"/>
                <w:szCs w:val="18"/>
              </w:rPr>
            </w:pPr>
            <w:r w:rsidRPr="00D40091">
              <w:rPr>
                <w:rFonts w:ascii="Arial" w:hAnsi="Arial" w:cs="Arial"/>
                <w:sz w:val="18"/>
                <w:szCs w:val="18"/>
              </w:rPr>
              <w:t xml:space="preserve">                   -   </w:t>
            </w:r>
          </w:p>
        </w:tc>
        <w:tc>
          <w:tcPr>
            <w:tcW w:w="50" w:type="pct"/>
            <w:tcBorders>
              <w:top w:val="nil"/>
              <w:left w:val="nil"/>
              <w:bottom w:val="nil"/>
              <w:right w:val="nil"/>
            </w:tcBorders>
            <w:shd w:val="clear" w:color="000000" w:fill="FFFFFF"/>
            <w:noWrap/>
            <w:vAlign w:val="center"/>
            <w:hideMark/>
          </w:tcPr>
          <w:p w14:paraId="3E2F0DB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E2E924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4BADA0D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F00B1D8" w14:textId="77777777" w:rsidR="00D40091" w:rsidRPr="00D40091" w:rsidRDefault="00D40091" w:rsidP="00AA502F">
            <w:pPr>
              <w:spacing w:line="240" w:lineRule="auto"/>
              <w:rPr>
                <w:rFonts w:ascii="Arial" w:hAnsi="Arial" w:cs="Arial"/>
                <w:b/>
                <w:bCs/>
                <w:color w:val="FF0000"/>
                <w:sz w:val="18"/>
                <w:szCs w:val="18"/>
              </w:rPr>
            </w:pPr>
            <w:r w:rsidRPr="00D40091">
              <w:rPr>
                <w:rFonts w:ascii="Arial" w:hAnsi="Arial" w:cs="Arial"/>
                <w:b/>
                <w:bCs/>
                <w:color w:val="FF0000"/>
                <w:sz w:val="18"/>
                <w:szCs w:val="18"/>
              </w:rPr>
              <w:t> </w:t>
            </w:r>
          </w:p>
        </w:tc>
        <w:tc>
          <w:tcPr>
            <w:tcW w:w="375" w:type="pct"/>
            <w:tcBorders>
              <w:top w:val="nil"/>
              <w:left w:val="nil"/>
              <w:bottom w:val="nil"/>
              <w:right w:val="nil"/>
            </w:tcBorders>
            <w:shd w:val="clear" w:color="000000" w:fill="FFFFFF"/>
            <w:noWrap/>
            <w:vAlign w:val="center"/>
            <w:hideMark/>
          </w:tcPr>
          <w:p w14:paraId="38B3A5D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5EED813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58840F7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D51862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439061B7" w14:textId="77777777" w:rsidTr="00AA502F">
        <w:trPr>
          <w:trHeight w:val="315"/>
        </w:trPr>
        <w:tc>
          <w:tcPr>
            <w:tcW w:w="1073" w:type="pct"/>
            <w:tcBorders>
              <w:top w:val="nil"/>
              <w:left w:val="nil"/>
              <w:bottom w:val="nil"/>
              <w:right w:val="nil"/>
            </w:tcBorders>
            <w:shd w:val="clear" w:color="000000" w:fill="FFFFFF"/>
            <w:noWrap/>
            <w:vAlign w:val="center"/>
            <w:hideMark/>
          </w:tcPr>
          <w:p w14:paraId="1983D08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Impostos e Contribuições a recuperar</w:t>
            </w:r>
          </w:p>
        </w:tc>
        <w:tc>
          <w:tcPr>
            <w:tcW w:w="50" w:type="pct"/>
            <w:tcBorders>
              <w:top w:val="nil"/>
              <w:left w:val="nil"/>
              <w:bottom w:val="nil"/>
              <w:right w:val="nil"/>
            </w:tcBorders>
            <w:shd w:val="clear" w:color="000000" w:fill="FFFFFF"/>
            <w:noWrap/>
            <w:vAlign w:val="center"/>
            <w:hideMark/>
          </w:tcPr>
          <w:p w14:paraId="70E3FFF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75E0A68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7</w:t>
            </w:r>
          </w:p>
        </w:tc>
        <w:tc>
          <w:tcPr>
            <w:tcW w:w="417" w:type="pct"/>
            <w:tcBorders>
              <w:top w:val="nil"/>
              <w:left w:val="nil"/>
              <w:bottom w:val="nil"/>
              <w:right w:val="nil"/>
            </w:tcBorders>
            <w:shd w:val="clear" w:color="000000" w:fill="FFFFFF"/>
            <w:noWrap/>
            <w:vAlign w:val="center"/>
            <w:hideMark/>
          </w:tcPr>
          <w:p w14:paraId="4660D784" w14:textId="77777777" w:rsidR="00D40091" w:rsidRPr="00D40091" w:rsidRDefault="00D40091" w:rsidP="00AA502F">
            <w:pPr>
              <w:spacing w:line="240" w:lineRule="auto"/>
              <w:jc w:val="right"/>
              <w:rPr>
                <w:rFonts w:ascii="Arial" w:hAnsi="Arial" w:cs="Arial"/>
                <w:sz w:val="18"/>
                <w:szCs w:val="18"/>
              </w:rPr>
            </w:pPr>
            <w:r w:rsidRPr="00D40091">
              <w:rPr>
                <w:rFonts w:ascii="Arial" w:hAnsi="Arial" w:cs="Arial"/>
                <w:sz w:val="18"/>
                <w:szCs w:val="18"/>
              </w:rPr>
              <w:t>1.060.166</w:t>
            </w:r>
          </w:p>
        </w:tc>
        <w:tc>
          <w:tcPr>
            <w:tcW w:w="50" w:type="pct"/>
            <w:tcBorders>
              <w:top w:val="nil"/>
              <w:left w:val="nil"/>
              <w:bottom w:val="nil"/>
              <w:right w:val="nil"/>
            </w:tcBorders>
            <w:shd w:val="clear" w:color="000000" w:fill="FFFFFF"/>
            <w:noWrap/>
            <w:vAlign w:val="center"/>
            <w:hideMark/>
          </w:tcPr>
          <w:p w14:paraId="0C38BA6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77538D8E" w14:textId="77777777" w:rsidR="00D40091" w:rsidRPr="00D40091" w:rsidRDefault="00D40091" w:rsidP="00AA502F">
            <w:pPr>
              <w:spacing w:line="240" w:lineRule="auto"/>
              <w:jc w:val="right"/>
              <w:rPr>
                <w:rFonts w:ascii="Arial" w:hAnsi="Arial" w:cs="Arial"/>
                <w:sz w:val="18"/>
                <w:szCs w:val="18"/>
              </w:rPr>
            </w:pPr>
            <w:r w:rsidRPr="00D40091">
              <w:rPr>
                <w:rFonts w:ascii="Arial" w:hAnsi="Arial" w:cs="Arial"/>
                <w:sz w:val="18"/>
                <w:szCs w:val="18"/>
              </w:rPr>
              <w:t>880.225</w:t>
            </w:r>
          </w:p>
        </w:tc>
        <w:tc>
          <w:tcPr>
            <w:tcW w:w="50" w:type="pct"/>
            <w:tcBorders>
              <w:top w:val="nil"/>
              <w:left w:val="nil"/>
              <w:bottom w:val="nil"/>
              <w:right w:val="nil"/>
            </w:tcBorders>
            <w:shd w:val="clear" w:color="000000" w:fill="FFFFFF"/>
            <w:noWrap/>
            <w:vAlign w:val="center"/>
            <w:hideMark/>
          </w:tcPr>
          <w:p w14:paraId="5B6A6AC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C8E7D2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2164117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AFAC Adiantamento para Futuro Aumento de Capital </w:t>
            </w:r>
          </w:p>
        </w:tc>
        <w:tc>
          <w:tcPr>
            <w:tcW w:w="50" w:type="pct"/>
            <w:tcBorders>
              <w:top w:val="nil"/>
              <w:left w:val="nil"/>
              <w:bottom w:val="nil"/>
              <w:right w:val="nil"/>
            </w:tcBorders>
            <w:shd w:val="clear" w:color="000000" w:fill="FFFFFF"/>
            <w:noWrap/>
            <w:vAlign w:val="center"/>
            <w:hideMark/>
          </w:tcPr>
          <w:p w14:paraId="16FFDDD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70EDB35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16</w:t>
            </w:r>
          </w:p>
        </w:tc>
        <w:tc>
          <w:tcPr>
            <w:tcW w:w="417" w:type="pct"/>
            <w:tcBorders>
              <w:top w:val="nil"/>
              <w:left w:val="nil"/>
              <w:bottom w:val="nil"/>
              <w:right w:val="nil"/>
            </w:tcBorders>
            <w:shd w:val="clear" w:color="000000" w:fill="FFFFFF"/>
            <w:noWrap/>
            <w:vAlign w:val="center"/>
            <w:hideMark/>
          </w:tcPr>
          <w:p w14:paraId="6A0588E3"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22.824.520 </w:t>
            </w:r>
          </w:p>
        </w:tc>
        <w:tc>
          <w:tcPr>
            <w:tcW w:w="50" w:type="pct"/>
            <w:tcBorders>
              <w:top w:val="nil"/>
              <w:left w:val="nil"/>
              <w:bottom w:val="nil"/>
              <w:right w:val="nil"/>
            </w:tcBorders>
            <w:shd w:val="clear" w:color="000000" w:fill="FFFFFF"/>
            <w:noWrap/>
            <w:vAlign w:val="center"/>
            <w:hideMark/>
          </w:tcPr>
          <w:p w14:paraId="7161518A"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auto" w:fill="auto"/>
            <w:noWrap/>
            <w:vAlign w:val="center"/>
            <w:hideMark/>
          </w:tcPr>
          <w:p w14:paraId="3D821C9C"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22.824.520 </w:t>
            </w:r>
          </w:p>
        </w:tc>
      </w:tr>
      <w:tr w:rsidR="00A31378" w:rsidRPr="00D40091" w14:paraId="68BAF25F" w14:textId="77777777" w:rsidTr="00AA502F">
        <w:trPr>
          <w:trHeight w:val="315"/>
        </w:trPr>
        <w:tc>
          <w:tcPr>
            <w:tcW w:w="1073" w:type="pct"/>
            <w:tcBorders>
              <w:top w:val="nil"/>
              <w:left w:val="nil"/>
              <w:bottom w:val="nil"/>
              <w:right w:val="nil"/>
            </w:tcBorders>
            <w:shd w:val="clear" w:color="000000" w:fill="FFFFFF"/>
            <w:noWrap/>
            <w:vAlign w:val="center"/>
            <w:hideMark/>
          </w:tcPr>
          <w:p w14:paraId="1501898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Despesas do </w:t>
            </w:r>
            <w:proofErr w:type="spellStart"/>
            <w:r w:rsidRPr="00D40091">
              <w:rPr>
                <w:rFonts w:ascii="Arial" w:hAnsi="Arial" w:cs="Arial"/>
                <w:color w:val="000000"/>
                <w:sz w:val="18"/>
                <w:szCs w:val="18"/>
              </w:rPr>
              <w:t>Exercicio</w:t>
            </w:r>
            <w:proofErr w:type="spellEnd"/>
            <w:r w:rsidRPr="00D40091">
              <w:rPr>
                <w:rFonts w:ascii="Arial" w:hAnsi="Arial" w:cs="Arial"/>
                <w:color w:val="000000"/>
                <w:sz w:val="18"/>
                <w:szCs w:val="18"/>
              </w:rPr>
              <w:t xml:space="preserve"> Seguinte</w:t>
            </w:r>
          </w:p>
        </w:tc>
        <w:tc>
          <w:tcPr>
            <w:tcW w:w="50" w:type="pct"/>
            <w:tcBorders>
              <w:top w:val="nil"/>
              <w:left w:val="nil"/>
              <w:bottom w:val="nil"/>
              <w:right w:val="nil"/>
            </w:tcBorders>
            <w:shd w:val="clear" w:color="000000" w:fill="FFFFFF"/>
            <w:noWrap/>
            <w:vAlign w:val="center"/>
            <w:hideMark/>
          </w:tcPr>
          <w:p w14:paraId="770647B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46FA872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1420DD09" w14:textId="2A36DCE1"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131.000 </w:t>
            </w:r>
          </w:p>
        </w:tc>
        <w:tc>
          <w:tcPr>
            <w:tcW w:w="50" w:type="pct"/>
            <w:tcBorders>
              <w:top w:val="nil"/>
              <w:left w:val="nil"/>
              <w:bottom w:val="nil"/>
              <w:right w:val="nil"/>
            </w:tcBorders>
            <w:shd w:val="clear" w:color="000000" w:fill="FFFFFF"/>
            <w:noWrap/>
            <w:vAlign w:val="center"/>
            <w:hideMark/>
          </w:tcPr>
          <w:p w14:paraId="4BCC564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79167126" w14:textId="77777777" w:rsidR="00D40091" w:rsidRPr="00D40091" w:rsidRDefault="00D40091" w:rsidP="00AA502F">
            <w:pPr>
              <w:spacing w:line="240" w:lineRule="auto"/>
              <w:jc w:val="right"/>
              <w:rPr>
                <w:rFonts w:ascii="Arial" w:hAnsi="Arial" w:cs="Arial"/>
                <w:sz w:val="18"/>
                <w:szCs w:val="18"/>
              </w:rPr>
            </w:pPr>
            <w:r w:rsidRPr="00D40091">
              <w:rPr>
                <w:rFonts w:ascii="Arial" w:hAnsi="Arial" w:cs="Arial"/>
                <w:sz w:val="18"/>
                <w:szCs w:val="18"/>
              </w:rPr>
              <w:t>121.275</w:t>
            </w:r>
          </w:p>
        </w:tc>
        <w:tc>
          <w:tcPr>
            <w:tcW w:w="50" w:type="pct"/>
            <w:tcBorders>
              <w:top w:val="nil"/>
              <w:left w:val="nil"/>
              <w:bottom w:val="nil"/>
              <w:right w:val="nil"/>
            </w:tcBorders>
            <w:shd w:val="clear" w:color="000000" w:fill="FFFFFF"/>
            <w:noWrap/>
            <w:vAlign w:val="center"/>
            <w:hideMark/>
          </w:tcPr>
          <w:p w14:paraId="6CFFC81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BAB51C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666C0C4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A204F0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248542D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276331B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2377F98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4CAB752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2DB62971" w14:textId="77777777" w:rsidTr="00AA502F">
        <w:trPr>
          <w:trHeight w:val="315"/>
        </w:trPr>
        <w:tc>
          <w:tcPr>
            <w:tcW w:w="1073" w:type="pct"/>
            <w:tcBorders>
              <w:top w:val="nil"/>
              <w:left w:val="nil"/>
              <w:bottom w:val="nil"/>
              <w:right w:val="nil"/>
            </w:tcBorders>
            <w:shd w:val="clear" w:color="000000" w:fill="FFFFFF"/>
            <w:noWrap/>
            <w:vAlign w:val="center"/>
            <w:hideMark/>
          </w:tcPr>
          <w:p w14:paraId="66F11B1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AA9803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63A7F08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3CC265B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8C624E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482ADE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457282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EAD205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02BE62D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5CE3165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0EDCFCF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4EE0ABA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C24FF8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26CA9A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A31378" w:rsidRPr="00D40091" w14:paraId="7F7AF576" w14:textId="77777777" w:rsidTr="00AA502F">
        <w:trPr>
          <w:trHeight w:val="315"/>
        </w:trPr>
        <w:tc>
          <w:tcPr>
            <w:tcW w:w="1073" w:type="pct"/>
            <w:tcBorders>
              <w:top w:val="nil"/>
              <w:left w:val="nil"/>
              <w:bottom w:val="nil"/>
              <w:right w:val="nil"/>
            </w:tcBorders>
            <w:shd w:val="clear" w:color="000000" w:fill="FFFFFF"/>
            <w:noWrap/>
            <w:vAlign w:val="center"/>
            <w:hideMark/>
          </w:tcPr>
          <w:p w14:paraId="4060947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42D615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6BFC2FF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44C88C5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CBBCFD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2C20A7A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BCD390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B12206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51710ADE"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Passivo Fiscal Diferido</w:t>
            </w:r>
          </w:p>
        </w:tc>
        <w:tc>
          <w:tcPr>
            <w:tcW w:w="50" w:type="pct"/>
            <w:tcBorders>
              <w:top w:val="nil"/>
              <w:left w:val="nil"/>
              <w:bottom w:val="nil"/>
              <w:right w:val="nil"/>
            </w:tcBorders>
            <w:shd w:val="clear" w:color="000000" w:fill="FFFFFF"/>
            <w:noWrap/>
            <w:vAlign w:val="center"/>
            <w:hideMark/>
          </w:tcPr>
          <w:p w14:paraId="78BADA7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335CC03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single" w:sz="4" w:space="0" w:color="auto"/>
              <w:right w:val="nil"/>
            </w:tcBorders>
            <w:shd w:val="clear" w:color="000000" w:fill="FFFFFF"/>
            <w:noWrap/>
            <w:vAlign w:val="center"/>
            <w:hideMark/>
          </w:tcPr>
          <w:p w14:paraId="08468028"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50.439.150 </w:t>
            </w:r>
          </w:p>
        </w:tc>
        <w:tc>
          <w:tcPr>
            <w:tcW w:w="50" w:type="pct"/>
            <w:tcBorders>
              <w:top w:val="nil"/>
              <w:left w:val="nil"/>
              <w:bottom w:val="nil"/>
              <w:right w:val="nil"/>
            </w:tcBorders>
            <w:shd w:val="clear" w:color="000000" w:fill="FFFFFF"/>
            <w:noWrap/>
            <w:vAlign w:val="center"/>
            <w:hideMark/>
          </w:tcPr>
          <w:p w14:paraId="13AF3C46"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single" w:sz="4" w:space="0" w:color="auto"/>
              <w:right w:val="nil"/>
            </w:tcBorders>
            <w:shd w:val="clear" w:color="000000" w:fill="FFFFFF"/>
            <w:noWrap/>
            <w:vAlign w:val="center"/>
            <w:hideMark/>
          </w:tcPr>
          <w:p w14:paraId="44A816AE"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40.963.739 </w:t>
            </w:r>
          </w:p>
        </w:tc>
      </w:tr>
      <w:tr w:rsidR="00A31378" w:rsidRPr="00D40091" w14:paraId="71289CF1" w14:textId="77777777" w:rsidTr="00AA502F">
        <w:trPr>
          <w:trHeight w:val="315"/>
        </w:trPr>
        <w:tc>
          <w:tcPr>
            <w:tcW w:w="1073" w:type="pct"/>
            <w:tcBorders>
              <w:top w:val="nil"/>
              <w:left w:val="nil"/>
              <w:bottom w:val="nil"/>
              <w:right w:val="nil"/>
            </w:tcBorders>
            <w:shd w:val="clear" w:color="000000" w:fill="FFFFFF"/>
            <w:noWrap/>
            <w:vAlign w:val="center"/>
            <w:hideMark/>
          </w:tcPr>
          <w:p w14:paraId="2B27B16B"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NÃO CIRCULANTE</w:t>
            </w:r>
          </w:p>
        </w:tc>
        <w:tc>
          <w:tcPr>
            <w:tcW w:w="50" w:type="pct"/>
            <w:tcBorders>
              <w:top w:val="nil"/>
              <w:left w:val="nil"/>
              <w:bottom w:val="nil"/>
              <w:right w:val="nil"/>
            </w:tcBorders>
            <w:shd w:val="clear" w:color="000000" w:fill="FFFFFF"/>
            <w:noWrap/>
            <w:vAlign w:val="center"/>
            <w:hideMark/>
          </w:tcPr>
          <w:p w14:paraId="2CCE31F6"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355" w:type="pct"/>
            <w:tcBorders>
              <w:top w:val="nil"/>
              <w:left w:val="nil"/>
              <w:bottom w:val="nil"/>
              <w:right w:val="nil"/>
            </w:tcBorders>
            <w:shd w:val="clear" w:color="000000" w:fill="FFFFFF"/>
            <w:noWrap/>
            <w:vAlign w:val="center"/>
            <w:hideMark/>
          </w:tcPr>
          <w:p w14:paraId="7D5F66E8"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4FFBC97E" w14:textId="77777777" w:rsidR="00D40091" w:rsidRPr="006C3EDF" w:rsidRDefault="00D40091" w:rsidP="00AA502F">
            <w:pPr>
              <w:spacing w:line="240" w:lineRule="auto"/>
              <w:jc w:val="right"/>
              <w:rPr>
                <w:rFonts w:ascii="Arial" w:hAnsi="Arial" w:cs="Arial"/>
                <w:b/>
                <w:bCs/>
                <w:color w:val="000000"/>
                <w:sz w:val="16"/>
                <w:szCs w:val="16"/>
              </w:rPr>
            </w:pPr>
            <w:r w:rsidRPr="006C3EDF">
              <w:rPr>
                <w:rFonts w:ascii="Arial" w:hAnsi="Arial" w:cs="Arial"/>
                <w:b/>
                <w:bCs/>
                <w:color w:val="000000"/>
                <w:sz w:val="16"/>
                <w:szCs w:val="16"/>
              </w:rPr>
              <w:t>348.567.194</w:t>
            </w:r>
          </w:p>
        </w:tc>
        <w:tc>
          <w:tcPr>
            <w:tcW w:w="50" w:type="pct"/>
            <w:tcBorders>
              <w:top w:val="nil"/>
              <w:left w:val="nil"/>
              <w:bottom w:val="nil"/>
              <w:right w:val="nil"/>
            </w:tcBorders>
            <w:shd w:val="clear" w:color="000000" w:fill="FFFFFF"/>
            <w:noWrap/>
            <w:vAlign w:val="center"/>
            <w:hideMark/>
          </w:tcPr>
          <w:p w14:paraId="096DC051" w14:textId="77777777" w:rsidR="00D40091" w:rsidRPr="006C3EDF" w:rsidRDefault="00D40091" w:rsidP="00AA502F">
            <w:pPr>
              <w:spacing w:line="240" w:lineRule="auto"/>
              <w:jc w:val="center"/>
              <w:rPr>
                <w:rFonts w:ascii="Arial" w:hAnsi="Arial" w:cs="Arial"/>
                <w:b/>
                <w:bCs/>
                <w:color w:val="000000"/>
                <w:sz w:val="16"/>
                <w:szCs w:val="16"/>
              </w:rPr>
            </w:pPr>
            <w:r w:rsidRPr="006C3EDF">
              <w:rPr>
                <w:rFonts w:ascii="Arial" w:hAnsi="Arial" w:cs="Arial"/>
                <w:b/>
                <w:bCs/>
                <w:color w:val="000000"/>
                <w:sz w:val="16"/>
                <w:szCs w:val="16"/>
              </w:rPr>
              <w:t> </w:t>
            </w:r>
          </w:p>
        </w:tc>
        <w:tc>
          <w:tcPr>
            <w:tcW w:w="329" w:type="pct"/>
            <w:tcBorders>
              <w:top w:val="nil"/>
              <w:left w:val="nil"/>
              <w:bottom w:val="single" w:sz="4" w:space="0" w:color="auto"/>
              <w:right w:val="nil"/>
            </w:tcBorders>
            <w:shd w:val="clear" w:color="000000" w:fill="FFFFFF"/>
            <w:noWrap/>
            <w:vAlign w:val="center"/>
            <w:hideMark/>
          </w:tcPr>
          <w:p w14:paraId="52779939" w14:textId="77777777" w:rsidR="00D40091" w:rsidRPr="006C3EDF" w:rsidRDefault="00D40091" w:rsidP="00AA502F">
            <w:pPr>
              <w:spacing w:line="240" w:lineRule="auto"/>
              <w:jc w:val="right"/>
              <w:rPr>
                <w:rFonts w:ascii="Arial" w:hAnsi="Arial" w:cs="Arial"/>
                <w:b/>
                <w:bCs/>
                <w:color w:val="000000"/>
                <w:sz w:val="16"/>
                <w:szCs w:val="16"/>
              </w:rPr>
            </w:pPr>
            <w:r w:rsidRPr="006C3EDF">
              <w:rPr>
                <w:rFonts w:ascii="Arial" w:hAnsi="Arial" w:cs="Arial"/>
                <w:b/>
                <w:bCs/>
                <w:color w:val="000000"/>
                <w:sz w:val="16"/>
                <w:szCs w:val="16"/>
              </w:rPr>
              <w:t>323.030.776</w:t>
            </w:r>
          </w:p>
        </w:tc>
        <w:tc>
          <w:tcPr>
            <w:tcW w:w="50" w:type="pct"/>
            <w:tcBorders>
              <w:top w:val="nil"/>
              <w:left w:val="nil"/>
              <w:bottom w:val="nil"/>
              <w:right w:val="nil"/>
            </w:tcBorders>
            <w:shd w:val="clear" w:color="000000" w:fill="FFFFFF"/>
            <w:noWrap/>
            <w:vAlign w:val="center"/>
            <w:hideMark/>
          </w:tcPr>
          <w:p w14:paraId="513E0994"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50" w:type="pct"/>
            <w:tcBorders>
              <w:top w:val="nil"/>
              <w:left w:val="nil"/>
              <w:bottom w:val="nil"/>
              <w:right w:val="nil"/>
            </w:tcBorders>
            <w:shd w:val="clear" w:color="000000" w:fill="FFFFFF"/>
            <w:noWrap/>
            <w:vAlign w:val="center"/>
            <w:hideMark/>
          </w:tcPr>
          <w:p w14:paraId="540265D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B0A5C6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Passivo Fiscal Diferido - IRPJ</w:t>
            </w:r>
          </w:p>
        </w:tc>
        <w:tc>
          <w:tcPr>
            <w:tcW w:w="50" w:type="pct"/>
            <w:tcBorders>
              <w:top w:val="nil"/>
              <w:left w:val="nil"/>
              <w:bottom w:val="nil"/>
              <w:right w:val="nil"/>
            </w:tcBorders>
            <w:shd w:val="clear" w:color="000000" w:fill="FFFFFF"/>
            <w:noWrap/>
            <w:vAlign w:val="center"/>
            <w:hideMark/>
          </w:tcPr>
          <w:p w14:paraId="578786B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0548671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17</w:t>
            </w:r>
          </w:p>
        </w:tc>
        <w:tc>
          <w:tcPr>
            <w:tcW w:w="417" w:type="pct"/>
            <w:tcBorders>
              <w:top w:val="nil"/>
              <w:left w:val="nil"/>
              <w:bottom w:val="nil"/>
              <w:right w:val="nil"/>
            </w:tcBorders>
            <w:shd w:val="clear" w:color="000000" w:fill="FFFFFF"/>
            <w:noWrap/>
            <w:vAlign w:val="center"/>
            <w:hideMark/>
          </w:tcPr>
          <w:p w14:paraId="45A87955"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37.052.669 </w:t>
            </w:r>
          </w:p>
        </w:tc>
        <w:tc>
          <w:tcPr>
            <w:tcW w:w="50" w:type="pct"/>
            <w:tcBorders>
              <w:top w:val="nil"/>
              <w:left w:val="nil"/>
              <w:bottom w:val="nil"/>
              <w:right w:val="nil"/>
            </w:tcBorders>
            <w:shd w:val="clear" w:color="000000" w:fill="FFFFFF"/>
            <w:noWrap/>
            <w:vAlign w:val="center"/>
            <w:hideMark/>
          </w:tcPr>
          <w:p w14:paraId="6B439BC0"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1BBB07D8"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30.120.396 </w:t>
            </w:r>
          </w:p>
        </w:tc>
      </w:tr>
      <w:tr w:rsidR="00A31378" w:rsidRPr="00D40091" w14:paraId="1D9D3657" w14:textId="77777777" w:rsidTr="00AA502F">
        <w:trPr>
          <w:trHeight w:val="315"/>
        </w:trPr>
        <w:tc>
          <w:tcPr>
            <w:tcW w:w="1073" w:type="pct"/>
            <w:tcBorders>
              <w:top w:val="nil"/>
              <w:left w:val="nil"/>
              <w:bottom w:val="nil"/>
              <w:right w:val="nil"/>
            </w:tcBorders>
            <w:shd w:val="clear" w:color="000000" w:fill="FFFFFF"/>
            <w:noWrap/>
            <w:vAlign w:val="center"/>
            <w:hideMark/>
          </w:tcPr>
          <w:p w14:paraId="3E19C19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D24710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7A111C1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7D6EA23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851594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03DA5E5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B622B3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02191C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12E1AE2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Passivo Fiscal Diferido - CSLL</w:t>
            </w:r>
          </w:p>
        </w:tc>
        <w:tc>
          <w:tcPr>
            <w:tcW w:w="50" w:type="pct"/>
            <w:tcBorders>
              <w:top w:val="nil"/>
              <w:left w:val="nil"/>
              <w:bottom w:val="nil"/>
              <w:right w:val="nil"/>
            </w:tcBorders>
            <w:shd w:val="clear" w:color="000000" w:fill="FFFFFF"/>
            <w:noWrap/>
            <w:vAlign w:val="center"/>
            <w:hideMark/>
          </w:tcPr>
          <w:p w14:paraId="76E2A62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700CB81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17</w:t>
            </w:r>
          </w:p>
        </w:tc>
        <w:tc>
          <w:tcPr>
            <w:tcW w:w="417" w:type="pct"/>
            <w:tcBorders>
              <w:top w:val="nil"/>
              <w:left w:val="nil"/>
              <w:bottom w:val="nil"/>
              <w:right w:val="nil"/>
            </w:tcBorders>
            <w:shd w:val="clear" w:color="000000" w:fill="FFFFFF"/>
            <w:noWrap/>
            <w:vAlign w:val="center"/>
            <w:hideMark/>
          </w:tcPr>
          <w:p w14:paraId="32FE9AA1"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13.386.481 </w:t>
            </w:r>
          </w:p>
        </w:tc>
        <w:tc>
          <w:tcPr>
            <w:tcW w:w="50" w:type="pct"/>
            <w:tcBorders>
              <w:top w:val="nil"/>
              <w:left w:val="nil"/>
              <w:bottom w:val="nil"/>
              <w:right w:val="nil"/>
            </w:tcBorders>
            <w:shd w:val="clear" w:color="000000" w:fill="FFFFFF"/>
            <w:noWrap/>
            <w:vAlign w:val="center"/>
            <w:hideMark/>
          </w:tcPr>
          <w:p w14:paraId="6C7ED15A"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83252BE"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10.843.343 </w:t>
            </w:r>
          </w:p>
        </w:tc>
      </w:tr>
      <w:tr w:rsidR="00A31378" w:rsidRPr="00D40091" w14:paraId="18E49F5E" w14:textId="77777777" w:rsidTr="00AA502F">
        <w:trPr>
          <w:trHeight w:val="255"/>
        </w:trPr>
        <w:tc>
          <w:tcPr>
            <w:tcW w:w="1073" w:type="pct"/>
            <w:tcBorders>
              <w:top w:val="nil"/>
              <w:left w:val="nil"/>
              <w:bottom w:val="nil"/>
              <w:right w:val="nil"/>
            </w:tcBorders>
            <w:shd w:val="clear" w:color="000000" w:fill="FFFFFF"/>
            <w:noWrap/>
            <w:vAlign w:val="center"/>
            <w:hideMark/>
          </w:tcPr>
          <w:p w14:paraId="333A6FFD"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Realizável a Longo Prazo</w:t>
            </w:r>
          </w:p>
        </w:tc>
        <w:tc>
          <w:tcPr>
            <w:tcW w:w="50" w:type="pct"/>
            <w:tcBorders>
              <w:top w:val="nil"/>
              <w:left w:val="nil"/>
              <w:bottom w:val="nil"/>
              <w:right w:val="nil"/>
            </w:tcBorders>
            <w:shd w:val="clear" w:color="000000" w:fill="FFFFFF"/>
            <w:noWrap/>
            <w:vAlign w:val="center"/>
            <w:hideMark/>
          </w:tcPr>
          <w:p w14:paraId="63E70238" w14:textId="77777777" w:rsidR="00D40091" w:rsidRPr="00D40091" w:rsidRDefault="00D40091" w:rsidP="00AA502F">
            <w:pPr>
              <w:spacing w:line="240" w:lineRule="auto"/>
              <w:rPr>
                <w:rFonts w:ascii="Arial" w:hAnsi="Arial" w:cs="Arial"/>
                <w:b/>
                <w:bCs/>
                <w:color w:val="FF0000"/>
                <w:sz w:val="18"/>
                <w:szCs w:val="18"/>
              </w:rPr>
            </w:pPr>
            <w:r w:rsidRPr="00D40091">
              <w:rPr>
                <w:rFonts w:ascii="Arial" w:hAnsi="Arial" w:cs="Arial"/>
                <w:b/>
                <w:bCs/>
                <w:color w:val="FF0000"/>
                <w:sz w:val="18"/>
                <w:szCs w:val="18"/>
              </w:rPr>
              <w:t> </w:t>
            </w:r>
          </w:p>
        </w:tc>
        <w:tc>
          <w:tcPr>
            <w:tcW w:w="355" w:type="pct"/>
            <w:tcBorders>
              <w:top w:val="nil"/>
              <w:left w:val="nil"/>
              <w:bottom w:val="nil"/>
              <w:right w:val="nil"/>
            </w:tcBorders>
            <w:shd w:val="clear" w:color="000000" w:fill="FFFFFF"/>
            <w:noWrap/>
            <w:vAlign w:val="center"/>
            <w:hideMark/>
          </w:tcPr>
          <w:p w14:paraId="304CF8DC"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13F3D396" w14:textId="77777777" w:rsidR="00D40091" w:rsidRPr="00A31378" w:rsidRDefault="00D40091" w:rsidP="00AA502F">
            <w:pPr>
              <w:spacing w:line="240" w:lineRule="auto"/>
              <w:jc w:val="right"/>
              <w:rPr>
                <w:rFonts w:ascii="Arial" w:hAnsi="Arial" w:cs="Arial"/>
                <w:color w:val="000000"/>
                <w:sz w:val="16"/>
                <w:szCs w:val="16"/>
              </w:rPr>
            </w:pPr>
            <w:r w:rsidRPr="00A31378">
              <w:rPr>
                <w:rFonts w:ascii="Arial" w:hAnsi="Arial" w:cs="Arial"/>
                <w:color w:val="000000"/>
                <w:sz w:val="16"/>
                <w:szCs w:val="16"/>
              </w:rPr>
              <w:t>348.519.105</w:t>
            </w:r>
          </w:p>
        </w:tc>
        <w:tc>
          <w:tcPr>
            <w:tcW w:w="50" w:type="pct"/>
            <w:tcBorders>
              <w:top w:val="nil"/>
              <w:left w:val="nil"/>
              <w:bottom w:val="nil"/>
              <w:right w:val="nil"/>
            </w:tcBorders>
            <w:shd w:val="clear" w:color="000000" w:fill="FFFFFF"/>
            <w:noWrap/>
            <w:vAlign w:val="center"/>
            <w:hideMark/>
          </w:tcPr>
          <w:p w14:paraId="0C08D5CC" w14:textId="77777777" w:rsidR="00D40091" w:rsidRPr="00A31378" w:rsidRDefault="00D40091" w:rsidP="00AA502F">
            <w:pPr>
              <w:spacing w:line="240" w:lineRule="auto"/>
              <w:jc w:val="center"/>
              <w:rPr>
                <w:rFonts w:ascii="Arial" w:hAnsi="Arial" w:cs="Arial"/>
                <w:b/>
                <w:bCs/>
                <w:color w:val="FF0000"/>
                <w:sz w:val="16"/>
                <w:szCs w:val="16"/>
              </w:rPr>
            </w:pPr>
            <w:r w:rsidRPr="00A31378">
              <w:rPr>
                <w:rFonts w:ascii="Arial" w:hAnsi="Arial" w:cs="Arial"/>
                <w:b/>
                <w:bCs/>
                <w:color w:val="FF0000"/>
                <w:sz w:val="16"/>
                <w:szCs w:val="16"/>
              </w:rPr>
              <w:t> </w:t>
            </w:r>
          </w:p>
        </w:tc>
        <w:tc>
          <w:tcPr>
            <w:tcW w:w="329" w:type="pct"/>
            <w:tcBorders>
              <w:top w:val="nil"/>
              <w:left w:val="nil"/>
              <w:bottom w:val="single" w:sz="4" w:space="0" w:color="auto"/>
              <w:right w:val="nil"/>
            </w:tcBorders>
            <w:shd w:val="clear" w:color="000000" w:fill="FFFFFF"/>
            <w:noWrap/>
            <w:vAlign w:val="center"/>
            <w:hideMark/>
          </w:tcPr>
          <w:p w14:paraId="49FE9E58" w14:textId="77777777" w:rsidR="00D40091" w:rsidRPr="00A31378" w:rsidRDefault="00D40091" w:rsidP="00AA502F">
            <w:pPr>
              <w:spacing w:line="240" w:lineRule="auto"/>
              <w:jc w:val="right"/>
              <w:rPr>
                <w:rFonts w:ascii="Arial" w:hAnsi="Arial" w:cs="Arial"/>
                <w:color w:val="000000"/>
                <w:sz w:val="16"/>
                <w:szCs w:val="16"/>
              </w:rPr>
            </w:pPr>
            <w:r w:rsidRPr="00A31378">
              <w:rPr>
                <w:rFonts w:ascii="Arial" w:hAnsi="Arial" w:cs="Arial"/>
                <w:color w:val="000000"/>
                <w:sz w:val="16"/>
                <w:szCs w:val="16"/>
              </w:rPr>
              <w:t>322.952.722</w:t>
            </w:r>
          </w:p>
        </w:tc>
        <w:tc>
          <w:tcPr>
            <w:tcW w:w="50" w:type="pct"/>
            <w:tcBorders>
              <w:top w:val="nil"/>
              <w:left w:val="nil"/>
              <w:bottom w:val="nil"/>
              <w:right w:val="nil"/>
            </w:tcBorders>
            <w:shd w:val="clear" w:color="000000" w:fill="FFFFFF"/>
            <w:noWrap/>
            <w:vAlign w:val="center"/>
            <w:hideMark/>
          </w:tcPr>
          <w:p w14:paraId="480D6864" w14:textId="77777777" w:rsidR="00D40091" w:rsidRPr="00D40091" w:rsidRDefault="00D40091" w:rsidP="00AA502F">
            <w:pPr>
              <w:spacing w:line="240" w:lineRule="auto"/>
              <w:jc w:val="center"/>
              <w:rPr>
                <w:rFonts w:ascii="Arial" w:hAnsi="Arial" w:cs="Arial"/>
                <w:b/>
                <w:bCs/>
                <w:color w:val="FF0000"/>
                <w:sz w:val="18"/>
                <w:szCs w:val="18"/>
              </w:rPr>
            </w:pPr>
            <w:r w:rsidRPr="00D40091">
              <w:rPr>
                <w:rFonts w:ascii="Arial" w:hAnsi="Arial" w:cs="Arial"/>
                <w:b/>
                <w:bCs/>
                <w:color w:val="FF0000"/>
                <w:sz w:val="18"/>
                <w:szCs w:val="18"/>
              </w:rPr>
              <w:t> </w:t>
            </w:r>
          </w:p>
        </w:tc>
        <w:tc>
          <w:tcPr>
            <w:tcW w:w="50" w:type="pct"/>
            <w:tcBorders>
              <w:top w:val="nil"/>
              <w:left w:val="nil"/>
              <w:bottom w:val="nil"/>
              <w:right w:val="nil"/>
            </w:tcBorders>
            <w:shd w:val="clear" w:color="000000" w:fill="FFFFFF"/>
            <w:noWrap/>
            <w:vAlign w:val="center"/>
            <w:hideMark/>
          </w:tcPr>
          <w:p w14:paraId="456A96A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2523363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2E41E9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1475962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7E0E9BE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17FD42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6FFB5B2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00749099" w14:textId="77777777" w:rsidTr="00AA502F">
        <w:trPr>
          <w:trHeight w:val="315"/>
        </w:trPr>
        <w:tc>
          <w:tcPr>
            <w:tcW w:w="1073" w:type="pct"/>
            <w:tcBorders>
              <w:top w:val="nil"/>
              <w:left w:val="nil"/>
              <w:bottom w:val="nil"/>
              <w:right w:val="nil"/>
            </w:tcBorders>
            <w:shd w:val="clear" w:color="000000" w:fill="FFFFFF"/>
            <w:noWrap/>
            <w:vAlign w:val="center"/>
            <w:hideMark/>
          </w:tcPr>
          <w:p w14:paraId="15C2959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lastRenderedPageBreak/>
              <w:t>Fundo de Investimento para garantia PPP</w:t>
            </w:r>
          </w:p>
        </w:tc>
        <w:tc>
          <w:tcPr>
            <w:tcW w:w="50" w:type="pct"/>
            <w:tcBorders>
              <w:top w:val="nil"/>
              <w:left w:val="nil"/>
              <w:bottom w:val="nil"/>
              <w:right w:val="nil"/>
            </w:tcBorders>
            <w:shd w:val="clear" w:color="000000" w:fill="FFFFFF"/>
            <w:noWrap/>
            <w:vAlign w:val="center"/>
            <w:hideMark/>
          </w:tcPr>
          <w:p w14:paraId="64F2984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49C8B96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9</w:t>
            </w:r>
          </w:p>
        </w:tc>
        <w:tc>
          <w:tcPr>
            <w:tcW w:w="417" w:type="pct"/>
            <w:tcBorders>
              <w:top w:val="nil"/>
              <w:left w:val="nil"/>
              <w:bottom w:val="nil"/>
              <w:right w:val="nil"/>
            </w:tcBorders>
            <w:shd w:val="clear" w:color="000000" w:fill="FFFFFF"/>
            <w:noWrap/>
            <w:vAlign w:val="center"/>
            <w:hideMark/>
          </w:tcPr>
          <w:p w14:paraId="347C930F" w14:textId="77777777" w:rsidR="00D40091" w:rsidRPr="00A31378" w:rsidRDefault="00D40091" w:rsidP="00AA502F">
            <w:pPr>
              <w:spacing w:line="240" w:lineRule="auto"/>
              <w:jc w:val="center"/>
              <w:rPr>
                <w:rFonts w:ascii="Arial" w:hAnsi="Arial" w:cs="Arial"/>
                <w:color w:val="000000"/>
                <w:sz w:val="16"/>
                <w:szCs w:val="16"/>
              </w:rPr>
            </w:pPr>
            <w:r w:rsidRPr="00A31378">
              <w:rPr>
                <w:rFonts w:ascii="Arial" w:hAnsi="Arial" w:cs="Arial"/>
                <w:color w:val="000000"/>
                <w:sz w:val="16"/>
                <w:szCs w:val="16"/>
              </w:rPr>
              <w:t xml:space="preserve">      34.475.017 </w:t>
            </w:r>
          </w:p>
        </w:tc>
        <w:tc>
          <w:tcPr>
            <w:tcW w:w="50" w:type="pct"/>
            <w:tcBorders>
              <w:top w:val="nil"/>
              <w:left w:val="nil"/>
              <w:bottom w:val="nil"/>
              <w:right w:val="nil"/>
            </w:tcBorders>
            <w:shd w:val="clear" w:color="000000" w:fill="FFFFFF"/>
            <w:noWrap/>
            <w:vAlign w:val="center"/>
            <w:hideMark/>
          </w:tcPr>
          <w:p w14:paraId="2A22719B" w14:textId="77777777" w:rsidR="00D40091" w:rsidRPr="00A31378" w:rsidRDefault="00D40091" w:rsidP="00AA502F">
            <w:pPr>
              <w:spacing w:line="240" w:lineRule="auto"/>
              <w:jc w:val="center"/>
              <w:rPr>
                <w:rFonts w:ascii="Arial" w:hAnsi="Arial" w:cs="Arial"/>
                <w:color w:val="000000"/>
                <w:sz w:val="16"/>
                <w:szCs w:val="16"/>
              </w:rPr>
            </w:pPr>
            <w:r w:rsidRPr="00A31378">
              <w:rPr>
                <w:rFonts w:ascii="Arial" w:hAnsi="Arial" w:cs="Arial"/>
                <w:color w:val="000000"/>
                <w:sz w:val="16"/>
                <w:szCs w:val="16"/>
              </w:rPr>
              <w:t> </w:t>
            </w:r>
          </w:p>
        </w:tc>
        <w:tc>
          <w:tcPr>
            <w:tcW w:w="329" w:type="pct"/>
            <w:tcBorders>
              <w:top w:val="nil"/>
              <w:left w:val="nil"/>
              <w:bottom w:val="nil"/>
              <w:right w:val="nil"/>
            </w:tcBorders>
            <w:shd w:val="clear" w:color="auto" w:fill="auto"/>
            <w:noWrap/>
            <w:vAlign w:val="center"/>
            <w:hideMark/>
          </w:tcPr>
          <w:p w14:paraId="066D01E8" w14:textId="77777777" w:rsidR="00D40091" w:rsidRPr="00A31378" w:rsidRDefault="00D40091" w:rsidP="00AA502F">
            <w:pPr>
              <w:spacing w:line="240" w:lineRule="auto"/>
              <w:jc w:val="right"/>
              <w:rPr>
                <w:rFonts w:ascii="Arial" w:hAnsi="Arial" w:cs="Arial"/>
                <w:color w:val="000000"/>
                <w:sz w:val="16"/>
                <w:szCs w:val="16"/>
              </w:rPr>
            </w:pPr>
            <w:r w:rsidRPr="00A31378">
              <w:rPr>
                <w:rFonts w:ascii="Arial" w:hAnsi="Arial" w:cs="Arial"/>
                <w:color w:val="000000"/>
                <w:sz w:val="16"/>
                <w:szCs w:val="16"/>
              </w:rPr>
              <w:t>33.777.424</w:t>
            </w:r>
          </w:p>
        </w:tc>
        <w:tc>
          <w:tcPr>
            <w:tcW w:w="50" w:type="pct"/>
            <w:tcBorders>
              <w:top w:val="nil"/>
              <w:left w:val="nil"/>
              <w:bottom w:val="nil"/>
              <w:right w:val="nil"/>
            </w:tcBorders>
            <w:shd w:val="clear" w:color="000000" w:fill="FFFFFF"/>
            <w:noWrap/>
            <w:vAlign w:val="center"/>
            <w:hideMark/>
          </w:tcPr>
          <w:p w14:paraId="1EEED66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BA4254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337ECC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383D7D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33FC915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7B60E44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4F22C65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0420FC1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37167DAE" w14:textId="77777777" w:rsidTr="00AA502F">
        <w:trPr>
          <w:trHeight w:val="315"/>
        </w:trPr>
        <w:tc>
          <w:tcPr>
            <w:tcW w:w="1073" w:type="pct"/>
            <w:tcBorders>
              <w:top w:val="nil"/>
              <w:left w:val="nil"/>
              <w:bottom w:val="nil"/>
              <w:right w:val="nil"/>
            </w:tcBorders>
            <w:shd w:val="clear" w:color="000000" w:fill="FFFFFF"/>
            <w:noWrap/>
            <w:vAlign w:val="center"/>
            <w:hideMark/>
          </w:tcPr>
          <w:p w14:paraId="12DBE991" w14:textId="77777777" w:rsidR="00D40091" w:rsidRPr="00D40091" w:rsidRDefault="00D40091" w:rsidP="00AA502F">
            <w:pPr>
              <w:spacing w:line="240" w:lineRule="auto"/>
              <w:rPr>
                <w:rFonts w:ascii="Arial" w:hAnsi="Arial" w:cs="Arial"/>
                <w:sz w:val="18"/>
                <w:szCs w:val="18"/>
              </w:rPr>
            </w:pPr>
            <w:proofErr w:type="spellStart"/>
            <w:r w:rsidRPr="00D40091">
              <w:rPr>
                <w:rFonts w:ascii="Arial" w:hAnsi="Arial" w:cs="Arial"/>
                <w:sz w:val="18"/>
                <w:szCs w:val="18"/>
              </w:rPr>
              <w:t>Titulos</w:t>
            </w:r>
            <w:proofErr w:type="spellEnd"/>
            <w:r w:rsidRPr="00D40091">
              <w:rPr>
                <w:rFonts w:ascii="Arial" w:hAnsi="Arial" w:cs="Arial"/>
                <w:sz w:val="18"/>
                <w:szCs w:val="18"/>
              </w:rPr>
              <w:t xml:space="preserve"> e Valores Mobiliários</w:t>
            </w:r>
          </w:p>
        </w:tc>
        <w:tc>
          <w:tcPr>
            <w:tcW w:w="50" w:type="pct"/>
            <w:tcBorders>
              <w:top w:val="nil"/>
              <w:left w:val="nil"/>
              <w:bottom w:val="nil"/>
              <w:right w:val="nil"/>
            </w:tcBorders>
            <w:shd w:val="clear" w:color="000000" w:fill="FFFFFF"/>
            <w:noWrap/>
            <w:vAlign w:val="center"/>
            <w:hideMark/>
          </w:tcPr>
          <w:p w14:paraId="199C2B0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172C931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9</w:t>
            </w:r>
          </w:p>
        </w:tc>
        <w:tc>
          <w:tcPr>
            <w:tcW w:w="417" w:type="pct"/>
            <w:tcBorders>
              <w:top w:val="nil"/>
              <w:left w:val="nil"/>
              <w:bottom w:val="nil"/>
              <w:right w:val="nil"/>
            </w:tcBorders>
            <w:shd w:val="clear" w:color="000000" w:fill="FFFFFF"/>
            <w:noWrap/>
            <w:vAlign w:val="center"/>
            <w:hideMark/>
          </w:tcPr>
          <w:p w14:paraId="241390C4" w14:textId="77777777" w:rsidR="00D40091" w:rsidRPr="00A31378" w:rsidRDefault="00D40091" w:rsidP="00AA502F">
            <w:pPr>
              <w:spacing w:line="240" w:lineRule="auto"/>
              <w:jc w:val="center"/>
              <w:rPr>
                <w:rFonts w:ascii="Arial" w:hAnsi="Arial" w:cs="Arial"/>
                <w:color w:val="000000"/>
                <w:sz w:val="16"/>
                <w:szCs w:val="16"/>
              </w:rPr>
            </w:pPr>
            <w:r w:rsidRPr="00A31378">
              <w:rPr>
                <w:rFonts w:ascii="Arial" w:hAnsi="Arial" w:cs="Arial"/>
                <w:color w:val="000000"/>
                <w:sz w:val="16"/>
                <w:szCs w:val="16"/>
              </w:rPr>
              <w:t xml:space="preserve">     314.044.088 </w:t>
            </w:r>
          </w:p>
        </w:tc>
        <w:tc>
          <w:tcPr>
            <w:tcW w:w="50" w:type="pct"/>
            <w:tcBorders>
              <w:top w:val="nil"/>
              <w:left w:val="nil"/>
              <w:bottom w:val="nil"/>
              <w:right w:val="nil"/>
            </w:tcBorders>
            <w:shd w:val="clear" w:color="000000" w:fill="FFFFFF"/>
            <w:noWrap/>
            <w:vAlign w:val="center"/>
            <w:hideMark/>
          </w:tcPr>
          <w:p w14:paraId="1DA58243" w14:textId="77777777" w:rsidR="00D40091" w:rsidRPr="00A31378" w:rsidRDefault="00D40091" w:rsidP="00AA502F">
            <w:pPr>
              <w:spacing w:line="240" w:lineRule="auto"/>
              <w:jc w:val="center"/>
              <w:rPr>
                <w:rFonts w:ascii="Arial" w:hAnsi="Arial" w:cs="Arial"/>
                <w:color w:val="000000"/>
                <w:sz w:val="16"/>
                <w:szCs w:val="16"/>
              </w:rPr>
            </w:pPr>
            <w:r w:rsidRPr="00A31378">
              <w:rPr>
                <w:rFonts w:ascii="Arial" w:hAnsi="Arial" w:cs="Arial"/>
                <w:color w:val="000000"/>
                <w:sz w:val="16"/>
                <w:szCs w:val="16"/>
              </w:rPr>
              <w:t> </w:t>
            </w:r>
          </w:p>
        </w:tc>
        <w:tc>
          <w:tcPr>
            <w:tcW w:w="329" w:type="pct"/>
            <w:tcBorders>
              <w:top w:val="nil"/>
              <w:left w:val="nil"/>
              <w:bottom w:val="nil"/>
              <w:right w:val="nil"/>
            </w:tcBorders>
            <w:shd w:val="clear" w:color="000000" w:fill="FFFFFF"/>
            <w:noWrap/>
            <w:vAlign w:val="center"/>
            <w:hideMark/>
          </w:tcPr>
          <w:p w14:paraId="7183185F" w14:textId="77777777" w:rsidR="00D40091" w:rsidRPr="00A31378" w:rsidRDefault="00D40091" w:rsidP="00AA502F">
            <w:pPr>
              <w:spacing w:line="240" w:lineRule="auto"/>
              <w:jc w:val="right"/>
              <w:rPr>
                <w:rFonts w:ascii="Arial" w:hAnsi="Arial" w:cs="Arial"/>
                <w:color w:val="000000"/>
                <w:sz w:val="16"/>
                <w:szCs w:val="16"/>
              </w:rPr>
            </w:pPr>
            <w:r w:rsidRPr="00A31378">
              <w:rPr>
                <w:rFonts w:ascii="Arial" w:hAnsi="Arial" w:cs="Arial"/>
                <w:color w:val="000000"/>
                <w:sz w:val="16"/>
                <w:szCs w:val="16"/>
              </w:rPr>
              <w:t>289.175.298</w:t>
            </w:r>
          </w:p>
        </w:tc>
        <w:tc>
          <w:tcPr>
            <w:tcW w:w="50" w:type="pct"/>
            <w:tcBorders>
              <w:top w:val="nil"/>
              <w:left w:val="nil"/>
              <w:bottom w:val="nil"/>
              <w:right w:val="nil"/>
            </w:tcBorders>
            <w:shd w:val="clear" w:color="000000" w:fill="FFFFFF"/>
            <w:noWrap/>
            <w:vAlign w:val="center"/>
            <w:hideMark/>
          </w:tcPr>
          <w:p w14:paraId="4D4AD66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B10269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45A4CA9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DFCDFF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4929E4A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73571D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85C640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B751E4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517E8C37" w14:textId="77777777" w:rsidTr="00AA502F">
        <w:trPr>
          <w:trHeight w:val="315"/>
        </w:trPr>
        <w:tc>
          <w:tcPr>
            <w:tcW w:w="1073" w:type="pct"/>
            <w:tcBorders>
              <w:top w:val="nil"/>
              <w:left w:val="nil"/>
              <w:bottom w:val="nil"/>
              <w:right w:val="nil"/>
            </w:tcBorders>
            <w:shd w:val="clear" w:color="000000" w:fill="FFFFFF"/>
            <w:noWrap/>
            <w:vAlign w:val="center"/>
            <w:hideMark/>
          </w:tcPr>
          <w:p w14:paraId="74E03C6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97AEE9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5C213F7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028CEC8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35A121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6175C90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EAE61C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2E993F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55DD4237"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PATRIMÔNIO LÍQUIDO</w:t>
            </w:r>
          </w:p>
        </w:tc>
        <w:tc>
          <w:tcPr>
            <w:tcW w:w="50" w:type="pct"/>
            <w:tcBorders>
              <w:top w:val="nil"/>
              <w:left w:val="nil"/>
              <w:bottom w:val="nil"/>
              <w:right w:val="nil"/>
            </w:tcBorders>
            <w:shd w:val="clear" w:color="000000" w:fill="FFFFFF"/>
            <w:noWrap/>
            <w:vAlign w:val="center"/>
            <w:hideMark/>
          </w:tcPr>
          <w:p w14:paraId="244224A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18840D8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single" w:sz="4" w:space="0" w:color="auto"/>
              <w:right w:val="nil"/>
            </w:tcBorders>
            <w:shd w:val="clear" w:color="000000" w:fill="FFFFFF"/>
            <w:noWrap/>
            <w:vAlign w:val="center"/>
            <w:hideMark/>
          </w:tcPr>
          <w:p w14:paraId="1D06DF9D" w14:textId="77777777" w:rsidR="00D40091" w:rsidRPr="00D40091" w:rsidRDefault="00D40091" w:rsidP="00AA502F">
            <w:pPr>
              <w:spacing w:line="240" w:lineRule="auto"/>
              <w:jc w:val="right"/>
              <w:rPr>
                <w:rFonts w:ascii="Arial" w:hAnsi="Arial" w:cs="Arial"/>
                <w:b/>
                <w:bCs/>
                <w:sz w:val="18"/>
                <w:szCs w:val="18"/>
              </w:rPr>
            </w:pPr>
            <w:r w:rsidRPr="00D40091">
              <w:rPr>
                <w:rFonts w:ascii="Arial" w:hAnsi="Arial" w:cs="Arial"/>
                <w:b/>
                <w:bCs/>
                <w:sz w:val="18"/>
                <w:szCs w:val="18"/>
              </w:rPr>
              <w:t>289.671.146</w:t>
            </w:r>
          </w:p>
        </w:tc>
        <w:tc>
          <w:tcPr>
            <w:tcW w:w="50" w:type="pct"/>
            <w:tcBorders>
              <w:top w:val="nil"/>
              <w:left w:val="nil"/>
              <w:bottom w:val="nil"/>
              <w:right w:val="nil"/>
            </w:tcBorders>
            <w:shd w:val="clear" w:color="000000" w:fill="FFFFFF"/>
            <w:noWrap/>
            <w:vAlign w:val="center"/>
            <w:hideMark/>
          </w:tcPr>
          <w:p w14:paraId="2BBD440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single" w:sz="4" w:space="0" w:color="auto"/>
              <w:right w:val="nil"/>
            </w:tcBorders>
            <w:shd w:val="clear" w:color="000000" w:fill="FFFFFF"/>
            <w:noWrap/>
            <w:vAlign w:val="center"/>
            <w:hideMark/>
          </w:tcPr>
          <w:p w14:paraId="16E7B103" w14:textId="77777777" w:rsidR="00D40091" w:rsidRPr="00D40091" w:rsidRDefault="00D40091" w:rsidP="00AA502F">
            <w:pPr>
              <w:spacing w:line="240" w:lineRule="auto"/>
              <w:jc w:val="right"/>
              <w:rPr>
                <w:rFonts w:ascii="Arial" w:hAnsi="Arial" w:cs="Arial"/>
                <w:b/>
                <w:bCs/>
                <w:sz w:val="18"/>
                <w:szCs w:val="18"/>
              </w:rPr>
            </w:pPr>
            <w:r w:rsidRPr="00D40091">
              <w:rPr>
                <w:rFonts w:ascii="Arial" w:hAnsi="Arial" w:cs="Arial"/>
                <w:b/>
                <w:bCs/>
                <w:sz w:val="18"/>
                <w:szCs w:val="18"/>
              </w:rPr>
              <w:t>270.184.450</w:t>
            </w:r>
          </w:p>
        </w:tc>
      </w:tr>
      <w:tr w:rsidR="00A31378" w:rsidRPr="00D40091" w14:paraId="1D54FDC7" w14:textId="77777777" w:rsidTr="00AA502F">
        <w:trPr>
          <w:trHeight w:val="315"/>
        </w:trPr>
        <w:tc>
          <w:tcPr>
            <w:tcW w:w="1073" w:type="pct"/>
            <w:tcBorders>
              <w:top w:val="nil"/>
              <w:left w:val="nil"/>
              <w:bottom w:val="nil"/>
              <w:right w:val="nil"/>
            </w:tcBorders>
            <w:shd w:val="clear" w:color="000000" w:fill="FFFFFF"/>
            <w:noWrap/>
            <w:vAlign w:val="center"/>
            <w:hideMark/>
          </w:tcPr>
          <w:p w14:paraId="7ED608C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Investimentos</w:t>
            </w:r>
          </w:p>
        </w:tc>
        <w:tc>
          <w:tcPr>
            <w:tcW w:w="50" w:type="pct"/>
            <w:tcBorders>
              <w:top w:val="nil"/>
              <w:left w:val="nil"/>
              <w:bottom w:val="nil"/>
              <w:right w:val="nil"/>
            </w:tcBorders>
            <w:shd w:val="clear" w:color="000000" w:fill="FFFFFF"/>
            <w:noWrap/>
            <w:vAlign w:val="center"/>
            <w:hideMark/>
          </w:tcPr>
          <w:p w14:paraId="741C6CB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55" w:type="pct"/>
            <w:tcBorders>
              <w:top w:val="nil"/>
              <w:left w:val="nil"/>
              <w:bottom w:val="nil"/>
              <w:right w:val="nil"/>
            </w:tcBorders>
            <w:shd w:val="clear" w:color="000000" w:fill="FFFFFF"/>
            <w:noWrap/>
            <w:vAlign w:val="center"/>
            <w:hideMark/>
          </w:tcPr>
          <w:p w14:paraId="0184D84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10</w:t>
            </w:r>
          </w:p>
        </w:tc>
        <w:tc>
          <w:tcPr>
            <w:tcW w:w="417" w:type="pct"/>
            <w:tcBorders>
              <w:top w:val="nil"/>
              <w:left w:val="nil"/>
              <w:bottom w:val="nil"/>
              <w:right w:val="nil"/>
            </w:tcBorders>
            <w:shd w:val="clear" w:color="000000" w:fill="FFFFFF"/>
            <w:noWrap/>
            <w:vAlign w:val="center"/>
            <w:hideMark/>
          </w:tcPr>
          <w:p w14:paraId="606A874A" w14:textId="2D2E21FA"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     5.543 </w:t>
            </w:r>
          </w:p>
        </w:tc>
        <w:tc>
          <w:tcPr>
            <w:tcW w:w="50" w:type="pct"/>
            <w:tcBorders>
              <w:top w:val="nil"/>
              <w:left w:val="nil"/>
              <w:bottom w:val="nil"/>
              <w:right w:val="nil"/>
            </w:tcBorders>
            <w:shd w:val="clear" w:color="000000" w:fill="FFFFFF"/>
            <w:noWrap/>
            <w:vAlign w:val="center"/>
            <w:hideMark/>
          </w:tcPr>
          <w:p w14:paraId="71D51E1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29" w:type="pct"/>
            <w:tcBorders>
              <w:top w:val="nil"/>
              <w:left w:val="nil"/>
              <w:bottom w:val="nil"/>
              <w:right w:val="nil"/>
            </w:tcBorders>
            <w:shd w:val="clear" w:color="000000" w:fill="FFFFFF"/>
            <w:noWrap/>
            <w:vAlign w:val="center"/>
            <w:hideMark/>
          </w:tcPr>
          <w:p w14:paraId="17F129FC"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16.608</w:t>
            </w:r>
          </w:p>
        </w:tc>
        <w:tc>
          <w:tcPr>
            <w:tcW w:w="50" w:type="pct"/>
            <w:tcBorders>
              <w:top w:val="nil"/>
              <w:left w:val="nil"/>
              <w:bottom w:val="nil"/>
              <w:right w:val="nil"/>
            </w:tcBorders>
            <w:shd w:val="clear" w:color="000000" w:fill="FFFFFF"/>
            <w:noWrap/>
            <w:vAlign w:val="center"/>
            <w:hideMark/>
          </w:tcPr>
          <w:p w14:paraId="19E46E4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6B68844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23A828E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536294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09D9FF8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0B2BBDA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28165AB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7CA33C8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A31378" w:rsidRPr="00D40091" w14:paraId="5CC2CEA5" w14:textId="77777777" w:rsidTr="00AA502F">
        <w:trPr>
          <w:trHeight w:val="315"/>
        </w:trPr>
        <w:tc>
          <w:tcPr>
            <w:tcW w:w="1073" w:type="pct"/>
            <w:tcBorders>
              <w:top w:val="nil"/>
              <w:left w:val="nil"/>
              <w:bottom w:val="nil"/>
              <w:right w:val="nil"/>
            </w:tcBorders>
            <w:shd w:val="clear" w:color="000000" w:fill="FFFFFF"/>
            <w:noWrap/>
            <w:vAlign w:val="center"/>
            <w:hideMark/>
          </w:tcPr>
          <w:p w14:paraId="609877C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4373DB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6647996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63D5E5C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FDCF4D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7AA88A2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EC8FC0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F791D6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146A3DE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Capital Social</w:t>
            </w:r>
          </w:p>
        </w:tc>
        <w:tc>
          <w:tcPr>
            <w:tcW w:w="50" w:type="pct"/>
            <w:tcBorders>
              <w:top w:val="nil"/>
              <w:left w:val="nil"/>
              <w:bottom w:val="nil"/>
              <w:right w:val="nil"/>
            </w:tcBorders>
            <w:shd w:val="clear" w:color="000000" w:fill="FFFFFF"/>
            <w:noWrap/>
            <w:vAlign w:val="center"/>
            <w:hideMark/>
          </w:tcPr>
          <w:p w14:paraId="4AD6A5C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27A3C19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18.a</w:t>
            </w:r>
          </w:p>
        </w:tc>
        <w:tc>
          <w:tcPr>
            <w:tcW w:w="417" w:type="pct"/>
            <w:tcBorders>
              <w:top w:val="nil"/>
              <w:left w:val="nil"/>
              <w:bottom w:val="nil"/>
              <w:right w:val="nil"/>
            </w:tcBorders>
            <w:shd w:val="clear" w:color="000000" w:fill="FFFFFF"/>
            <w:noWrap/>
            <w:vAlign w:val="center"/>
            <w:hideMark/>
          </w:tcPr>
          <w:p w14:paraId="50461A44" w14:textId="7A965732"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204.164.469 </w:t>
            </w:r>
          </w:p>
        </w:tc>
        <w:tc>
          <w:tcPr>
            <w:tcW w:w="50" w:type="pct"/>
            <w:tcBorders>
              <w:top w:val="nil"/>
              <w:left w:val="nil"/>
              <w:bottom w:val="nil"/>
              <w:right w:val="nil"/>
            </w:tcBorders>
            <w:shd w:val="clear" w:color="000000" w:fill="FFFFFF"/>
            <w:noWrap/>
            <w:vAlign w:val="center"/>
            <w:hideMark/>
          </w:tcPr>
          <w:p w14:paraId="2C6A71D4"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auto" w:fill="auto"/>
            <w:noWrap/>
            <w:vAlign w:val="center"/>
            <w:hideMark/>
          </w:tcPr>
          <w:p w14:paraId="0A9DA4AA"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204.164.469</w:t>
            </w:r>
          </w:p>
        </w:tc>
      </w:tr>
      <w:tr w:rsidR="00A31378" w:rsidRPr="00D40091" w14:paraId="791DAB9B" w14:textId="77777777" w:rsidTr="00AA502F">
        <w:trPr>
          <w:trHeight w:val="315"/>
        </w:trPr>
        <w:tc>
          <w:tcPr>
            <w:tcW w:w="1073" w:type="pct"/>
            <w:tcBorders>
              <w:top w:val="nil"/>
              <w:left w:val="nil"/>
              <w:bottom w:val="nil"/>
              <w:right w:val="nil"/>
            </w:tcBorders>
            <w:shd w:val="clear" w:color="000000" w:fill="FFFFFF"/>
            <w:noWrap/>
            <w:vAlign w:val="center"/>
            <w:hideMark/>
          </w:tcPr>
          <w:p w14:paraId="387E755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Imobilizado</w:t>
            </w:r>
          </w:p>
        </w:tc>
        <w:tc>
          <w:tcPr>
            <w:tcW w:w="50" w:type="pct"/>
            <w:tcBorders>
              <w:top w:val="nil"/>
              <w:left w:val="nil"/>
              <w:bottom w:val="nil"/>
              <w:right w:val="nil"/>
            </w:tcBorders>
            <w:shd w:val="clear" w:color="000000" w:fill="FFFFFF"/>
            <w:noWrap/>
            <w:vAlign w:val="center"/>
            <w:hideMark/>
          </w:tcPr>
          <w:p w14:paraId="66679B6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2FC1F61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11</w:t>
            </w:r>
          </w:p>
        </w:tc>
        <w:tc>
          <w:tcPr>
            <w:tcW w:w="417" w:type="pct"/>
            <w:tcBorders>
              <w:top w:val="nil"/>
              <w:left w:val="nil"/>
              <w:bottom w:val="nil"/>
              <w:right w:val="nil"/>
            </w:tcBorders>
            <w:shd w:val="clear" w:color="000000" w:fill="FFFFFF"/>
            <w:noWrap/>
            <w:vAlign w:val="center"/>
            <w:hideMark/>
          </w:tcPr>
          <w:p w14:paraId="3F09CBBC" w14:textId="75D7CB62"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42.545 </w:t>
            </w:r>
          </w:p>
        </w:tc>
        <w:tc>
          <w:tcPr>
            <w:tcW w:w="50" w:type="pct"/>
            <w:tcBorders>
              <w:top w:val="nil"/>
              <w:left w:val="nil"/>
              <w:bottom w:val="nil"/>
              <w:right w:val="nil"/>
            </w:tcBorders>
            <w:shd w:val="clear" w:color="000000" w:fill="FFFFFF"/>
            <w:noWrap/>
            <w:vAlign w:val="center"/>
            <w:hideMark/>
          </w:tcPr>
          <w:p w14:paraId="75D9B1C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B8702C1" w14:textId="77777777" w:rsidR="00D40091" w:rsidRPr="00D40091" w:rsidRDefault="00D40091" w:rsidP="00AA502F">
            <w:pPr>
              <w:spacing w:line="240" w:lineRule="auto"/>
              <w:jc w:val="right"/>
              <w:rPr>
                <w:rFonts w:ascii="Arial" w:hAnsi="Arial" w:cs="Arial"/>
                <w:color w:val="000000"/>
                <w:sz w:val="18"/>
                <w:szCs w:val="18"/>
              </w:rPr>
            </w:pPr>
            <w:r w:rsidRPr="00D40091">
              <w:rPr>
                <w:rFonts w:ascii="Arial" w:hAnsi="Arial" w:cs="Arial"/>
                <w:color w:val="000000"/>
                <w:sz w:val="18"/>
                <w:szCs w:val="18"/>
              </w:rPr>
              <w:t>61.447</w:t>
            </w:r>
          </w:p>
        </w:tc>
        <w:tc>
          <w:tcPr>
            <w:tcW w:w="50" w:type="pct"/>
            <w:tcBorders>
              <w:top w:val="nil"/>
              <w:left w:val="nil"/>
              <w:bottom w:val="nil"/>
              <w:right w:val="nil"/>
            </w:tcBorders>
            <w:shd w:val="clear" w:color="000000" w:fill="FFFFFF"/>
            <w:noWrap/>
            <w:vAlign w:val="center"/>
            <w:hideMark/>
          </w:tcPr>
          <w:p w14:paraId="4581749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26198F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4536481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Reserva de Lucros a Realizar </w:t>
            </w:r>
          </w:p>
        </w:tc>
        <w:tc>
          <w:tcPr>
            <w:tcW w:w="50" w:type="pct"/>
            <w:tcBorders>
              <w:top w:val="nil"/>
              <w:left w:val="nil"/>
              <w:bottom w:val="nil"/>
              <w:right w:val="nil"/>
            </w:tcBorders>
            <w:shd w:val="clear" w:color="000000" w:fill="FFFFFF"/>
            <w:noWrap/>
            <w:vAlign w:val="center"/>
            <w:hideMark/>
          </w:tcPr>
          <w:p w14:paraId="4E77BC8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628910D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18.b</w:t>
            </w:r>
          </w:p>
        </w:tc>
        <w:tc>
          <w:tcPr>
            <w:tcW w:w="417" w:type="pct"/>
            <w:tcBorders>
              <w:top w:val="nil"/>
              <w:left w:val="nil"/>
              <w:bottom w:val="nil"/>
              <w:right w:val="nil"/>
            </w:tcBorders>
            <w:shd w:val="clear" w:color="000000" w:fill="FFFFFF"/>
            <w:noWrap/>
            <w:vAlign w:val="center"/>
            <w:hideMark/>
          </w:tcPr>
          <w:p w14:paraId="3F56E01E" w14:textId="749C2368"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80.894.713 </w:t>
            </w:r>
          </w:p>
        </w:tc>
        <w:tc>
          <w:tcPr>
            <w:tcW w:w="50" w:type="pct"/>
            <w:tcBorders>
              <w:top w:val="nil"/>
              <w:left w:val="nil"/>
              <w:bottom w:val="nil"/>
              <w:right w:val="nil"/>
            </w:tcBorders>
            <w:shd w:val="clear" w:color="000000" w:fill="FFFFFF"/>
            <w:noWrap/>
            <w:vAlign w:val="center"/>
            <w:hideMark/>
          </w:tcPr>
          <w:p w14:paraId="02E0AF9A"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auto" w:fill="auto"/>
            <w:noWrap/>
            <w:vAlign w:val="center"/>
            <w:hideMark/>
          </w:tcPr>
          <w:p w14:paraId="00BD4C1D"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62.382.215</w:t>
            </w:r>
          </w:p>
        </w:tc>
      </w:tr>
      <w:tr w:rsidR="00A31378" w:rsidRPr="00D40091" w14:paraId="48B9C089" w14:textId="77777777" w:rsidTr="00AA502F">
        <w:trPr>
          <w:trHeight w:val="315"/>
        </w:trPr>
        <w:tc>
          <w:tcPr>
            <w:tcW w:w="1073" w:type="pct"/>
            <w:tcBorders>
              <w:top w:val="nil"/>
              <w:left w:val="nil"/>
              <w:bottom w:val="nil"/>
              <w:right w:val="nil"/>
            </w:tcBorders>
            <w:shd w:val="clear" w:color="000000" w:fill="FFFFFF"/>
            <w:noWrap/>
            <w:vAlign w:val="center"/>
            <w:hideMark/>
          </w:tcPr>
          <w:p w14:paraId="024D5D8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6D0AC7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51A0250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07B9130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21C923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7D22468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6F8C79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310DD32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A6B780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Reserva Legal </w:t>
            </w:r>
          </w:p>
        </w:tc>
        <w:tc>
          <w:tcPr>
            <w:tcW w:w="50" w:type="pct"/>
            <w:tcBorders>
              <w:top w:val="nil"/>
              <w:left w:val="nil"/>
              <w:bottom w:val="nil"/>
              <w:right w:val="nil"/>
            </w:tcBorders>
            <w:shd w:val="clear" w:color="000000" w:fill="FFFFFF"/>
            <w:noWrap/>
            <w:vAlign w:val="center"/>
            <w:hideMark/>
          </w:tcPr>
          <w:p w14:paraId="07E9A3F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29438CA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18.c</w:t>
            </w:r>
          </w:p>
        </w:tc>
        <w:tc>
          <w:tcPr>
            <w:tcW w:w="417" w:type="pct"/>
            <w:tcBorders>
              <w:top w:val="nil"/>
              <w:left w:val="nil"/>
              <w:bottom w:val="nil"/>
              <w:right w:val="nil"/>
            </w:tcBorders>
            <w:shd w:val="clear" w:color="000000" w:fill="FFFFFF"/>
            <w:noWrap/>
            <w:vAlign w:val="center"/>
            <w:hideMark/>
          </w:tcPr>
          <w:p w14:paraId="1F77A14F" w14:textId="2507427F"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xml:space="preserve">4.611.964 </w:t>
            </w:r>
          </w:p>
        </w:tc>
        <w:tc>
          <w:tcPr>
            <w:tcW w:w="50" w:type="pct"/>
            <w:tcBorders>
              <w:top w:val="nil"/>
              <w:left w:val="nil"/>
              <w:bottom w:val="nil"/>
              <w:right w:val="nil"/>
            </w:tcBorders>
            <w:shd w:val="clear" w:color="000000" w:fill="FFFFFF"/>
            <w:noWrap/>
            <w:vAlign w:val="center"/>
            <w:hideMark/>
          </w:tcPr>
          <w:p w14:paraId="4B7427D8"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auto" w:fill="auto"/>
            <w:noWrap/>
            <w:vAlign w:val="center"/>
            <w:hideMark/>
          </w:tcPr>
          <w:p w14:paraId="422962A2" w14:textId="77777777" w:rsidR="00D40091" w:rsidRPr="00D40091" w:rsidRDefault="00D40091" w:rsidP="00A31378">
            <w:pPr>
              <w:spacing w:line="240" w:lineRule="auto"/>
              <w:jc w:val="right"/>
              <w:rPr>
                <w:rFonts w:ascii="Arial" w:hAnsi="Arial" w:cs="Arial"/>
                <w:sz w:val="18"/>
                <w:szCs w:val="18"/>
              </w:rPr>
            </w:pPr>
            <w:r w:rsidRPr="00D40091">
              <w:rPr>
                <w:rFonts w:ascii="Arial" w:hAnsi="Arial" w:cs="Arial"/>
                <w:sz w:val="18"/>
                <w:szCs w:val="18"/>
              </w:rPr>
              <w:t>3.637.766</w:t>
            </w:r>
          </w:p>
        </w:tc>
      </w:tr>
      <w:tr w:rsidR="00A31378" w:rsidRPr="00D40091" w14:paraId="7D6E914D" w14:textId="77777777" w:rsidTr="00AA502F">
        <w:trPr>
          <w:trHeight w:val="315"/>
        </w:trPr>
        <w:tc>
          <w:tcPr>
            <w:tcW w:w="1073" w:type="pct"/>
            <w:tcBorders>
              <w:top w:val="nil"/>
              <w:left w:val="nil"/>
              <w:bottom w:val="nil"/>
              <w:right w:val="nil"/>
            </w:tcBorders>
            <w:shd w:val="clear" w:color="000000" w:fill="FFFFFF"/>
            <w:noWrap/>
            <w:vAlign w:val="center"/>
            <w:hideMark/>
          </w:tcPr>
          <w:p w14:paraId="191C1FE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Intangível</w:t>
            </w:r>
          </w:p>
        </w:tc>
        <w:tc>
          <w:tcPr>
            <w:tcW w:w="50" w:type="pct"/>
            <w:tcBorders>
              <w:top w:val="nil"/>
              <w:left w:val="nil"/>
              <w:bottom w:val="nil"/>
              <w:right w:val="nil"/>
            </w:tcBorders>
            <w:shd w:val="clear" w:color="000000" w:fill="FFFFFF"/>
            <w:noWrap/>
            <w:vAlign w:val="center"/>
            <w:hideMark/>
          </w:tcPr>
          <w:p w14:paraId="6700125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08CB98E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12</w:t>
            </w:r>
          </w:p>
        </w:tc>
        <w:tc>
          <w:tcPr>
            <w:tcW w:w="417" w:type="pct"/>
            <w:tcBorders>
              <w:top w:val="nil"/>
              <w:left w:val="nil"/>
              <w:bottom w:val="nil"/>
              <w:right w:val="nil"/>
            </w:tcBorders>
            <w:shd w:val="clear" w:color="000000" w:fill="FFFFFF"/>
            <w:noWrap/>
            <w:vAlign w:val="center"/>
            <w:hideMark/>
          </w:tcPr>
          <w:p w14:paraId="05B48EF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xml:space="preserve">                   -   </w:t>
            </w:r>
          </w:p>
        </w:tc>
        <w:tc>
          <w:tcPr>
            <w:tcW w:w="50" w:type="pct"/>
            <w:tcBorders>
              <w:top w:val="nil"/>
              <w:left w:val="nil"/>
              <w:bottom w:val="nil"/>
              <w:right w:val="nil"/>
            </w:tcBorders>
            <w:shd w:val="clear" w:color="000000" w:fill="FFFFFF"/>
            <w:noWrap/>
            <w:vAlign w:val="center"/>
            <w:hideMark/>
          </w:tcPr>
          <w:p w14:paraId="7ADE299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7ED9F94" w14:textId="4661560C" w:rsidR="00D40091" w:rsidRPr="00D40091" w:rsidRDefault="00D40091" w:rsidP="00A31378">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50" w:type="pct"/>
            <w:tcBorders>
              <w:top w:val="nil"/>
              <w:left w:val="nil"/>
              <w:bottom w:val="nil"/>
              <w:right w:val="nil"/>
            </w:tcBorders>
            <w:shd w:val="clear" w:color="000000" w:fill="FFFFFF"/>
            <w:noWrap/>
            <w:vAlign w:val="center"/>
            <w:hideMark/>
          </w:tcPr>
          <w:p w14:paraId="320FCD0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33869D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46414C1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2104F1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56B8000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BE6B78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D1AC65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7373EB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39617DE0" w14:textId="77777777" w:rsidTr="00AA502F">
        <w:trPr>
          <w:trHeight w:val="315"/>
        </w:trPr>
        <w:tc>
          <w:tcPr>
            <w:tcW w:w="1073" w:type="pct"/>
            <w:tcBorders>
              <w:top w:val="nil"/>
              <w:left w:val="nil"/>
              <w:bottom w:val="nil"/>
              <w:right w:val="nil"/>
            </w:tcBorders>
            <w:shd w:val="clear" w:color="000000" w:fill="FFFFFF"/>
            <w:noWrap/>
            <w:vAlign w:val="center"/>
            <w:hideMark/>
          </w:tcPr>
          <w:p w14:paraId="15C9437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52DF5E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2F3ECE2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177742A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5543BE2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22E2C9B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16057E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8181EA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705C539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20FEC14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6849DEA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74F0151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396624C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1E9E48F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7BAD4F82" w14:textId="77777777" w:rsidTr="00AA502F">
        <w:trPr>
          <w:trHeight w:val="315"/>
        </w:trPr>
        <w:tc>
          <w:tcPr>
            <w:tcW w:w="1073" w:type="pct"/>
            <w:tcBorders>
              <w:top w:val="nil"/>
              <w:left w:val="nil"/>
              <w:bottom w:val="nil"/>
              <w:right w:val="nil"/>
            </w:tcBorders>
            <w:shd w:val="clear" w:color="000000" w:fill="FFFFFF"/>
            <w:noWrap/>
            <w:vAlign w:val="center"/>
            <w:hideMark/>
          </w:tcPr>
          <w:p w14:paraId="6C26CDEB"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TOTAL DO ATIVO</w:t>
            </w:r>
          </w:p>
        </w:tc>
        <w:tc>
          <w:tcPr>
            <w:tcW w:w="50" w:type="pct"/>
            <w:tcBorders>
              <w:top w:val="nil"/>
              <w:left w:val="nil"/>
              <w:bottom w:val="nil"/>
              <w:right w:val="nil"/>
            </w:tcBorders>
            <w:shd w:val="clear" w:color="000000" w:fill="FFFFFF"/>
            <w:noWrap/>
            <w:vAlign w:val="center"/>
            <w:hideMark/>
          </w:tcPr>
          <w:p w14:paraId="27B69E84"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355" w:type="pct"/>
            <w:tcBorders>
              <w:top w:val="nil"/>
              <w:left w:val="nil"/>
              <w:bottom w:val="nil"/>
              <w:right w:val="nil"/>
            </w:tcBorders>
            <w:shd w:val="clear" w:color="000000" w:fill="FFFFFF"/>
            <w:noWrap/>
            <w:vAlign w:val="center"/>
            <w:hideMark/>
          </w:tcPr>
          <w:p w14:paraId="23EC0865"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417" w:type="pct"/>
            <w:tcBorders>
              <w:top w:val="nil"/>
              <w:left w:val="nil"/>
              <w:bottom w:val="single" w:sz="4" w:space="0" w:color="auto"/>
              <w:right w:val="nil"/>
            </w:tcBorders>
            <w:shd w:val="clear" w:color="000000" w:fill="FFFFFF"/>
            <w:noWrap/>
            <w:vAlign w:val="center"/>
            <w:hideMark/>
          </w:tcPr>
          <w:p w14:paraId="310AC762" w14:textId="77777777" w:rsidR="00D40091" w:rsidRPr="00A31378" w:rsidRDefault="00D40091" w:rsidP="00AA502F">
            <w:pPr>
              <w:spacing w:line="240" w:lineRule="auto"/>
              <w:jc w:val="right"/>
              <w:rPr>
                <w:rFonts w:ascii="Arial" w:hAnsi="Arial" w:cs="Arial"/>
                <w:b/>
                <w:bCs/>
                <w:color w:val="000000"/>
                <w:sz w:val="16"/>
                <w:szCs w:val="16"/>
              </w:rPr>
            </w:pPr>
            <w:r w:rsidRPr="00A31378">
              <w:rPr>
                <w:rFonts w:ascii="Arial" w:hAnsi="Arial" w:cs="Arial"/>
                <w:b/>
                <w:bCs/>
                <w:color w:val="000000"/>
                <w:sz w:val="16"/>
                <w:szCs w:val="16"/>
              </w:rPr>
              <w:t>363.715.158</w:t>
            </w:r>
          </w:p>
        </w:tc>
        <w:tc>
          <w:tcPr>
            <w:tcW w:w="50" w:type="pct"/>
            <w:tcBorders>
              <w:top w:val="nil"/>
              <w:left w:val="nil"/>
              <w:bottom w:val="nil"/>
              <w:right w:val="nil"/>
            </w:tcBorders>
            <w:shd w:val="clear" w:color="000000" w:fill="FFFFFF"/>
            <w:noWrap/>
            <w:vAlign w:val="center"/>
            <w:hideMark/>
          </w:tcPr>
          <w:p w14:paraId="058FD964" w14:textId="77777777" w:rsidR="00D40091" w:rsidRPr="00A31378" w:rsidRDefault="00D40091" w:rsidP="00AA502F">
            <w:pPr>
              <w:spacing w:line="240" w:lineRule="auto"/>
              <w:jc w:val="center"/>
              <w:rPr>
                <w:rFonts w:ascii="Arial" w:hAnsi="Arial" w:cs="Arial"/>
                <w:b/>
                <w:bCs/>
                <w:color w:val="000000"/>
                <w:sz w:val="16"/>
                <w:szCs w:val="16"/>
              </w:rPr>
            </w:pPr>
            <w:r w:rsidRPr="00A31378">
              <w:rPr>
                <w:rFonts w:ascii="Arial" w:hAnsi="Arial" w:cs="Arial"/>
                <w:b/>
                <w:bCs/>
                <w:color w:val="000000"/>
                <w:sz w:val="16"/>
                <w:szCs w:val="16"/>
              </w:rPr>
              <w:t> </w:t>
            </w:r>
          </w:p>
        </w:tc>
        <w:tc>
          <w:tcPr>
            <w:tcW w:w="329" w:type="pct"/>
            <w:tcBorders>
              <w:top w:val="nil"/>
              <w:left w:val="nil"/>
              <w:bottom w:val="single" w:sz="4" w:space="0" w:color="auto"/>
              <w:right w:val="nil"/>
            </w:tcBorders>
            <w:shd w:val="clear" w:color="000000" w:fill="FFFFFF"/>
            <w:noWrap/>
            <w:vAlign w:val="center"/>
            <w:hideMark/>
          </w:tcPr>
          <w:p w14:paraId="7A937C2F" w14:textId="77777777" w:rsidR="00D40091" w:rsidRPr="00A31378" w:rsidRDefault="00D40091" w:rsidP="00AA502F">
            <w:pPr>
              <w:spacing w:line="240" w:lineRule="auto"/>
              <w:jc w:val="right"/>
              <w:rPr>
                <w:rFonts w:ascii="Arial" w:hAnsi="Arial" w:cs="Arial"/>
                <w:b/>
                <w:bCs/>
                <w:color w:val="000000"/>
                <w:sz w:val="16"/>
                <w:szCs w:val="16"/>
              </w:rPr>
            </w:pPr>
            <w:r w:rsidRPr="00A31378">
              <w:rPr>
                <w:rFonts w:ascii="Arial" w:hAnsi="Arial" w:cs="Arial"/>
                <w:b/>
                <w:bCs/>
                <w:color w:val="000000"/>
                <w:sz w:val="16"/>
                <w:szCs w:val="16"/>
              </w:rPr>
              <w:t>334.472.508</w:t>
            </w:r>
          </w:p>
        </w:tc>
        <w:tc>
          <w:tcPr>
            <w:tcW w:w="50" w:type="pct"/>
            <w:tcBorders>
              <w:top w:val="nil"/>
              <w:left w:val="nil"/>
              <w:bottom w:val="nil"/>
              <w:right w:val="nil"/>
            </w:tcBorders>
            <w:shd w:val="clear" w:color="000000" w:fill="FFFFFF"/>
            <w:noWrap/>
            <w:vAlign w:val="center"/>
            <w:hideMark/>
          </w:tcPr>
          <w:p w14:paraId="07101362"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50" w:type="pct"/>
            <w:tcBorders>
              <w:top w:val="nil"/>
              <w:left w:val="nil"/>
              <w:bottom w:val="nil"/>
              <w:right w:val="nil"/>
            </w:tcBorders>
            <w:shd w:val="clear" w:color="000000" w:fill="FFFFFF"/>
            <w:noWrap/>
            <w:vAlign w:val="center"/>
            <w:hideMark/>
          </w:tcPr>
          <w:p w14:paraId="0EC4574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357" w:type="pct"/>
            <w:tcBorders>
              <w:top w:val="nil"/>
              <w:left w:val="nil"/>
              <w:bottom w:val="nil"/>
              <w:right w:val="nil"/>
            </w:tcBorders>
            <w:shd w:val="clear" w:color="000000" w:fill="FFFFFF"/>
            <w:noWrap/>
            <w:vAlign w:val="center"/>
            <w:hideMark/>
          </w:tcPr>
          <w:p w14:paraId="1D549C2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TOTAL DO </w:t>
            </w:r>
            <w:proofErr w:type="gramStart"/>
            <w:r w:rsidRPr="00D40091">
              <w:rPr>
                <w:rFonts w:ascii="Arial" w:hAnsi="Arial" w:cs="Arial"/>
                <w:b/>
                <w:bCs/>
                <w:color w:val="000000"/>
                <w:sz w:val="18"/>
                <w:szCs w:val="18"/>
              </w:rPr>
              <w:t>PASSIVO  E</w:t>
            </w:r>
            <w:proofErr w:type="gramEnd"/>
            <w:r w:rsidRPr="00D40091">
              <w:rPr>
                <w:rFonts w:ascii="Arial" w:hAnsi="Arial" w:cs="Arial"/>
                <w:b/>
                <w:bCs/>
                <w:color w:val="000000"/>
                <w:sz w:val="18"/>
                <w:szCs w:val="18"/>
              </w:rPr>
              <w:t xml:space="preserve"> DO PATRIMÔNIO LIQUIDO</w:t>
            </w:r>
          </w:p>
        </w:tc>
        <w:tc>
          <w:tcPr>
            <w:tcW w:w="50" w:type="pct"/>
            <w:tcBorders>
              <w:top w:val="nil"/>
              <w:left w:val="nil"/>
              <w:bottom w:val="nil"/>
              <w:right w:val="nil"/>
            </w:tcBorders>
            <w:shd w:val="clear" w:color="000000" w:fill="FFFFFF"/>
            <w:noWrap/>
            <w:vAlign w:val="center"/>
            <w:hideMark/>
          </w:tcPr>
          <w:p w14:paraId="51F8475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375" w:type="pct"/>
            <w:tcBorders>
              <w:top w:val="nil"/>
              <w:left w:val="nil"/>
              <w:bottom w:val="nil"/>
              <w:right w:val="nil"/>
            </w:tcBorders>
            <w:shd w:val="clear" w:color="000000" w:fill="FFFFFF"/>
            <w:noWrap/>
            <w:vAlign w:val="center"/>
            <w:hideMark/>
          </w:tcPr>
          <w:p w14:paraId="3CD571AE"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417" w:type="pct"/>
            <w:tcBorders>
              <w:top w:val="nil"/>
              <w:left w:val="nil"/>
              <w:bottom w:val="single" w:sz="4" w:space="0" w:color="auto"/>
              <w:right w:val="nil"/>
            </w:tcBorders>
            <w:shd w:val="clear" w:color="000000" w:fill="FFFFFF"/>
            <w:noWrap/>
            <w:vAlign w:val="center"/>
            <w:hideMark/>
          </w:tcPr>
          <w:p w14:paraId="6376E5F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      363.715.158 </w:t>
            </w:r>
          </w:p>
        </w:tc>
        <w:tc>
          <w:tcPr>
            <w:tcW w:w="50" w:type="pct"/>
            <w:tcBorders>
              <w:top w:val="nil"/>
              <w:left w:val="nil"/>
              <w:bottom w:val="nil"/>
              <w:right w:val="nil"/>
            </w:tcBorders>
            <w:shd w:val="clear" w:color="000000" w:fill="FFFFFF"/>
            <w:noWrap/>
            <w:vAlign w:val="center"/>
            <w:hideMark/>
          </w:tcPr>
          <w:p w14:paraId="6361390D"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375" w:type="pct"/>
            <w:tcBorders>
              <w:top w:val="nil"/>
              <w:left w:val="nil"/>
              <w:bottom w:val="single" w:sz="4" w:space="0" w:color="auto"/>
              <w:right w:val="nil"/>
            </w:tcBorders>
            <w:shd w:val="clear" w:color="000000" w:fill="FFFFFF"/>
            <w:noWrap/>
            <w:vAlign w:val="center"/>
            <w:hideMark/>
          </w:tcPr>
          <w:p w14:paraId="23D69F6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   334.472.508 </w:t>
            </w:r>
          </w:p>
        </w:tc>
      </w:tr>
      <w:tr w:rsidR="00A31378" w:rsidRPr="00D40091" w14:paraId="1704C1D8" w14:textId="77777777" w:rsidTr="00AA502F">
        <w:trPr>
          <w:trHeight w:val="315"/>
        </w:trPr>
        <w:tc>
          <w:tcPr>
            <w:tcW w:w="1073" w:type="pct"/>
            <w:tcBorders>
              <w:top w:val="nil"/>
              <w:left w:val="nil"/>
              <w:bottom w:val="nil"/>
              <w:right w:val="nil"/>
            </w:tcBorders>
            <w:shd w:val="clear" w:color="000000" w:fill="FFFFFF"/>
            <w:noWrap/>
            <w:vAlign w:val="center"/>
            <w:hideMark/>
          </w:tcPr>
          <w:p w14:paraId="42D0376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8EAF43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78A6B9F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2F3A15F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269BD0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0D86CCD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076DB05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6120D9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4D9F03A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85B522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126B055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2EB7F74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629531A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109DF67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25C87D8B" w14:textId="77777777" w:rsidTr="00AA502F">
        <w:trPr>
          <w:trHeight w:val="315"/>
        </w:trPr>
        <w:tc>
          <w:tcPr>
            <w:tcW w:w="1895" w:type="pct"/>
            <w:gridSpan w:val="4"/>
            <w:tcBorders>
              <w:top w:val="nil"/>
              <w:left w:val="nil"/>
              <w:bottom w:val="single" w:sz="4" w:space="0" w:color="auto"/>
              <w:right w:val="nil"/>
            </w:tcBorders>
            <w:shd w:val="clear" w:color="000000" w:fill="FFFFFF"/>
            <w:noWrap/>
            <w:vAlign w:val="center"/>
            <w:hideMark/>
          </w:tcPr>
          <w:p w14:paraId="2C8D3F0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As notas explicativas são parte integrante das demonstrações contábeis  </w:t>
            </w:r>
          </w:p>
        </w:tc>
        <w:tc>
          <w:tcPr>
            <w:tcW w:w="50" w:type="pct"/>
            <w:tcBorders>
              <w:top w:val="nil"/>
              <w:left w:val="nil"/>
              <w:bottom w:val="single" w:sz="4" w:space="0" w:color="auto"/>
              <w:right w:val="nil"/>
            </w:tcBorders>
            <w:shd w:val="clear" w:color="000000" w:fill="FFFFFF"/>
            <w:noWrap/>
            <w:vAlign w:val="center"/>
            <w:hideMark/>
          </w:tcPr>
          <w:p w14:paraId="41B8CFC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29" w:type="pct"/>
            <w:tcBorders>
              <w:top w:val="nil"/>
              <w:left w:val="nil"/>
              <w:bottom w:val="single" w:sz="4" w:space="0" w:color="auto"/>
              <w:right w:val="nil"/>
            </w:tcBorders>
            <w:shd w:val="clear" w:color="000000" w:fill="FFFFFF"/>
            <w:noWrap/>
            <w:vAlign w:val="center"/>
            <w:hideMark/>
          </w:tcPr>
          <w:p w14:paraId="6A08015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single" w:sz="4" w:space="0" w:color="auto"/>
              <w:right w:val="nil"/>
            </w:tcBorders>
            <w:shd w:val="clear" w:color="000000" w:fill="FFFFFF"/>
            <w:noWrap/>
            <w:vAlign w:val="center"/>
            <w:hideMark/>
          </w:tcPr>
          <w:p w14:paraId="502991E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single" w:sz="4" w:space="0" w:color="auto"/>
              <w:right w:val="nil"/>
            </w:tcBorders>
            <w:shd w:val="clear" w:color="000000" w:fill="FFFFFF"/>
            <w:noWrap/>
            <w:vAlign w:val="center"/>
            <w:hideMark/>
          </w:tcPr>
          <w:p w14:paraId="65CFE09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single" w:sz="4" w:space="0" w:color="auto"/>
              <w:right w:val="nil"/>
            </w:tcBorders>
            <w:shd w:val="clear" w:color="000000" w:fill="FFFFFF"/>
            <w:noWrap/>
            <w:vAlign w:val="center"/>
            <w:hideMark/>
          </w:tcPr>
          <w:p w14:paraId="72E853E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single" w:sz="4" w:space="0" w:color="auto"/>
              <w:right w:val="nil"/>
            </w:tcBorders>
            <w:shd w:val="clear" w:color="000000" w:fill="FFFFFF"/>
            <w:noWrap/>
            <w:vAlign w:val="center"/>
            <w:hideMark/>
          </w:tcPr>
          <w:p w14:paraId="55E89F1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single" w:sz="4" w:space="0" w:color="auto"/>
              <w:right w:val="nil"/>
            </w:tcBorders>
            <w:shd w:val="clear" w:color="000000" w:fill="FFFFFF"/>
            <w:noWrap/>
            <w:vAlign w:val="center"/>
            <w:hideMark/>
          </w:tcPr>
          <w:p w14:paraId="582BEFB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single" w:sz="4" w:space="0" w:color="auto"/>
              <w:right w:val="nil"/>
            </w:tcBorders>
            <w:shd w:val="clear" w:color="000000" w:fill="FFFFFF"/>
            <w:noWrap/>
            <w:vAlign w:val="center"/>
            <w:hideMark/>
          </w:tcPr>
          <w:p w14:paraId="2898792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single" w:sz="4" w:space="0" w:color="auto"/>
              <w:right w:val="nil"/>
            </w:tcBorders>
            <w:shd w:val="clear" w:color="000000" w:fill="FFFFFF"/>
            <w:noWrap/>
            <w:vAlign w:val="center"/>
            <w:hideMark/>
          </w:tcPr>
          <w:p w14:paraId="7C6CAB0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single" w:sz="4" w:space="0" w:color="auto"/>
              <w:right w:val="nil"/>
            </w:tcBorders>
            <w:shd w:val="clear" w:color="000000" w:fill="FFFFFF"/>
            <w:noWrap/>
            <w:vAlign w:val="center"/>
            <w:hideMark/>
          </w:tcPr>
          <w:p w14:paraId="6FEB026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5171C0DE" w14:textId="77777777" w:rsidTr="00AA502F">
        <w:trPr>
          <w:trHeight w:val="315"/>
        </w:trPr>
        <w:tc>
          <w:tcPr>
            <w:tcW w:w="1073" w:type="pct"/>
            <w:tcBorders>
              <w:top w:val="nil"/>
              <w:left w:val="nil"/>
              <w:bottom w:val="nil"/>
              <w:right w:val="nil"/>
            </w:tcBorders>
            <w:shd w:val="clear" w:color="000000" w:fill="FFFFFF"/>
            <w:noWrap/>
            <w:vAlign w:val="center"/>
            <w:hideMark/>
          </w:tcPr>
          <w:p w14:paraId="1784F9A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636AC32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55" w:type="pct"/>
            <w:tcBorders>
              <w:top w:val="nil"/>
              <w:left w:val="nil"/>
              <w:bottom w:val="nil"/>
              <w:right w:val="nil"/>
            </w:tcBorders>
            <w:shd w:val="clear" w:color="000000" w:fill="FFFFFF"/>
            <w:noWrap/>
            <w:vAlign w:val="center"/>
            <w:hideMark/>
          </w:tcPr>
          <w:p w14:paraId="11CC90B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FD7CFF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4552CFC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29" w:type="pct"/>
            <w:tcBorders>
              <w:top w:val="nil"/>
              <w:left w:val="nil"/>
              <w:bottom w:val="nil"/>
              <w:right w:val="nil"/>
            </w:tcBorders>
            <w:shd w:val="clear" w:color="000000" w:fill="FFFFFF"/>
            <w:noWrap/>
            <w:vAlign w:val="center"/>
            <w:hideMark/>
          </w:tcPr>
          <w:p w14:paraId="14FA38C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5E5FD25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D158D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5EEDD9C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5C854C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5169139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47212B4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5E86D93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76485F0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03009D42" w14:textId="77777777" w:rsidTr="00AA502F">
        <w:trPr>
          <w:trHeight w:val="315"/>
        </w:trPr>
        <w:tc>
          <w:tcPr>
            <w:tcW w:w="1073" w:type="pct"/>
            <w:tcBorders>
              <w:top w:val="nil"/>
              <w:left w:val="nil"/>
              <w:bottom w:val="nil"/>
              <w:right w:val="nil"/>
            </w:tcBorders>
            <w:shd w:val="clear" w:color="000000" w:fill="FFFFFF"/>
            <w:noWrap/>
            <w:vAlign w:val="center"/>
            <w:hideMark/>
          </w:tcPr>
          <w:p w14:paraId="1400E948"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50" w:type="pct"/>
            <w:tcBorders>
              <w:top w:val="nil"/>
              <w:left w:val="nil"/>
              <w:bottom w:val="nil"/>
              <w:right w:val="nil"/>
            </w:tcBorders>
            <w:shd w:val="clear" w:color="000000" w:fill="FFFFFF"/>
            <w:noWrap/>
            <w:vAlign w:val="center"/>
            <w:hideMark/>
          </w:tcPr>
          <w:p w14:paraId="02022077"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55" w:type="pct"/>
            <w:tcBorders>
              <w:top w:val="nil"/>
              <w:left w:val="nil"/>
              <w:bottom w:val="nil"/>
              <w:right w:val="nil"/>
            </w:tcBorders>
            <w:shd w:val="clear" w:color="000000" w:fill="FFFFFF"/>
            <w:noWrap/>
            <w:vAlign w:val="center"/>
            <w:hideMark/>
          </w:tcPr>
          <w:p w14:paraId="26A4164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7FF7593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4F2779E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29" w:type="pct"/>
            <w:tcBorders>
              <w:top w:val="nil"/>
              <w:left w:val="nil"/>
              <w:bottom w:val="nil"/>
              <w:right w:val="nil"/>
            </w:tcBorders>
            <w:shd w:val="clear" w:color="000000" w:fill="FFFFFF"/>
            <w:noWrap/>
            <w:vAlign w:val="center"/>
            <w:hideMark/>
          </w:tcPr>
          <w:p w14:paraId="387BD5B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1C224E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00D479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6881529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44B363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146AB18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5C290C3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2DC7609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54D1784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55C3C9AF" w14:textId="77777777" w:rsidTr="00AA502F">
        <w:trPr>
          <w:trHeight w:val="315"/>
        </w:trPr>
        <w:tc>
          <w:tcPr>
            <w:tcW w:w="1073" w:type="pct"/>
            <w:tcBorders>
              <w:top w:val="nil"/>
              <w:left w:val="nil"/>
              <w:bottom w:val="nil"/>
              <w:right w:val="nil"/>
            </w:tcBorders>
            <w:shd w:val="clear" w:color="000000" w:fill="FFFFFF"/>
            <w:noWrap/>
            <w:vAlign w:val="center"/>
            <w:hideMark/>
          </w:tcPr>
          <w:p w14:paraId="499D8F71"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50" w:type="pct"/>
            <w:tcBorders>
              <w:top w:val="nil"/>
              <w:left w:val="nil"/>
              <w:bottom w:val="nil"/>
              <w:right w:val="nil"/>
            </w:tcBorders>
            <w:shd w:val="clear" w:color="000000" w:fill="FFFFFF"/>
            <w:noWrap/>
            <w:vAlign w:val="center"/>
            <w:hideMark/>
          </w:tcPr>
          <w:p w14:paraId="3C94D12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55" w:type="pct"/>
            <w:tcBorders>
              <w:top w:val="nil"/>
              <w:left w:val="nil"/>
              <w:bottom w:val="nil"/>
              <w:right w:val="nil"/>
            </w:tcBorders>
            <w:shd w:val="clear" w:color="000000" w:fill="FFFFFF"/>
            <w:noWrap/>
            <w:vAlign w:val="center"/>
            <w:hideMark/>
          </w:tcPr>
          <w:p w14:paraId="34295DC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31FF582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2BE4FD1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29" w:type="pct"/>
            <w:tcBorders>
              <w:top w:val="nil"/>
              <w:left w:val="nil"/>
              <w:bottom w:val="nil"/>
              <w:right w:val="nil"/>
            </w:tcBorders>
            <w:shd w:val="clear" w:color="000000" w:fill="FFFFFF"/>
            <w:noWrap/>
            <w:vAlign w:val="center"/>
            <w:hideMark/>
          </w:tcPr>
          <w:p w14:paraId="0ACD8AE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A55D6C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A1E09A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0D6538B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F3C9CC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5357DDF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6CEABB1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4197A2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6070784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443DE95B" w14:textId="77777777" w:rsidTr="00AA502F">
        <w:trPr>
          <w:trHeight w:val="315"/>
        </w:trPr>
        <w:tc>
          <w:tcPr>
            <w:tcW w:w="1073" w:type="pct"/>
            <w:tcBorders>
              <w:top w:val="nil"/>
              <w:left w:val="nil"/>
              <w:bottom w:val="nil"/>
              <w:right w:val="nil"/>
            </w:tcBorders>
            <w:shd w:val="clear" w:color="000000" w:fill="FFFFFF"/>
            <w:noWrap/>
            <w:vAlign w:val="center"/>
            <w:hideMark/>
          </w:tcPr>
          <w:p w14:paraId="531D22C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1FCB1A5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55" w:type="pct"/>
            <w:tcBorders>
              <w:top w:val="nil"/>
              <w:left w:val="nil"/>
              <w:bottom w:val="nil"/>
              <w:right w:val="nil"/>
            </w:tcBorders>
            <w:shd w:val="clear" w:color="000000" w:fill="FFFFFF"/>
            <w:noWrap/>
            <w:vAlign w:val="center"/>
            <w:hideMark/>
          </w:tcPr>
          <w:p w14:paraId="4DBE0F0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417" w:type="pct"/>
            <w:tcBorders>
              <w:top w:val="nil"/>
              <w:left w:val="nil"/>
              <w:bottom w:val="nil"/>
              <w:right w:val="nil"/>
            </w:tcBorders>
            <w:shd w:val="clear" w:color="000000" w:fill="FFFFFF"/>
            <w:noWrap/>
            <w:vAlign w:val="center"/>
            <w:hideMark/>
          </w:tcPr>
          <w:p w14:paraId="0F52C1A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74DBFC2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329" w:type="pct"/>
            <w:tcBorders>
              <w:top w:val="nil"/>
              <w:left w:val="nil"/>
              <w:bottom w:val="nil"/>
              <w:right w:val="nil"/>
            </w:tcBorders>
            <w:shd w:val="clear" w:color="000000" w:fill="FFFFFF"/>
            <w:noWrap/>
            <w:vAlign w:val="center"/>
            <w:hideMark/>
          </w:tcPr>
          <w:p w14:paraId="3665783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6DC21FE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000000" w:fill="FFFFFF"/>
            <w:noWrap/>
            <w:vAlign w:val="center"/>
            <w:hideMark/>
          </w:tcPr>
          <w:p w14:paraId="4B4F1B7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000000" w:fill="FFFFFF"/>
            <w:noWrap/>
            <w:vAlign w:val="center"/>
            <w:hideMark/>
          </w:tcPr>
          <w:p w14:paraId="34DE6F5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50" w:type="pct"/>
            <w:tcBorders>
              <w:top w:val="nil"/>
              <w:left w:val="nil"/>
              <w:bottom w:val="nil"/>
              <w:right w:val="nil"/>
            </w:tcBorders>
            <w:shd w:val="clear" w:color="FFFFCC" w:fill="FFFFFF"/>
            <w:noWrap/>
            <w:vAlign w:val="center"/>
            <w:hideMark/>
          </w:tcPr>
          <w:p w14:paraId="546229C8"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375" w:type="pct"/>
            <w:tcBorders>
              <w:top w:val="nil"/>
              <w:left w:val="nil"/>
              <w:bottom w:val="nil"/>
              <w:right w:val="nil"/>
            </w:tcBorders>
            <w:shd w:val="clear" w:color="FFFFCC" w:fill="FFFFFF"/>
            <w:noWrap/>
            <w:vAlign w:val="center"/>
            <w:hideMark/>
          </w:tcPr>
          <w:p w14:paraId="54E9BAF1"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417" w:type="pct"/>
            <w:tcBorders>
              <w:top w:val="nil"/>
              <w:left w:val="nil"/>
              <w:bottom w:val="nil"/>
              <w:right w:val="nil"/>
            </w:tcBorders>
            <w:shd w:val="clear" w:color="FFFFCC" w:fill="FFFFFF"/>
            <w:noWrap/>
            <w:vAlign w:val="center"/>
            <w:hideMark/>
          </w:tcPr>
          <w:p w14:paraId="25B58EDD"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50" w:type="pct"/>
            <w:tcBorders>
              <w:top w:val="nil"/>
              <w:left w:val="nil"/>
              <w:bottom w:val="nil"/>
              <w:right w:val="nil"/>
            </w:tcBorders>
            <w:shd w:val="clear" w:color="FFFFCC" w:fill="FFFFFF"/>
            <w:noWrap/>
            <w:vAlign w:val="center"/>
            <w:hideMark/>
          </w:tcPr>
          <w:p w14:paraId="4136698F"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375" w:type="pct"/>
            <w:tcBorders>
              <w:top w:val="nil"/>
              <w:left w:val="nil"/>
              <w:bottom w:val="nil"/>
              <w:right w:val="nil"/>
            </w:tcBorders>
            <w:shd w:val="clear" w:color="FFFFCC" w:fill="FFFFFF"/>
            <w:noWrap/>
            <w:vAlign w:val="center"/>
            <w:hideMark/>
          </w:tcPr>
          <w:p w14:paraId="5F7C7268"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r>
      <w:tr w:rsidR="00A31378" w:rsidRPr="00D40091" w14:paraId="08546F47" w14:textId="77777777" w:rsidTr="00AA502F">
        <w:trPr>
          <w:trHeight w:val="315"/>
        </w:trPr>
        <w:tc>
          <w:tcPr>
            <w:tcW w:w="1478" w:type="pct"/>
            <w:gridSpan w:val="3"/>
            <w:tcBorders>
              <w:top w:val="nil"/>
              <w:left w:val="nil"/>
              <w:bottom w:val="nil"/>
              <w:right w:val="nil"/>
            </w:tcBorders>
            <w:shd w:val="clear" w:color="FFFFCC" w:fill="FFFFFF"/>
            <w:noWrap/>
            <w:vAlign w:val="center"/>
            <w:hideMark/>
          </w:tcPr>
          <w:p w14:paraId="162E1F4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RENATO VIEIRA PITA</w:t>
            </w:r>
          </w:p>
        </w:tc>
        <w:tc>
          <w:tcPr>
            <w:tcW w:w="417" w:type="pct"/>
            <w:tcBorders>
              <w:top w:val="nil"/>
              <w:left w:val="nil"/>
              <w:bottom w:val="nil"/>
              <w:right w:val="nil"/>
            </w:tcBorders>
            <w:shd w:val="clear" w:color="FFFFCC" w:fill="FFFFFF"/>
            <w:noWrap/>
            <w:vAlign w:val="center"/>
            <w:hideMark/>
          </w:tcPr>
          <w:p w14:paraId="0272AAC2"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50" w:type="pct"/>
            <w:tcBorders>
              <w:top w:val="nil"/>
              <w:left w:val="nil"/>
              <w:bottom w:val="nil"/>
              <w:right w:val="nil"/>
            </w:tcBorders>
            <w:shd w:val="clear" w:color="FFFFCC" w:fill="FFFFFF"/>
            <w:noWrap/>
            <w:vAlign w:val="center"/>
            <w:hideMark/>
          </w:tcPr>
          <w:p w14:paraId="040D7E4A"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329" w:type="pct"/>
            <w:tcBorders>
              <w:top w:val="nil"/>
              <w:left w:val="nil"/>
              <w:bottom w:val="nil"/>
              <w:right w:val="nil"/>
            </w:tcBorders>
            <w:shd w:val="clear" w:color="FFFFCC" w:fill="FFFFFF"/>
            <w:noWrap/>
            <w:vAlign w:val="center"/>
            <w:hideMark/>
          </w:tcPr>
          <w:p w14:paraId="14B29E00"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50" w:type="pct"/>
            <w:tcBorders>
              <w:top w:val="nil"/>
              <w:left w:val="nil"/>
              <w:bottom w:val="nil"/>
              <w:right w:val="nil"/>
            </w:tcBorders>
            <w:shd w:val="clear" w:color="FFFFCC" w:fill="FFFFFF"/>
            <w:noWrap/>
            <w:vAlign w:val="center"/>
            <w:hideMark/>
          </w:tcPr>
          <w:p w14:paraId="23642A8D"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50" w:type="pct"/>
            <w:tcBorders>
              <w:top w:val="nil"/>
              <w:left w:val="nil"/>
              <w:bottom w:val="nil"/>
              <w:right w:val="nil"/>
            </w:tcBorders>
            <w:shd w:val="clear" w:color="000000" w:fill="FFFFFF"/>
            <w:noWrap/>
            <w:vAlign w:val="center"/>
            <w:hideMark/>
          </w:tcPr>
          <w:p w14:paraId="54C1358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FFFFCC" w:fill="FFFFFF"/>
            <w:noWrap/>
            <w:vAlign w:val="center"/>
            <w:hideMark/>
          </w:tcPr>
          <w:p w14:paraId="132F7D7C"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MAURICIO AKIHIRO MAKI</w:t>
            </w:r>
          </w:p>
        </w:tc>
        <w:tc>
          <w:tcPr>
            <w:tcW w:w="50" w:type="pct"/>
            <w:tcBorders>
              <w:top w:val="nil"/>
              <w:left w:val="nil"/>
              <w:bottom w:val="nil"/>
              <w:right w:val="nil"/>
            </w:tcBorders>
            <w:shd w:val="clear" w:color="FFFFCC" w:fill="FFFFFF"/>
            <w:noWrap/>
            <w:vAlign w:val="center"/>
            <w:hideMark/>
          </w:tcPr>
          <w:p w14:paraId="1FEDBC6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FFFFCC" w:fill="FFFFFF"/>
            <w:noWrap/>
            <w:vAlign w:val="center"/>
            <w:hideMark/>
          </w:tcPr>
          <w:p w14:paraId="7E61009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FFFFCC" w:fill="FFFFFF"/>
            <w:noWrap/>
            <w:vAlign w:val="center"/>
            <w:hideMark/>
          </w:tcPr>
          <w:p w14:paraId="6A60D73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FFFFCC" w:fill="FFFFFF"/>
            <w:noWrap/>
            <w:vAlign w:val="center"/>
            <w:hideMark/>
          </w:tcPr>
          <w:p w14:paraId="202DD0C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FFFFCC" w:fill="FFFFFF"/>
            <w:noWrap/>
            <w:vAlign w:val="center"/>
            <w:hideMark/>
          </w:tcPr>
          <w:p w14:paraId="18AEE35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7108E704" w14:textId="77777777" w:rsidTr="00AA502F">
        <w:trPr>
          <w:trHeight w:val="315"/>
        </w:trPr>
        <w:tc>
          <w:tcPr>
            <w:tcW w:w="1478" w:type="pct"/>
            <w:gridSpan w:val="3"/>
            <w:tcBorders>
              <w:top w:val="nil"/>
              <w:left w:val="nil"/>
              <w:bottom w:val="nil"/>
              <w:right w:val="nil"/>
            </w:tcBorders>
            <w:shd w:val="clear" w:color="FFFFCC" w:fill="FFFFFF"/>
            <w:noWrap/>
            <w:vAlign w:val="center"/>
            <w:hideMark/>
          </w:tcPr>
          <w:p w14:paraId="2A3DB52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CONTADOR</w:t>
            </w:r>
          </w:p>
        </w:tc>
        <w:tc>
          <w:tcPr>
            <w:tcW w:w="417" w:type="pct"/>
            <w:tcBorders>
              <w:top w:val="nil"/>
              <w:left w:val="nil"/>
              <w:bottom w:val="nil"/>
              <w:right w:val="nil"/>
            </w:tcBorders>
            <w:shd w:val="clear" w:color="FFFFCC" w:fill="FFFFFF"/>
            <w:noWrap/>
            <w:vAlign w:val="center"/>
            <w:hideMark/>
          </w:tcPr>
          <w:p w14:paraId="1C5AB7F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FFFFCC" w:fill="FFFFFF"/>
            <w:noWrap/>
            <w:vAlign w:val="center"/>
            <w:hideMark/>
          </w:tcPr>
          <w:p w14:paraId="5F51283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29" w:type="pct"/>
            <w:tcBorders>
              <w:top w:val="nil"/>
              <w:left w:val="nil"/>
              <w:bottom w:val="nil"/>
              <w:right w:val="nil"/>
            </w:tcBorders>
            <w:shd w:val="clear" w:color="FFFFCC" w:fill="FFFFFF"/>
            <w:noWrap/>
            <w:vAlign w:val="center"/>
            <w:hideMark/>
          </w:tcPr>
          <w:p w14:paraId="477FE45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FFFFCC" w:fill="FFFFFF"/>
            <w:noWrap/>
            <w:vAlign w:val="center"/>
            <w:hideMark/>
          </w:tcPr>
          <w:p w14:paraId="1068108A"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034F285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FFFFCC" w:fill="FFFFFF"/>
            <w:noWrap/>
            <w:vAlign w:val="center"/>
            <w:hideMark/>
          </w:tcPr>
          <w:p w14:paraId="0ECA8F6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DIRETOR ADMINISTRATIVO FINANCEIRO</w:t>
            </w:r>
          </w:p>
        </w:tc>
        <w:tc>
          <w:tcPr>
            <w:tcW w:w="50" w:type="pct"/>
            <w:tcBorders>
              <w:top w:val="nil"/>
              <w:left w:val="nil"/>
              <w:bottom w:val="nil"/>
              <w:right w:val="nil"/>
            </w:tcBorders>
            <w:shd w:val="clear" w:color="FFFFCC" w:fill="FFFFFF"/>
            <w:noWrap/>
            <w:vAlign w:val="center"/>
            <w:hideMark/>
          </w:tcPr>
          <w:p w14:paraId="0BEB61E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FFFFCC" w:fill="FFFFFF"/>
            <w:noWrap/>
            <w:vAlign w:val="center"/>
            <w:hideMark/>
          </w:tcPr>
          <w:p w14:paraId="6018518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FFFFCC" w:fill="FFFFFF"/>
            <w:noWrap/>
            <w:vAlign w:val="center"/>
            <w:hideMark/>
          </w:tcPr>
          <w:p w14:paraId="1FFBB99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FFFFCC" w:fill="FFFFFF"/>
            <w:noWrap/>
            <w:vAlign w:val="center"/>
            <w:hideMark/>
          </w:tcPr>
          <w:p w14:paraId="170C067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FFFFCC" w:fill="FFFFFF"/>
            <w:noWrap/>
            <w:vAlign w:val="center"/>
            <w:hideMark/>
          </w:tcPr>
          <w:p w14:paraId="4360BB9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r w:rsidR="00A31378" w:rsidRPr="00D40091" w14:paraId="0588D952" w14:textId="77777777" w:rsidTr="00AA502F">
        <w:trPr>
          <w:trHeight w:val="315"/>
        </w:trPr>
        <w:tc>
          <w:tcPr>
            <w:tcW w:w="1478" w:type="pct"/>
            <w:gridSpan w:val="3"/>
            <w:tcBorders>
              <w:top w:val="nil"/>
              <w:left w:val="nil"/>
              <w:bottom w:val="nil"/>
              <w:right w:val="nil"/>
            </w:tcBorders>
            <w:shd w:val="clear" w:color="FFFFCC" w:fill="FFFFFF"/>
            <w:noWrap/>
            <w:vAlign w:val="center"/>
            <w:hideMark/>
          </w:tcPr>
          <w:p w14:paraId="7D9384E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CRC 1SP215876/O-8/SP</w:t>
            </w:r>
          </w:p>
        </w:tc>
        <w:tc>
          <w:tcPr>
            <w:tcW w:w="417" w:type="pct"/>
            <w:tcBorders>
              <w:top w:val="nil"/>
              <w:left w:val="nil"/>
              <w:bottom w:val="nil"/>
              <w:right w:val="nil"/>
            </w:tcBorders>
            <w:shd w:val="clear" w:color="FFFFCC" w:fill="FFFFFF"/>
            <w:noWrap/>
            <w:vAlign w:val="center"/>
            <w:hideMark/>
          </w:tcPr>
          <w:p w14:paraId="1F5D927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FFFFCC" w:fill="FFFFFF"/>
            <w:noWrap/>
            <w:vAlign w:val="center"/>
            <w:hideMark/>
          </w:tcPr>
          <w:p w14:paraId="63C8BA4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329" w:type="pct"/>
            <w:tcBorders>
              <w:top w:val="nil"/>
              <w:left w:val="nil"/>
              <w:bottom w:val="nil"/>
              <w:right w:val="nil"/>
            </w:tcBorders>
            <w:shd w:val="clear" w:color="FFFFCC" w:fill="FFFFFF"/>
            <w:noWrap/>
            <w:vAlign w:val="center"/>
            <w:hideMark/>
          </w:tcPr>
          <w:p w14:paraId="269EB725"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FFFFCC" w:fill="FFFFFF"/>
            <w:noWrap/>
            <w:vAlign w:val="center"/>
            <w:hideMark/>
          </w:tcPr>
          <w:p w14:paraId="31E4C44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3049EC3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57" w:type="pct"/>
            <w:tcBorders>
              <w:top w:val="nil"/>
              <w:left w:val="nil"/>
              <w:bottom w:val="nil"/>
              <w:right w:val="nil"/>
            </w:tcBorders>
            <w:shd w:val="clear" w:color="FFFFCC" w:fill="FFFFFF"/>
            <w:noWrap/>
            <w:vAlign w:val="center"/>
            <w:hideMark/>
          </w:tcPr>
          <w:p w14:paraId="1EF71A4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CPF: 219.593.858-79</w:t>
            </w:r>
          </w:p>
        </w:tc>
        <w:tc>
          <w:tcPr>
            <w:tcW w:w="50" w:type="pct"/>
            <w:tcBorders>
              <w:top w:val="nil"/>
              <w:left w:val="nil"/>
              <w:bottom w:val="nil"/>
              <w:right w:val="nil"/>
            </w:tcBorders>
            <w:shd w:val="clear" w:color="000000" w:fill="FFFFFF"/>
            <w:noWrap/>
            <w:vAlign w:val="center"/>
            <w:hideMark/>
          </w:tcPr>
          <w:p w14:paraId="08B8B12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375" w:type="pct"/>
            <w:tcBorders>
              <w:top w:val="nil"/>
              <w:left w:val="nil"/>
              <w:bottom w:val="nil"/>
              <w:right w:val="nil"/>
            </w:tcBorders>
            <w:shd w:val="clear" w:color="000000" w:fill="FFFFFF"/>
            <w:noWrap/>
            <w:vAlign w:val="center"/>
            <w:hideMark/>
          </w:tcPr>
          <w:p w14:paraId="3071BD7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417" w:type="pct"/>
            <w:tcBorders>
              <w:top w:val="nil"/>
              <w:left w:val="nil"/>
              <w:bottom w:val="nil"/>
              <w:right w:val="nil"/>
            </w:tcBorders>
            <w:shd w:val="clear" w:color="000000" w:fill="FFFFFF"/>
            <w:noWrap/>
            <w:vAlign w:val="center"/>
            <w:hideMark/>
          </w:tcPr>
          <w:p w14:paraId="167EB8A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50" w:type="pct"/>
            <w:tcBorders>
              <w:top w:val="nil"/>
              <w:left w:val="nil"/>
              <w:bottom w:val="nil"/>
              <w:right w:val="nil"/>
            </w:tcBorders>
            <w:shd w:val="clear" w:color="000000" w:fill="FFFFFF"/>
            <w:noWrap/>
            <w:vAlign w:val="center"/>
            <w:hideMark/>
          </w:tcPr>
          <w:p w14:paraId="167EB58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75" w:type="pct"/>
            <w:tcBorders>
              <w:top w:val="nil"/>
              <w:left w:val="nil"/>
              <w:bottom w:val="nil"/>
              <w:right w:val="nil"/>
            </w:tcBorders>
            <w:shd w:val="clear" w:color="000000" w:fill="FFFFFF"/>
            <w:noWrap/>
            <w:vAlign w:val="center"/>
            <w:hideMark/>
          </w:tcPr>
          <w:p w14:paraId="16062A1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r>
    </w:tbl>
    <w:p w14:paraId="6E05DE07" w14:textId="77777777" w:rsidR="00D40091" w:rsidRPr="00D40091" w:rsidRDefault="00D40091" w:rsidP="00D40091">
      <w:pPr>
        <w:rPr>
          <w:rFonts w:ascii="Arial" w:hAnsi="Arial" w:cs="Arial"/>
          <w:sz w:val="18"/>
          <w:szCs w:val="18"/>
        </w:rPr>
      </w:pPr>
      <w:r w:rsidRPr="00D40091">
        <w:rPr>
          <w:rFonts w:ascii="Arial" w:hAnsi="Arial" w:cs="Arial"/>
          <w:sz w:val="18"/>
          <w:szCs w:val="18"/>
        </w:rPr>
        <w:br w:type="page"/>
      </w:r>
    </w:p>
    <w:p w14:paraId="72239811" w14:textId="77777777" w:rsidR="00D40091" w:rsidRPr="00D40091" w:rsidRDefault="00D40091" w:rsidP="00D40091">
      <w:pPr>
        <w:rPr>
          <w:rFonts w:ascii="Arial" w:hAnsi="Arial" w:cs="Arial"/>
          <w:sz w:val="18"/>
          <w:szCs w:val="18"/>
        </w:rPr>
      </w:pPr>
    </w:p>
    <w:tbl>
      <w:tblPr>
        <w:tblW w:w="12260" w:type="dxa"/>
        <w:tblCellMar>
          <w:left w:w="70" w:type="dxa"/>
          <w:right w:w="70" w:type="dxa"/>
        </w:tblCellMar>
        <w:tblLook w:val="04A0" w:firstRow="1" w:lastRow="0" w:firstColumn="1" w:lastColumn="0" w:noHBand="0" w:noVBand="1"/>
      </w:tblPr>
      <w:tblGrid>
        <w:gridCol w:w="4420"/>
        <w:gridCol w:w="1297"/>
        <w:gridCol w:w="196"/>
        <w:gridCol w:w="4764"/>
        <w:gridCol w:w="252"/>
        <w:gridCol w:w="1331"/>
      </w:tblGrid>
      <w:tr w:rsidR="00D40091" w:rsidRPr="00D40091" w14:paraId="0C6B86B6" w14:textId="77777777" w:rsidTr="00AA502F">
        <w:trPr>
          <w:trHeight w:val="315"/>
        </w:trPr>
        <w:tc>
          <w:tcPr>
            <w:tcW w:w="12260" w:type="dxa"/>
            <w:gridSpan w:val="6"/>
            <w:tcBorders>
              <w:top w:val="nil"/>
              <w:left w:val="nil"/>
              <w:bottom w:val="nil"/>
              <w:right w:val="nil"/>
            </w:tcBorders>
            <w:shd w:val="clear" w:color="auto" w:fill="auto"/>
            <w:noWrap/>
            <w:vAlign w:val="center"/>
            <w:hideMark/>
          </w:tcPr>
          <w:p w14:paraId="5A8DC92C"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COMPANHIA SÃO PAULO DE DESENVOLVIMENTO E MOBILIZAÇÃO DE ATIVOS - SPDA</w:t>
            </w:r>
          </w:p>
        </w:tc>
      </w:tr>
      <w:tr w:rsidR="00D40091" w:rsidRPr="00D40091" w14:paraId="65E73D69" w14:textId="77777777" w:rsidTr="00AA502F">
        <w:trPr>
          <w:trHeight w:val="315"/>
        </w:trPr>
        <w:tc>
          <w:tcPr>
            <w:tcW w:w="4420" w:type="dxa"/>
            <w:tcBorders>
              <w:top w:val="nil"/>
              <w:left w:val="nil"/>
              <w:bottom w:val="nil"/>
              <w:right w:val="nil"/>
            </w:tcBorders>
            <w:shd w:val="clear" w:color="auto" w:fill="auto"/>
            <w:noWrap/>
            <w:vAlign w:val="center"/>
            <w:hideMark/>
          </w:tcPr>
          <w:p w14:paraId="141BB2E9" w14:textId="77777777" w:rsidR="00D40091" w:rsidRPr="00D40091" w:rsidRDefault="00D40091" w:rsidP="00AA502F">
            <w:pPr>
              <w:spacing w:line="240" w:lineRule="auto"/>
              <w:rPr>
                <w:rFonts w:ascii="Arial" w:hAnsi="Arial" w:cs="Arial"/>
                <w:b/>
                <w:bCs/>
                <w:color w:val="000000"/>
                <w:sz w:val="18"/>
                <w:szCs w:val="18"/>
              </w:rPr>
            </w:pPr>
          </w:p>
        </w:tc>
        <w:tc>
          <w:tcPr>
            <w:tcW w:w="1297" w:type="dxa"/>
            <w:tcBorders>
              <w:top w:val="nil"/>
              <w:left w:val="nil"/>
              <w:bottom w:val="nil"/>
              <w:right w:val="nil"/>
            </w:tcBorders>
            <w:shd w:val="clear" w:color="auto" w:fill="auto"/>
            <w:noWrap/>
            <w:vAlign w:val="bottom"/>
            <w:hideMark/>
          </w:tcPr>
          <w:p w14:paraId="05AB505E" w14:textId="77777777" w:rsidR="00D40091" w:rsidRPr="00D40091" w:rsidRDefault="00D40091" w:rsidP="00AA502F">
            <w:pPr>
              <w:spacing w:line="240" w:lineRule="auto"/>
              <w:jc w:val="center"/>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1836D0B6"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9F19031"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13355283"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FAB3398" w14:textId="77777777" w:rsidR="00D40091" w:rsidRPr="00D40091" w:rsidRDefault="00D40091" w:rsidP="00AA502F">
            <w:pPr>
              <w:spacing w:line="240" w:lineRule="auto"/>
              <w:rPr>
                <w:rFonts w:ascii="Arial" w:hAnsi="Arial" w:cs="Arial"/>
                <w:sz w:val="18"/>
                <w:szCs w:val="18"/>
              </w:rPr>
            </w:pPr>
          </w:p>
        </w:tc>
      </w:tr>
      <w:tr w:rsidR="00D40091" w:rsidRPr="00D40091" w14:paraId="1AC499BD" w14:textId="77777777" w:rsidTr="00AA502F">
        <w:trPr>
          <w:trHeight w:val="315"/>
        </w:trPr>
        <w:tc>
          <w:tcPr>
            <w:tcW w:w="4420" w:type="dxa"/>
            <w:tcBorders>
              <w:top w:val="nil"/>
              <w:left w:val="nil"/>
              <w:bottom w:val="nil"/>
              <w:right w:val="nil"/>
            </w:tcBorders>
            <w:shd w:val="clear" w:color="auto" w:fill="auto"/>
            <w:vAlign w:val="bottom"/>
            <w:hideMark/>
          </w:tcPr>
          <w:p w14:paraId="732BD443" w14:textId="4F002031" w:rsidR="00D40091" w:rsidRPr="00D40091" w:rsidRDefault="00D40091" w:rsidP="007D6D88">
            <w:pPr>
              <w:pStyle w:val="Ttulo1"/>
              <w:rPr>
                <w:rFonts w:ascii="Arial" w:eastAsia="Times New Roman" w:hAnsi="Arial" w:cs="Arial"/>
                <w:color w:val="000000"/>
                <w:sz w:val="18"/>
                <w:szCs w:val="18"/>
              </w:rPr>
            </w:pPr>
            <w:bookmarkStart w:id="2" w:name="_Toc81581291"/>
            <w:r w:rsidRPr="00D40091">
              <w:rPr>
                <w:rFonts w:ascii="Arial" w:eastAsia="Times New Roman" w:hAnsi="Arial" w:cs="Arial"/>
                <w:color w:val="000000"/>
                <w:sz w:val="18"/>
                <w:szCs w:val="18"/>
              </w:rPr>
              <w:t>DEMONSTRAÇÃO DO RESULTADO</w:t>
            </w:r>
            <w:bookmarkEnd w:id="2"/>
            <w:r w:rsidRPr="00D40091">
              <w:rPr>
                <w:rFonts w:ascii="Arial" w:eastAsia="Times New Roman" w:hAnsi="Arial" w:cs="Arial"/>
                <w:color w:val="000000"/>
                <w:sz w:val="18"/>
                <w:szCs w:val="18"/>
              </w:rPr>
              <w:t xml:space="preserve"> </w:t>
            </w:r>
          </w:p>
        </w:tc>
        <w:tc>
          <w:tcPr>
            <w:tcW w:w="1297" w:type="dxa"/>
            <w:tcBorders>
              <w:top w:val="nil"/>
              <w:left w:val="nil"/>
              <w:bottom w:val="nil"/>
              <w:right w:val="nil"/>
            </w:tcBorders>
            <w:shd w:val="clear" w:color="auto" w:fill="auto"/>
            <w:vAlign w:val="bottom"/>
            <w:hideMark/>
          </w:tcPr>
          <w:p w14:paraId="737AF67D" w14:textId="77777777" w:rsidR="00D40091" w:rsidRPr="00D40091" w:rsidRDefault="00D40091" w:rsidP="007D6D88">
            <w:pPr>
              <w:pStyle w:val="Ttulo1"/>
              <w:rPr>
                <w:rFonts w:ascii="Arial" w:eastAsia="Times New Roman" w:hAnsi="Arial" w:cs="Arial"/>
                <w:color w:val="000000"/>
                <w:sz w:val="18"/>
                <w:szCs w:val="18"/>
              </w:rPr>
            </w:pPr>
          </w:p>
        </w:tc>
        <w:tc>
          <w:tcPr>
            <w:tcW w:w="196" w:type="dxa"/>
            <w:tcBorders>
              <w:top w:val="nil"/>
              <w:left w:val="nil"/>
              <w:bottom w:val="nil"/>
              <w:right w:val="nil"/>
            </w:tcBorders>
            <w:shd w:val="clear" w:color="auto" w:fill="auto"/>
            <w:vAlign w:val="bottom"/>
            <w:hideMark/>
          </w:tcPr>
          <w:p w14:paraId="4F4F05D5" w14:textId="77777777" w:rsidR="00D40091" w:rsidRPr="00D40091" w:rsidRDefault="00D40091" w:rsidP="007D6D88">
            <w:pPr>
              <w:pStyle w:val="Ttulo1"/>
              <w:rPr>
                <w:rFonts w:ascii="Arial" w:eastAsia="Times New Roman" w:hAnsi="Arial" w:cs="Arial"/>
                <w:sz w:val="18"/>
                <w:szCs w:val="18"/>
              </w:rPr>
            </w:pPr>
          </w:p>
        </w:tc>
        <w:tc>
          <w:tcPr>
            <w:tcW w:w="4764" w:type="dxa"/>
            <w:tcBorders>
              <w:top w:val="nil"/>
              <w:left w:val="nil"/>
              <w:bottom w:val="nil"/>
              <w:right w:val="nil"/>
            </w:tcBorders>
            <w:shd w:val="clear" w:color="auto" w:fill="auto"/>
            <w:vAlign w:val="bottom"/>
            <w:hideMark/>
          </w:tcPr>
          <w:p w14:paraId="259F8FED" w14:textId="77777777" w:rsidR="00D40091" w:rsidRPr="00D40091" w:rsidRDefault="00D40091" w:rsidP="007D6D88">
            <w:pPr>
              <w:pStyle w:val="Ttulo1"/>
              <w:rPr>
                <w:rFonts w:ascii="Arial" w:eastAsia="Times New Roman" w:hAnsi="Arial" w:cs="Arial"/>
                <w:sz w:val="18"/>
                <w:szCs w:val="18"/>
              </w:rPr>
            </w:pPr>
          </w:p>
        </w:tc>
        <w:tc>
          <w:tcPr>
            <w:tcW w:w="252" w:type="dxa"/>
            <w:tcBorders>
              <w:top w:val="nil"/>
              <w:left w:val="nil"/>
              <w:bottom w:val="nil"/>
              <w:right w:val="nil"/>
            </w:tcBorders>
            <w:shd w:val="clear" w:color="auto" w:fill="auto"/>
            <w:vAlign w:val="bottom"/>
            <w:hideMark/>
          </w:tcPr>
          <w:p w14:paraId="75613EE0" w14:textId="77777777" w:rsidR="00D40091" w:rsidRPr="00D40091" w:rsidRDefault="00D40091" w:rsidP="007D6D88">
            <w:pPr>
              <w:pStyle w:val="Ttulo1"/>
              <w:rPr>
                <w:rFonts w:ascii="Arial" w:eastAsia="Times New Roman" w:hAnsi="Arial" w:cs="Arial"/>
                <w:sz w:val="18"/>
                <w:szCs w:val="18"/>
              </w:rPr>
            </w:pPr>
          </w:p>
        </w:tc>
        <w:tc>
          <w:tcPr>
            <w:tcW w:w="1331" w:type="dxa"/>
            <w:tcBorders>
              <w:top w:val="nil"/>
              <w:left w:val="nil"/>
              <w:bottom w:val="nil"/>
              <w:right w:val="nil"/>
            </w:tcBorders>
            <w:shd w:val="clear" w:color="auto" w:fill="auto"/>
            <w:vAlign w:val="bottom"/>
            <w:hideMark/>
          </w:tcPr>
          <w:p w14:paraId="2EB61807" w14:textId="77777777" w:rsidR="00D40091" w:rsidRPr="00D40091" w:rsidRDefault="00D40091" w:rsidP="007D6D88">
            <w:pPr>
              <w:pStyle w:val="Ttulo1"/>
              <w:rPr>
                <w:rFonts w:ascii="Arial" w:eastAsia="Times New Roman" w:hAnsi="Arial" w:cs="Arial"/>
                <w:sz w:val="18"/>
                <w:szCs w:val="18"/>
              </w:rPr>
            </w:pPr>
          </w:p>
        </w:tc>
      </w:tr>
      <w:tr w:rsidR="00D40091" w:rsidRPr="00D40091" w14:paraId="62A9B676" w14:textId="77777777" w:rsidTr="00AA502F">
        <w:trPr>
          <w:trHeight w:val="315"/>
        </w:trPr>
        <w:tc>
          <w:tcPr>
            <w:tcW w:w="4420" w:type="dxa"/>
            <w:tcBorders>
              <w:top w:val="nil"/>
              <w:left w:val="nil"/>
              <w:bottom w:val="nil"/>
              <w:right w:val="nil"/>
            </w:tcBorders>
            <w:shd w:val="clear" w:color="auto" w:fill="auto"/>
            <w:noWrap/>
            <w:vAlign w:val="bottom"/>
            <w:hideMark/>
          </w:tcPr>
          <w:p w14:paraId="034AAF4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EM 31 de DEZEMBRO DE 2020 e 2019</w:t>
            </w:r>
          </w:p>
        </w:tc>
        <w:tc>
          <w:tcPr>
            <w:tcW w:w="1297" w:type="dxa"/>
            <w:tcBorders>
              <w:top w:val="nil"/>
              <w:left w:val="nil"/>
              <w:bottom w:val="nil"/>
              <w:right w:val="nil"/>
            </w:tcBorders>
            <w:shd w:val="clear" w:color="auto" w:fill="auto"/>
            <w:noWrap/>
            <w:vAlign w:val="bottom"/>
            <w:hideMark/>
          </w:tcPr>
          <w:p w14:paraId="63339C99" w14:textId="77777777" w:rsidR="00D40091" w:rsidRPr="00D40091" w:rsidRDefault="00D40091" w:rsidP="00AA502F">
            <w:pPr>
              <w:spacing w:line="240" w:lineRule="auto"/>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4E0B76F2"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8DEF8D5"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0CFCD1D5"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A0A92AC" w14:textId="77777777" w:rsidR="00D40091" w:rsidRPr="00D40091" w:rsidRDefault="00D40091" w:rsidP="00AA502F">
            <w:pPr>
              <w:spacing w:line="240" w:lineRule="auto"/>
              <w:rPr>
                <w:rFonts w:ascii="Arial" w:hAnsi="Arial" w:cs="Arial"/>
                <w:sz w:val="18"/>
                <w:szCs w:val="18"/>
              </w:rPr>
            </w:pPr>
          </w:p>
        </w:tc>
      </w:tr>
      <w:tr w:rsidR="00D40091" w:rsidRPr="00D40091" w14:paraId="41D630D5" w14:textId="77777777" w:rsidTr="00AA502F">
        <w:trPr>
          <w:trHeight w:val="315"/>
        </w:trPr>
        <w:tc>
          <w:tcPr>
            <w:tcW w:w="4420" w:type="dxa"/>
            <w:tcBorders>
              <w:top w:val="nil"/>
              <w:left w:val="nil"/>
              <w:bottom w:val="nil"/>
              <w:right w:val="nil"/>
            </w:tcBorders>
            <w:shd w:val="clear" w:color="auto" w:fill="auto"/>
            <w:noWrap/>
            <w:vAlign w:val="bottom"/>
            <w:hideMark/>
          </w:tcPr>
          <w:p w14:paraId="23C9AEE0"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0B469155"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D422812"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E080B3C"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75A3EEAF"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D08B360" w14:textId="77777777" w:rsidR="00D40091" w:rsidRPr="00D40091" w:rsidRDefault="00D40091" w:rsidP="00AA502F">
            <w:pPr>
              <w:spacing w:line="240" w:lineRule="auto"/>
              <w:rPr>
                <w:rFonts w:ascii="Arial" w:hAnsi="Arial" w:cs="Arial"/>
                <w:sz w:val="18"/>
                <w:szCs w:val="18"/>
              </w:rPr>
            </w:pPr>
          </w:p>
        </w:tc>
      </w:tr>
      <w:tr w:rsidR="00D40091" w:rsidRPr="00D40091" w14:paraId="267AFBCC" w14:textId="77777777" w:rsidTr="00AA502F">
        <w:trPr>
          <w:trHeight w:val="315"/>
        </w:trPr>
        <w:tc>
          <w:tcPr>
            <w:tcW w:w="4420" w:type="dxa"/>
            <w:tcBorders>
              <w:top w:val="nil"/>
              <w:left w:val="nil"/>
              <w:bottom w:val="single" w:sz="4" w:space="0" w:color="auto"/>
              <w:right w:val="nil"/>
            </w:tcBorders>
            <w:shd w:val="clear" w:color="auto" w:fill="auto"/>
            <w:noWrap/>
            <w:vAlign w:val="bottom"/>
            <w:hideMark/>
          </w:tcPr>
          <w:p w14:paraId="511C35B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(Valores expressos em reais R$)</w:t>
            </w:r>
          </w:p>
        </w:tc>
        <w:tc>
          <w:tcPr>
            <w:tcW w:w="1297" w:type="dxa"/>
            <w:tcBorders>
              <w:top w:val="nil"/>
              <w:left w:val="nil"/>
              <w:bottom w:val="single" w:sz="4" w:space="0" w:color="auto"/>
              <w:right w:val="nil"/>
            </w:tcBorders>
            <w:shd w:val="clear" w:color="auto" w:fill="auto"/>
            <w:noWrap/>
            <w:vAlign w:val="bottom"/>
            <w:hideMark/>
          </w:tcPr>
          <w:p w14:paraId="4246961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96" w:type="dxa"/>
            <w:tcBorders>
              <w:top w:val="nil"/>
              <w:left w:val="nil"/>
              <w:bottom w:val="single" w:sz="4" w:space="0" w:color="auto"/>
              <w:right w:val="nil"/>
            </w:tcBorders>
            <w:shd w:val="clear" w:color="auto" w:fill="auto"/>
            <w:noWrap/>
            <w:vAlign w:val="bottom"/>
            <w:hideMark/>
          </w:tcPr>
          <w:p w14:paraId="28F9931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4764" w:type="dxa"/>
            <w:tcBorders>
              <w:top w:val="nil"/>
              <w:left w:val="nil"/>
              <w:bottom w:val="single" w:sz="4" w:space="0" w:color="auto"/>
              <w:right w:val="nil"/>
            </w:tcBorders>
            <w:shd w:val="clear" w:color="auto" w:fill="auto"/>
            <w:noWrap/>
            <w:vAlign w:val="bottom"/>
            <w:hideMark/>
          </w:tcPr>
          <w:p w14:paraId="098C371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252" w:type="dxa"/>
            <w:tcBorders>
              <w:top w:val="nil"/>
              <w:left w:val="nil"/>
              <w:bottom w:val="single" w:sz="4" w:space="0" w:color="auto"/>
              <w:right w:val="nil"/>
            </w:tcBorders>
            <w:shd w:val="clear" w:color="auto" w:fill="auto"/>
            <w:noWrap/>
            <w:vAlign w:val="bottom"/>
            <w:hideMark/>
          </w:tcPr>
          <w:p w14:paraId="632B2CF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331" w:type="dxa"/>
            <w:tcBorders>
              <w:top w:val="nil"/>
              <w:left w:val="nil"/>
              <w:bottom w:val="single" w:sz="4" w:space="0" w:color="auto"/>
              <w:right w:val="nil"/>
            </w:tcBorders>
            <w:shd w:val="clear" w:color="auto" w:fill="auto"/>
            <w:noWrap/>
            <w:vAlign w:val="bottom"/>
            <w:hideMark/>
          </w:tcPr>
          <w:p w14:paraId="0A6A2E3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D40091" w:rsidRPr="00D40091" w14:paraId="64F97E2C" w14:textId="77777777" w:rsidTr="00AA502F">
        <w:trPr>
          <w:trHeight w:val="315"/>
        </w:trPr>
        <w:tc>
          <w:tcPr>
            <w:tcW w:w="4420" w:type="dxa"/>
            <w:tcBorders>
              <w:top w:val="nil"/>
              <w:left w:val="nil"/>
              <w:bottom w:val="nil"/>
              <w:right w:val="nil"/>
            </w:tcBorders>
            <w:shd w:val="clear" w:color="auto" w:fill="auto"/>
            <w:noWrap/>
            <w:vAlign w:val="bottom"/>
            <w:hideMark/>
          </w:tcPr>
          <w:p w14:paraId="571A8D76" w14:textId="77777777" w:rsidR="00D40091" w:rsidRPr="00D40091" w:rsidRDefault="00D40091" w:rsidP="00AA502F">
            <w:pPr>
              <w:spacing w:line="240" w:lineRule="auto"/>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14:paraId="30B1C53B"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EE82859"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1B60B5DA"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682D25AA"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70AD0D0" w14:textId="77777777" w:rsidR="00D40091" w:rsidRPr="00D40091" w:rsidRDefault="00D40091" w:rsidP="00AA502F">
            <w:pPr>
              <w:spacing w:line="240" w:lineRule="auto"/>
              <w:rPr>
                <w:rFonts w:ascii="Arial" w:hAnsi="Arial" w:cs="Arial"/>
                <w:sz w:val="18"/>
                <w:szCs w:val="18"/>
              </w:rPr>
            </w:pPr>
          </w:p>
        </w:tc>
      </w:tr>
      <w:tr w:rsidR="00D40091" w:rsidRPr="00D40091" w14:paraId="7508D1B1" w14:textId="77777777" w:rsidTr="00AA502F">
        <w:trPr>
          <w:trHeight w:val="315"/>
        </w:trPr>
        <w:tc>
          <w:tcPr>
            <w:tcW w:w="4420" w:type="dxa"/>
            <w:tcBorders>
              <w:top w:val="nil"/>
              <w:left w:val="nil"/>
              <w:bottom w:val="nil"/>
              <w:right w:val="nil"/>
            </w:tcBorders>
            <w:shd w:val="clear" w:color="auto" w:fill="auto"/>
            <w:noWrap/>
            <w:vAlign w:val="bottom"/>
            <w:hideMark/>
          </w:tcPr>
          <w:p w14:paraId="526A4A2E"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52ACABA3"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45417FC1"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CCEEC65"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294FE45D"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8F89F6B" w14:textId="77777777" w:rsidR="00D40091" w:rsidRPr="00D40091" w:rsidRDefault="00D40091" w:rsidP="00AA502F">
            <w:pPr>
              <w:spacing w:line="240" w:lineRule="auto"/>
              <w:rPr>
                <w:rFonts w:ascii="Arial" w:hAnsi="Arial" w:cs="Arial"/>
                <w:sz w:val="18"/>
                <w:szCs w:val="18"/>
              </w:rPr>
            </w:pPr>
          </w:p>
        </w:tc>
      </w:tr>
      <w:tr w:rsidR="00D40091" w:rsidRPr="00D40091" w14:paraId="01EDEBA8" w14:textId="77777777" w:rsidTr="00AA502F">
        <w:trPr>
          <w:trHeight w:val="510"/>
        </w:trPr>
        <w:tc>
          <w:tcPr>
            <w:tcW w:w="4420" w:type="dxa"/>
            <w:tcBorders>
              <w:top w:val="nil"/>
              <w:left w:val="nil"/>
              <w:bottom w:val="nil"/>
              <w:right w:val="nil"/>
            </w:tcBorders>
            <w:shd w:val="clear" w:color="auto" w:fill="auto"/>
            <w:noWrap/>
            <w:vAlign w:val="bottom"/>
            <w:hideMark/>
          </w:tcPr>
          <w:p w14:paraId="6E615D06"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single" w:sz="4" w:space="0" w:color="auto"/>
              <w:right w:val="nil"/>
            </w:tcBorders>
            <w:shd w:val="clear" w:color="auto" w:fill="auto"/>
            <w:vAlign w:val="bottom"/>
            <w:hideMark/>
          </w:tcPr>
          <w:p w14:paraId="283A9469"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Notas Explicativas</w:t>
            </w:r>
          </w:p>
        </w:tc>
        <w:tc>
          <w:tcPr>
            <w:tcW w:w="196" w:type="dxa"/>
            <w:tcBorders>
              <w:top w:val="nil"/>
              <w:left w:val="nil"/>
              <w:bottom w:val="nil"/>
              <w:right w:val="nil"/>
            </w:tcBorders>
            <w:shd w:val="clear" w:color="auto" w:fill="auto"/>
            <w:vAlign w:val="bottom"/>
            <w:hideMark/>
          </w:tcPr>
          <w:p w14:paraId="6A5C42E7" w14:textId="77777777" w:rsidR="00D40091" w:rsidRPr="00D40091" w:rsidRDefault="00D40091" w:rsidP="00AA502F">
            <w:pPr>
              <w:spacing w:line="240" w:lineRule="auto"/>
              <w:jc w:val="center"/>
              <w:rPr>
                <w:rFonts w:ascii="Arial" w:hAnsi="Arial" w:cs="Arial"/>
                <w:b/>
                <w:bCs/>
                <w:color w:val="000000"/>
                <w:sz w:val="18"/>
                <w:szCs w:val="18"/>
              </w:rPr>
            </w:pPr>
          </w:p>
        </w:tc>
        <w:tc>
          <w:tcPr>
            <w:tcW w:w="4764" w:type="dxa"/>
            <w:tcBorders>
              <w:top w:val="nil"/>
              <w:left w:val="nil"/>
              <w:bottom w:val="nil"/>
              <w:right w:val="nil"/>
            </w:tcBorders>
            <w:shd w:val="clear" w:color="auto" w:fill="auto"/>
            <w:vAlign w:val="center"/>
            <w:hideMark/>
          </w:tcPr>
          <w:p w14:paraId="707F920C"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31/12/2020</w:t>
            </w:r>
          </w:p>
        </w:tc>
        <w:tc>
          <w:tcPr>
            <w:tcW w:w="252" w:type="dxa"/>
            <w:tcBorders>
              <w:top w:val="nil"/>
              <w:left w:val="nil"/>
              <w:bottom w:val="nil"/>
              <w:right w:val="nil"/>
            </w:tcBorders>
            <w:shd w:val="clear" w:color="auto" w:fill="auto"/>
            <w:vAlign w:val="center"/>
            <w:hideMark/>
          </w:tcPr>
          <w:p w14:paraId="6912D968" w14:textId="77777777" w:rsidR="00D40091" w:rsidRPr="00D40091" w:rsidRDefault="00D40091" w:rsidP="00AA502F">
            <w:pPr>
              <w:spacing w:line="240" w:lineRule="auto"/>
              <w:jc w:val="center"/>
              <w:rPr>
                <w:rFonts w:ascii="Arial" w:hAnsi="Arial" w:cs="Arial"/>
                <w:b/>
                <w:bCs/>
                <w:color w:val="000000"/>
                <w:sz w:val="18"/>
                <w:szCs w:val="18"/>
              </w:rPr>
            </w:pPr>
          </w:p>
        </w:tc>
        <w:tc>
          <w:tcPr>
            <w:tcW w:w="1331" w:type="dxa"/>
            <w:tcBorders>
              <w:top w:val="nil"/>
              <w:left w:val="nil"/>
              <w:bottom w:val="nil"/>
              <w:right w:val="nil"/>
            </w:tcBorders>
            <w:shd w:val="clear" w:color="auto" w:fill="auto"/>
            <w:vAlign w:val="center"/>
            <w:hideMark/>
          </w:tcPr>
          <w:p w14:paraId="132B5F26"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31/12/2019</w:t>
            </w:r>
          </w:p>
        </w:tc>
      </w:tr>
      <w:tr w:rsidR="00D40091" w:rsidRPr="00D40091" w14:paraId="3DC61F35" w14:textId="77777777" w:rsidTr="00AA502F">
        <w:trPr>
          <w:trHeight w:val="315"/>
        </w:trPr>
        <w:tc>
          <w:tcPr>
            <w:tcW w:w="4420" w:type="dxa"/>
            <w:tcBorders>
              <w:top w:val="nil"/>
              <w:left w:val="nil"/>
              <w:bottom w:val="nil"/>
              <w:right w:val="nil"/>
            </w:tcBorders>
            <w:shd w:val="clear" w:color="auto" w:fill="auto"/>
            <w:noWrap/>
            <w:vAlign w:val="bottom"/>
            <w:hideMark/>
          </w:tcPr>
          <w:p w14:paraId="1F763E03" w14:textId="77777777" w:rsidR="00D40091" w:rsidRPr="00D40091" w:rsidRDefault="00D40091" w:rsidP="00AA502F">
            <w:pPr>
              <w:spacing w:line="240" w:lineRule="auto"/>
              <w:jc w:val="center"/>
              <w:rPr>
                <w:rFonts w:ascii="Arial" w:hAnsi="Arial" w:cs="Arial"/>
                <w:b/>
                <w:bCs/>
                <w:color w:val="000000"/>
                <w:sz w:val="18"/>
                <w:szCs w:val="18"/>
              </w:rPr>
            </w:pPr>
          </w:p>
        </w:tc>
        <w:tc>
          <w:tcPr>
            <w:tcW w:w="1297" w:type="dxa"/>
            <w:tcBorders>
              <w:top w:val="nil"/>
              <w:left w:val="nil"/>
              <w:bottom w:val="nil"/>
              <w:right w:val="nil"/>
            </w:tcBorders>
            <w:shd w:val="clear" w:color="auto" w:fill="auto"/>
            <w:noWrap/>
            <w:vAlign w:val="bottom"/>
            <w:hideMark/>
          </w:tcPr>
          <w:p w14:paraId="1635B27D"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50D3523"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6BC3D62"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7E8B9EE1"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D5B2C7A" w14:textId="77777777" w:rsidR="00D40091" w:rsidRPr="00D40091" w:rsidRDefault="00D40091" w:rsidP="00AA502F">
            <w:pPr>
              <w:spacing w:line="240" w:lineRule="auto"/>
              <w:rPr>
                <w:rFonts w:ascii="Arial" w:hAnsi="Arial" w:cs="Arial"/>
                <w:sz w:val="18"/>
                <w:szCs w:val="18"/>
              </w:rPr>
            </w:pPr>
          </w:p>
        </w:tc>
      </w:tr>
      <w:tr w:rsidR="00D40091" w:rsidRPr="00D40091" w14:paraId="58C7EA43" w14:textId="77777777" w:rsidTr="00AA502F">
        <w:trPr>
          <w:trHeight w:val="315"/>
        </w:trPr>
        <w:tc>
          <w:tcPr>
            <w:tcW w:w="4420" w:type="dxa"/>
            <w:tcBorders>
              <w:top w:val="nil"/>
              <w:left w:val="nil"/>
              <w:bottom w:val="nil"/>
              <w:right w:val="nil"/>
            </w:tcBorders>
            <w:shd w:val="clear" w:color="auto" w:fill="auto"/>
            <w:noWrap/>
            <w:vAlign w:val="bottom"/>
            <w:hideMark/>
          </w:tcPr>
          <w:p w14:paraId="74A81AC1"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RECEITAS (DESPESAS) OPERACIONAIS</w:t>
            </w:r>
          </w:p>
        </w:tc>
        <w:tc>
          <w:tcPr>
            <w:tcW w:w="1297" w:type="dxa"/>
            <w:tcBorders>
              <w:top w:val="nil"/>
              <w:left w:val="nil"/>
              <w:bottom w:val="nil"/>
              <w:right w:val="nil"/>
            </w:tcBorders>
            <w:shd w:val="clear" w:color="auto" w:fill="auto"/>
            <w:noWrap/>
            <w:vAlign w:val="bottom"/>
            <w:hideMark/>
          </w:tcPr>
          <w:p w14:paraId="70174A88" w14:textId="77777777" w:rsidR="00D40091" w:rsidRPr="00D40091" w:rsidRDefault="00D40091" w:rsidP="00AA502F">
            <w:pPr>
              <w:spacing w:line="240" w:lineRule="auto"/>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48933D50"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3A41448"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58AAEF69"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0AF8682" w14:textId="77777777" w:rsidR="00D40091" w:rsidRPr="00D40091" w:rsidRDefault="00D40091" w:rsidP="00AA502F">
            <w:pPr>
              <w:spacing w:line="240" w:lineRule="auto"/>
              <w:rPr>
                <w:rFonts w:ascii="Arial" w:hAnsi="Arial" w:cs="Arial"/>
                <w:sz w:val="18"/>
                <w:szCs w:val="18"/>
              </w:rPr>
            </w:pPr>
          </w:p>
        </w:tc>
      </w:tr>
      <w:tr w:rsidR="00D40091" w:rsidRPr="00D40091" w14:paraId="0F861742" w14:textId="77777777" w:rsidTr="00AA502F">
        <w:trPr>
          <w:trHeight w:val="255"/>
        </w:trPr>
        <w:tc>
          <w:tcPr>
            <w:tcW w:w="4420" w:type="dxa"/>
            <w:tcBorders>
              <w:top w:val="nil"/>
              <w:left w:val="nil"/>
              <w:bottom w:val="nil"/>
              <w:right w:val="nil"/>
            </w:tcBorders>
            <w:shd w:val="clear" w:color="auto" w:fill="auto"/>
            <w:noWrap/>
            <w:vAlign w:val="bottom"/>
            <w:hideMark/>
          </w:tcPr>
          <w:p w14:paraId="0872FFA8"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3EC6986A"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63D1DFD1"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5842F71"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3B1CC5B6"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9D9B1C7" w14:textId="77777777" w:rsidR="00D40091" w:rsidRPr="00D40091" w:rsidRDefault="00D40091" w:rsidP="00AA502F">
            <w:pPr>
              <w:spacing w:line="240" w:lineRule="auto"/>
              <w:rPr>
                <w:rFonts w:ascii="Arial" w:hAnsi="Arial" w:cs="Arial"/>
                <w:sz w:val="18"/>
                <w:szCs w:val="18"/>
              </w:rPr>
            </w:pPr>
          </w:p>
        </w:tc>
      </w:tr>
      <w:tr w:rsidR="00D40091" w:rsidRPr="00D40091" w14:paraId="47B3272D" w14:textId="77777777" w:rsidTr="00AA502F">
        <w:trPr>
          <w:trHeight w:val="315"/>
        </w:trPr>
        <w:tc>
          <w:tcPr>
            <w:tcW w:w="4420" w:type="dxa"/>
            <w:tcBorders>
              <w:top w:val="nil"/>
              <w:left w:val="nil"/>
              <w:bottom w:val="nil"/>
              <w:right w:val="nil"/>
            </w:tcBorders>
            <w:shd w:val="clear" w:color="auto" w:fill="auto"/>
            <w:noWrap/>
            <w:vAlign w:val="bottom"/>
            <w:hideMark/>
          </w:tcPr>
          <w:p w14:paraId="2636EB09"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   Receitas Operacionais</w:t>
            </w:r>
          </w:p>
        </w:tc>
        <w:tc>
          <w:tcPr>
            <w:tcW w:w="1297" w:type="dxa"/>
            <w:tcBorders>
              <w:top w:val="nil"/>
              <w:left w:val="nil"/>
              <w:bottom w:val="nil"/>
              <w:right w:val="nil"/>
            </w:tcBorders>
            <w:shd w:val="clear" w:color="auto" w:fill="auto"/>
            <w:noWrap/>
            <w:vAlign w:val="bottom"/>
            <w:hideMark/>
          </w:tcPr>
          <w:p w14:paraId="23E38A9E" w14:textId="77777777" w:rsidR="00D40091" w:rsidRPr="00D40091" w:rsidRDefault="00D40091" w:rsidP="00AA502F">
            <w:pPr>
              <w:spacing w:line="240" w:lineRule="auto"/>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6B499AC6"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01C393CC" w14:textId="0BC57D78"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w:t>
            </w:r>
            <w:r w:rsidR="009A6FBD">
              <w:rPr>
                <w:rFonts w:ascii="Arial" w:hAnsi="Arial" w:cs="Arial"/>
                <w:b/>
                <w:bCs/>
                <w:sz w:val="18"/>
                <w:szCs w:val="18"/>
              </w:rPr>
              <w:t xml:space="preserve">  </w:t>
            </w:r>
            <w:r w:rsidRPr="00D40091">
              <w:rPr>
                <w:rFonts w:ascii="Arial" w:hAnsi="Arial" w:cs="Arial"/>
                <w:b/>
                <w:bCs/>
                <w:sz w:val="18"/>
                <w:szCs w:val="18"/>
              </w:rPr>
              <w:t xml:space="preserve">       150.536 </w:t>
            </w:r>
          </w:p>
        </w:tc>
        <w:tc>
          <w:tcPr>
            <w:tcW w:w="252" w:type="dxa"/>
            <w:tcBorders>
              <w:top w:val="nil"/>
              <w:left w:val="nil"/>
              <w:bottom w:val="nil"/>
              <w:right w:val="nil"/>
            </w:tcBorders>
            <w:shd w:val="clear" w:color="auto" w:fill="auto"/>
            <w:noWrap/>
            <w:vAlign w:val="bottom"/>
            <w:hideMark/>
          </w:tcPr>
          <w:p w14:paraId="4709A1F2"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single" w:sz="4" w:space="0" w:color="auto"/>
              <w:right w:val="nil"/>
            </w:tcBorders>
            <w:shd w:val="clear" w:color="auto" w:fill="auto"/>
            <w:noWrap/>
            <w:vAlign w:val="bottom"/>
            <w:hideMark/>
          </w:tcPr>
          <w:p w14:paraId="57969A88"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396.528 </w:t>
            </w:r>
          </w:p>
        </w:tc>
      </w:tr>
      <w:tr w:rsidR="00D40091" w:rsidRPr="00D40091" w14:paraId="29DB0421" w14:textId="77777777" w:rsidTr="00AA502F">
        <w:trPr>
          <w:trHeight w:val="315"/>
        </w:trPr>
        <w:tc>
          <w:tcPr>
            <w:tcW w:w="4420" w:type="dxa"/>
            <w:tcBorders>
              <w:top w:val="nil"/>
              <w:left w:val="nil"/>
              <w:bottom w:val="nil"/>
              <w:right w:val="nil"/>
            </w:tcBorders>
            <w:shd w:val="clear" w:color="auto" w:fill="auto"/>
            <w:noWrap/>
            <w:vAlign w:val="bottom"/>
            <w:hideMark/>
          </w:tcPr>
          <w:p w14:paraId="3EF2C609"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Serviços Prestados</w:t>
            </w:r>
          </w:p>
        </w:tc>
        <w:tc>
          <w:tcPr>
            <w:tcW w:w="1297" w:type="dxa"/>
            <w:tcBorders>
              <w:top w:val="nil"/>
              <w:left w:val="nil"/>
              <w:bottom w:val="nil"/>
              <w:right w:val="nil"/>
            </w:tcBorders>
            <w:shd w:val="clear" w:color="auto" w:fill="auto"/>
            <w:noWrap/>
            <w:vAlign w:val="bottom"/>
            <w:hideMark/>
          </w:tcPr>
          <w:p w14:paraId="02A41533"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6BCDF567"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74C733E" w14:textId="4548EDB8" w:rsidR="00D40091" w:rsidRPr="00D40091" w:rsidRDefault="009A6FBD" w:rsidP="009A6FBD">
            <w:pPr>
              <w:spacing w:line="240" w:lineRule="auto"/>
              <w:jc w:val="center"/>
              <w:rPr>
                <w:rFonts w:ascii="Arial" w:hAnsi="Arial" w:cs="Arial"/>
                <w:color w:val="000000"/>
                <w:sz w:val="18"/>
                <w:szCs w:val="18"/>
              </w:rPr>
            </w:pPr>
            <w:r>
              <w:rPr>
                <w:rFonts w:ascii="Arial" w:hAnsi="Arial" w:cs="Arial"/>
                <w:color w:val="000000"/>
                <w:sz w:val="18"/>
                <w:szCs w:val="18"/>
              </w:rPr>
              <w:t xml:space="preserve">              </w:t>
            </w:r>
            <w:r w:rsidR="00D40091" w:rsidRPr="00D40091">
              <w:rPr>
                <w:rFonts w:ascii="Arial" w:hAnsi="Arial" w:cs="Arial"/>
                <w:color w:val="000000"/>
                <w:sz w:val="18"/>
                <w:szCs w:val="18"/>
              </w:rPr>
              <w:t>150.536</w:t>
            </w:r>
          </w:p>
        </w:tc>
        <w:tc>
          <w:tcPr>
            <w:tcW w:w="252" w:type="dxa"/>
            <w:tcBorders>
              <w:top w:val="nil"/>
              <w:left w:val="nil"/>
              <w:bottom w:val="nil"/>
              <w:right w:val="nil"/>
            </w:tcBorders>
            <w:shd w:val="clear" w:color="auto" w:fill="auto"/>
            <w:noWrap/>
            <w:vAlign w:val="bottom"/>
            <w:hideMark/>
          </w:tcPr>
          <w:p w14:paraId="2AEE07FD" w14:textId="77777777" w:rsidR="00D40091" w:rsidRPr="00D40091" w:rsidRDefault="00D40091" w:rsidP="00AA502F">
            <w:pPr>
              <w:spacing w:line="240" w:lineRule="auto"/>
              <w:rPr>
                <w:rFonts w:ascii="Arial" w:hAnsi="Arial" w:cs="Arial"/>
                <w:color w:val="000000"/>
                <w:sz w:val="18"/>
                <w:szCs w:val="18"/>
              </w:rPr>
            </w:pPr>
          </w:p>
        </w:tc>
        <w:tc>
          <w:tcPr>
            <w:tcW w:w="1331" w:type="dxa"/>
            <w:tcBorders>
              <w:top w:val="nil"/>
              <w:left w:val="nil"/>
              <w:bottom w:val="nil"/>
              <w:right w:val="nil"/>
            </w:tcBorders>
            <w:shd w:val="clear" w:color="auto" w:fill="auto"/>
            <w:noWrap/>
            <w:vAlign w:val="bottom"/>
            <w:hideMark/>
          </w:tcPr>
          <w:p w14:paraId="08B52F0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         396.528 </w:t>
            </w:r>
          </w:p>
        </w:tc>
      </w:tr>
      <w:tr w:rsidR="00D40091" w:rsidRPr="00D40091" w14:paraId="300A0096" w14:textId="77777777" w:rsidTr="00AA502F">
        <w:trPr>
          <w:trHeight w:val="255"/>
        </w:trPr>
        <w:tc>
          <w:tcPr>
            <w:tcW w:w="4420" w:type="dxa"/>
            <w:tcBorders>
              <w:top w:val="nil"/>
              <w:left w:val="nil"/>
              <w:bottom w:val="nil"/>
              <w:right w:val="nil"/>
            </w:tcBorders>
            <w:shd w:val="clear" w:color="auto" w:fill="auto"/>
            <w:noWrap/>
            <w:vAlign w:val="bottom"/>
            <w:hideMark/>
          </w:tcPr>
          <w:p w14:paraId="523A29DF" w14:textId="77777777" w:rsidR="00D40091" w:rsidRPr="00D40091" w:rsidRDefault="00D40091" w:rsidP="00AA502F">
            <w:pPr>
              <w:spacing w:line="240" w:lineRule="auto"/>
              <w:rPr>
                <w:rFonts w:ascii="Arial" w:hAnsi="Arial" w:cs="Arial"/>
                <w:color w:val="000000"/>
                <w:sz w:val="18"/>
                <w:szCs w:val="18"/>
              </w:rPr>
            </w:pPr>
          </w:p>
        </w:tc>
        <w:tc>
          <w:tcPr>
            <w:tcW w:w="1297" w:type="dxa"/>
            <w:tcBorders>
              <w:top w:val="nil"/>
              <w:left w:val="nil"/>
              <w:bottom w:val="nil"/>
              <w:right w:val="nil"/>
            </w:tcBorders>
            <w:shd w:val="clear" w:color="auto" w:fill="auto"/>
            <w:noWrap/>
            <w:vAlign w:val="bottom"/>
            <w:hideMark/>
          </w:tcPr>
          <w:p w14:paraId="1C653F95"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7344FC5C"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38924F55"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5FFA37BC"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D39088E" w14:textId="77777777" w:rsidR="00D40091" w:rsidRPr="00D40091" w:rsidRDefault="00D40091" w:rsidP="00AA502F">
            <w:pPr>
              <w:spacing w:line="240" w:lineRule="auto"/>
              <w:rPr>
                <w:rFonts w:ascii="Arial" w:hAnsi="Arial" w:cs="Arial"/>
                <w:sz w:val="18"/>
                <w:szCs w:val="18"/>
              </w:rPr>
            </w:pPr>
          </w:p>
        </w:tc>
      </w:tr>
      <w:tr w:rsidR="00D40091" w:rsidRPr="00D40091" w14:paraId="643B2B41" w14:textId="77777777" w:rsidTr="00AA502F">
        <w:trPr>
          <w:trHeight w:val="315"/>
        </w:trPr>
        <w:tc>
          <w:tcPr>
            <w:tcW w:w="4420" w:type="dxa"/>
            <w:tcBorders>
              <w:top w:val="nil"/>
              <w:left w:val="nil"/>
              <w:bottom w:val="nil"/>
              <w:right w:val="nil"/>
            </w:tcBorders>
            <w:shd w:val="clear" w:color="auto" w:fill="auto"/>
            <w:noWrap/>
            <w:vAlign w:val="bottom"/>
            <w:hideMark/>
          </w:tcPr>
          <w:p w14:paraId="0AC53B89"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   </w:t>
            </w:r>
            <w:proofErr w:type="gramStart"/>
            <w:r w:rsidRPr="00D40091">
              <w:rPr>
                <w:rFonts w:ascii="Arial" w:hAnsi="Arial" w:cs="Arial"/>
                <w:b/>
                <w:bCs/>
                <w:color w:val="000000"/>
                <w:sz w:val="18"/>
                <w:szCs w:val="18"/>
              </w:rPr>
              <w:t>( -</w:t>
            </w:r>
            <w:proofErr w:type="gramEnd"/>
            <w:r w:rsidRPr="00D40091">
              <w:rPr>
                <w:rFonts w:ascii="Arial" w:hAnsi="Arial" w:cs="Arial"/>
                <w:b/>
                <w:bCs/>
                <w:color w:val="000000"/>
                <w:sz w:val="18"/>
                <w:szCs w:val="18"/>
              </w:rPr>
              <w:t xml:space="preserve"> ) Deduções da Receita Operacional</w:t>
            </w:r>
          </w:p>
        </w:tc>
        <w:tc>
          <w:tcPr>
            <w:tcW w:w="1297" w:type="dxa"/>
            <w:tcBorders>
              <w:top w:val="nil"/>
              <w:left w:val="nil"/>
              <w:bottom w:val="nil"/>
              <w:right w:val="nil"/>
            </w:tcBorders>
            <w:shd w:val="clear" w:color="auto" w:fill="auto"/>
            <w:noWrap/>
            <w:vAlign w:val="bottom"/>
            <w:hideMark/>
          </w:tcPr>
          <w:p w14:paraId="4B899D5B" w14:textId="77777777" w:rsidR="00D40091" w:rsidRPr="00D40091" w:rsidRDefault="00D40091" w:rsidP="00AA502F">
            <w:pPr>
              <w:spacing w:line="240" w:lineRule="auto"/>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79669ACD"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704D9624"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(21.451)</w:t>
            </w:r>
          </w:p>
        </w:tc>
        <w:tc>
          <w:tcPr>
            <w:tcW w:w="252" w:type="dxa"/>
            <w:tcBorders>
              <w:top w:val="nil"/>
              <w:left w:val="nil"/>
              <w:bottom w:val="nil"/>
              <w:right w:val="nil"/>
            </w:tcBorders>
            <w:shd w:val="clear" w:color="auto" w:fill="auto"/>
            <w:noWrap/>
            <w:vAlign w:val="bottom"/>
            <w:hideMark/>
          </w:tcPr>
          <w:p w14:paraId="6B85E407"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single" w:sz="4" w:space="0" w:color="auto"/>
              <w:right w:val="nil"/>
            </w:tcBorders>
            <w:shd w:val="clear" w:color="auto" w:fill="auto"/>
            <w:noWrap/>
            <w:vAlign w:val="bottom"/>
            <w:hideMark/>
          </w:tcPr>
          <w:p w14:paraId="0A89D19D"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(56.505)</w:t>
            </w:r>
          </w:p>
        </w:tc>
      </w:tr>
      <w:tr w:rsidR="00D40091" w:rsidRPr="00D40091" w14:paraId="398B9E4F" w14:textId="77777777" w:rsidTr="00AA502F">
        <w:trPr>
          <w:trHeight w:val="315"/>
        </w:trPr>
        <w:tc>
          <w:tcPr>
            <w:tcW w:w="4420" w:type="dxa"/>
            <w:tcBorders>
              <w:top w:val="nil"/>
              <w:left w:val="nil"/>
              <w:bottom w:val="nil"/>
              <w:right w:val="nil"/>
            </w:tcBorders>
            <w:shd w:val="clear" w:color="auto" w:fill="auto"/>
            <w:noWrap/>
            <w:vAlign w:val="bottom"/>
            <w:hideMark/>
          </w:tcPr>
          <w:p w14:paraId="4CF757CC"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ISS</w:t>
            </w:r>
          </w:p>
        </w:tc>
        <w:tc>
          <w:tcPr>
            <w:tcW w:w="1297" w:type="dxa"/>
            <w:tcBorders>
              <w:top w:val="nil"/>
              <w:left w:val="nil"/>
              <w:bottom w:val="nil"/>
              <w:right w:val="nil"/>
            </w:tcBorders>
            <w:shd w:val="clear" w:color="auto" w:fill="auto"/>
            <w:noWrap/>
            <w:vAlign w:val="bottom"/>
            <w:hideMark/>
          </w:tcPr>
          <w:p w14:paraId="47EFF843"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5C14034C"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6CF561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(7.527)</w:t>
            </w:r>
          </w:p>
        </w:tc>
        <w:tc>
          <w:tcPr>
            <w:tcW w:w="252" w:type="dxa"/>
            <w:tcBorders>
              <w:top w:val="nil"/>
              <w:left w:val="nil"/>
              <w:bottom w:val="nil"/>
              <w:right w:val="nil"/>
            </w:tcBorders>
            <w:shd w:val="clear" w:color="auto" w:fill="auto"/>
            <w:noWrap/>
            <w:vAlign w:val="bottom"/>
            <w:hideMark/>
          </w:tcPr>
          <w:p w14:paraId="5B26CE9A"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AD0DBC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(19.826)</w:t>
            </w:r>
          </w:p>
        </w:tc>
      </w:tr>
      <w:tr w:rsidR="00D40091" w:rsidRPr="00D40091" w14:paraId="22B15474" w14:textId="77777777" w:rsidTr="00AA502F">
        <w:trPr>
          <w:trHeight w:val="315"/>
        </w:trPr>
        <w:tc>
          <w:tcPr>
            <w:tcW w:w="4420" w:type="dxa"/>
            <w:tcBorders>
              <w:top w:val="nil"/>
              <w:left w:val="nil"/>
              <w:bottom w:val="nil"/>
              <w:right w:val="nil"/>
            </w:tcBorders>
            <w:shd w:val="clear" w:color="auto" w:fill="auto"/>
            <w:noWrap/>
            <w:vAlign w:val="bottom"/>
            <w:hideMark/>
          </w:tcPr>
          <w:p w14:paraId="3C4507DA"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PIS</w:t>
            </w:r>
          </w:p>
        </w:tc>
        <w:tc>
          <w:tcPr>
            <w:tcW w:w="1297" w:type="dxa"/>
            <w:tcBorders>
              <w:top w:val="nil"/>
              <w:left w:val="nil"/>
              <w:bottom w:val="nil"/>
              <w:right w:val="nil"/>
            </w:tcBorders>
            <w:shd w:val="clear" w:color="auto" w:fill="auto"/>
            <w:noWrap/>
            <w:vAlign w:val="bottom"/>
            <w:hideMark/>
          </w:tcPr>
          <w:p w14:paraId="3F4B1727"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3EC40EA8"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273148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(2.484)</w:t>
            </w:r>
          </w:p>
        </w:tc>
        <w:tc>
          <w:tcPr>
            <w:tcW w:w="252" w:type="dxa"/>
            <w:tcBorders>
              <w:top w:val="nil"/>
              <w:left w:val="nil"/>
              <w:bottom w:val="nil"/>
              <w:right w:val="nil"/>
            </w:tcBorders>
            <w:shd w:val="clear" w:color="auto" w:fill="auto"/>
            <w:noWrap/>
            <w:vAlign w:val="bottom"/>
            <w:hideMark/>
          </w:tcPr>
          <w:p w14:paraId="13E8570B"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35FF11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(6.543)</w:t>
            </w:r>
          </w:p>
        </w:tc>
      </w:tr>
      <w:tr w:rsidR="00D40091" w:rsidRPr="00D40091" w14:paraId="34329703" w14:textId="77777777" w:rsidTr="00AA502F">
        <w:trPr>
          <w:trHeight w:val="315"/>
        </w:trPr>
        <w:tc>
          <w:tcPr>
            <w:tcW w:w="4420" w:type="dxa"/>
            <w:tcBorders>
              <w:top w:val="nil"/>
              <w:left w:val="nil"/>
              <w:bottom w:val="nil"/>
              <w:right w:val="nil"/>
            </w:tcBorders>
            <w:shd w:val="clear" w:color="auto" w:fill="auto"/>
            <w:noWrap/>
            <w:vAlign w:val="bottom"/>
            <w:hideMark/>
          </w:tcPr>
          <w:p w14:paraId="0801B019"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COFINS</w:t>
            </w:r>
          </w:p>
        </w:tc>
        <w:tc>
          <w:tcPr>
            <w:tcW w:w="1297" w:type="dxa"/>
            <w:tcBorders>
              <w:top w:val="nil"/>
              <w:left w:val="nil"/>
              <w:bottom w:val="nil"/>
              <w:right w:val="nil"/>
            </w:tcBorders>
            <w:shd w:val="clear" w:color="auto" w:fill="auto"/>
            <w:noWrap/>
            <w:vAlign w:val="bottom"/>
            <w:hideMark/>
          </w:tcPr>
          <w:p w14:paraId="43CD6D46"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3AE5E721"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0E0A88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(11.441)</w:t>
            </w:r>
          </w:p>
        </w:tc>
        <w:tc>
          <w:tcPr>
            <w:tcW w:w="252" w:type="dxa"/>
            <w:tcBorders>
              <w:top w:val="nil"/>
              <w:left w:val="nil"/>
              <w:bottom w:val="nil"/>
              <w:right w:val="nil"/>
            </w:tcBorders>
            <w:shd w:val="clear" w:color="auto" w:fill="auto"/>
            <w:noWrap/>
            <w:vAlign w:val="bottom"/>
            <w:hideMark/>
          </w:tcPr>
          <w:p w14:paraId="65ADAD63"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2E19C3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(30.136)</w:t>
            </w:r>
          </w:p>
        </w:tc>
      </w:tr>
      <w:tr w:rsidR="00D40091" w:rsidRPr="00D40091" w14:paraId="00EA1B9F" w14:textId="77777777" w:rsidTr="00AA502F">
        <w:trPr>
          <w:trHeight w:val="255"/>
        </w:trPr>
        <w:tc>
          <w:tcPr>
            <w:tcW w:w="4420" w:type="dxa"/>
            <w:tcBorders>
              <w:top w:val="nil"/>
              <w:left w:val="nil"/>
              <w:bottom w:val="nil"/>
              <w:right w:val="nil"/>
            </w:tcBorders>
            <w:shd w:val="clear" w:color="auto" w:fill="auto"/>
            <w:noWrap/>
            <w:vAlign w:val="bottom"/>
            <w:hideMark/>
          </w:tcPr>
          <w:p w14:paraId="13D82E4D"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6774FC23"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0DF9C573"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4218947C" w14:textId="77777777" w:rsidR="00D40091" w:rsidRPr="00D40091" w:rsidRDefault="00D40091" w:rsidP="00AA502F">
            <w:pPr>
              <w:spacing w:line="240" w:lineRule="auto"/>
              <w:jc w:val="center"/>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44052C5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583EB64" w14:textId="77777777" w:rsidR="00D40091" w:rsidRPr="00D40091" w:rsidRDefault="00D40091" w:rsidP="00AA502F">
            <w:pPr>
              <w:spacing w:line="240" w:lineRule="auto"/>
              <w:jc w:val="center"/>
              <w:rPr>
                <w:rFonts w:ascii="Arial" w:hAnsi="Arial" w:cs="Arial"/>
                <w:sz w:val="18"/>
                <w:szCs w:val="18"/>
              </w:rPr>
            </w:pPr>
          </w:p>
        </w:tc>
      </w:tr>
      <w:tr w:rsidR="00D40091" w:rsidRPr="00D40091" w14:paraId="727B666C" w14:textId="77777777" w:rsidTr="00AA502F">
        <w:trPr>
          <w:trHeight w:val="315"/>
        </w:trPr>
        <w:tc>
          <w:tcPr>
            <w:tcW w:w="4420" w:type="dxa"/>
            <w:tcBorders>
              <w:top w:val="nil"/>
              <w:left w:val="nil"/>
              <w:bottom w:val="nil"/>
              <w:right w:val="nil"/>
            </w:tcBorders>
            <w:shd w:val="clear" w:color="auto" w:fill="auto"/>
            <w:noWrap/>
            <w:vAlign w:val="bottom"/>
            <w:hideMark/>
          </w:tcPr>
          <w:p w14:paraId="30325065" w14:textId="77777777" w:rsidR="00D40091" w:rsidRPr="00D40091" w:rsidRDefault="00D40091" w:rsidP="00AA502F">
            <w:pPr>
              <w:spacing w:line="240" w:lineRule="auto"/>
              <w:ind w:firstLineChars="100" w:firstLine="181"/>
              <w:rPr>
                <w:rFonts w:ascii="Arial" w:hAnsi="Arial" w:cs="Arial"/>
                <w:b/>
                <w:bCs/>
                <w:color w:val="000000"/>
                <w:sz w:val="18"/>
                <w:szCs w:val="18"/>
              </w:rPr>
            </w:pPr>
            <w:r w:rsidRPr="00D40091">
              <w:rPr>
                <w:rFonts w:ascii="Arial" w:hAnsi="Arial" w:cs="Arial"/>
                <w:b/>
                <w:bCs/>
                <w:color w:val="000000"/>
                <w:sz w:val="18"/>
                <w:szCs w:val="18"/>
              </w:rPr>
              <w:t>Despesas</w:t>
            </w:r>
          </w:p>
        </w:tc>
        <w:tc>
          <w:tcPr>
            <w:tcW w:w="1297" w:type="dxa"/>
            <w:tcBorders>
              <w:top w:val="nil"/>
              <w:left w:val="nil"/>
              <w:bottom w:val="nil"/>
              <w:right w:val="nil"/>
            </w:tcBorders>
            <w:shd w:val="clear" w:color="auto" w:fill="auto"/>
            <w:noWrap/>
            <w:vAlign w:val="bottom"/>
            <w:hideMark/>
          </w:tcPr>
          <w:p w14:paraId="1542FDEC" w14:textId="77777777" w:rsidR="00D40091" w:rsidRPr="00D40091" w:rsidRDefault="00D40091" w:rsidP="00AA502F">
            <w:pPr>
              <w:spacing w:line="240" w:lineRule="auto"/>
              <w:ind w:firstLineChars="100" w:firstLine="181"/>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461413CC"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0B485F21"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(3.523.581)</w:t>
            </w:r>
          </w:p>
        </w:tc>
        <w:tc>
          <w:tcPr>
            <w:tcW w:w="252" w:type="dxa"/>
            <w:tcBorders>
              <w:top w:val="nil"/>
              <w:left w:val="nil"/>
              <w:bottom w:val="nil"/>
              <w:right w:val="nil"/>
            </w:tcBorders>
            <w:shd w:val="clear" w:color="auto" w:fill="auto"/>
            <w:noWrap/>
            <w:vAlign w:val="bottom"/>
            <w:hideMark/>
          </w:tcPr>
          <w:p w14:paraId="727620E5"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single" w:sz="4" w:space="0" w:color="auto"/>
              <w:right w:val="nil"/>
            </w:tcBorders>
            <w:shd w:val="clear" w:color="auto" w:fill="auto"/>
            <w:noWrap/>
            <w:vAlign w:val="bottom"/>
            <w:hideMark/>
          </w:tcPr>
          <w:p w14:paraId="38D8DBF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(3.178.989)</w:t>
            </w:r>
          </w:p>
        </w:tc>
      </w:tr>
      <w:tr w:rsidR="00D40091" w:rsidRPr="00D40091" w14:paraId="690FEDEF" w14:textId="77777777" w:rsidTr="00AA502F">
        <w:trPr>
          <w:trHeight w:val="255"/>
        </w:trPr>
        <w:tc>
          <w:tcPr>
            <w:tcW w:w="4420" w:type="dxa"/>
            <w:tcBorders>
              <w:top w:val="nil"/>
              <w:left w:val="nil"/>
              <w:bottom w:val="nil"/>
              <w:right w:val="nil"/>
            </w:tcBorders>
            <w:shd w:val="clear" w:color="auto" w:fill="auto"/>
            <w:noWrap/>
            <w:vAlign w:val="bottom"/>
            <w:hideMark/>
          </w:tcPr>
          <w:p w14:paraId="03153952" w14:textId="77777777" w:rsidR="00D40091" w:rsidRPr="00D40091" w:rsidRDefault="00D40091" w:rsidP="00AA502F">
            <w:pPr>
              <w:spacing w:line="240" w:lineRule="auto"/>
              <w:jc w:val="center"/>
              <w:rPr>
                <w:rFonts w:ascii="Arial" w:hAnsi="Arial" w:cs="Arial"/>
                <w:b/>
                <w:bCs/>
                <w:sz w:val="18"/>
                <w:szCs w:val="18"/>
              </w:rPr>
            </w:pPr>
          </w:p>
        </w:tc>
        <w:tc>
          <w:tcPr>
            <w:tcW w:w="1297" w:type="dxa"/>
            <w:tcBorders>
              <w:top w:val="nil"/>
              <w:left w:val="nil"/>
              <w:bottom w:val="nil"/>
              <w:right w:val="nil"/>
            </w:tcBorders>
            <w:shd w:val="clear" w:color="auto" w:fill="auto"/>
            <w:noWrap/>
            <w:vAlign w:val="bottom"/>
            <w:hideMark/>
          </w:tcPr>
          <w:p w14:paraId="6044AA78"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454CB9D4"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B81CAA4" w14:textId="77777777" w:rsidR="00D40091" w:rsidRPr="00D40091" w:rsidRDefault="00D40091" w:rsidP="00AA502F">
            <w:pPr>
              <w:spacing w:line="240" w:lineRule="auto"/>
              <w:jc w:val="center"/>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2D47BA24"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3BCB246" w14:textId="77777777" w:rsidR="00D40091" w:rsidRPr="00D40091" w:rsidRDefault="00D40091" w:rsidP="00AA502F">
            <w:pPr>
              <w:spacing w:line="240" w:lineRule="auto"/>
              <w:jc w:val="center"/>
              <w:rPr>
                <w:rFonts w:ascii="Arial" w:hAnsi="Arial" w:cs="Arial"/>
                <w:sz w:val="18"/>
                <w:szCs w:val="18"/>
              </w:rPr>
            </w:pPr>
          </w:p>
        </w:tc>
      </w:tr>
      <w:tr w:rsidR="00D40091" w:rsidRPr="00D40091" w14:paraId="72584CE7" w14:textId="77777777" w:rsidTr="00AA502F">
        <w:trPr>
          <w:trHeight w:val="315"/>
        </w:trPr>
        <w:tc>
          <w:tcPr>
            <w:tcW w:w="4420" w:type="dxa"/>
            <w:tcBorders>
              <w:top w:val="nil"/>
              <w:left w:val="nil"/>
              <w:bottom w:val="nil"/>
              <w:right w:val="nil"/>
            </w:tcBorders>
            <w:shd w:val="clear" w:color="auto" w:fill="auto"/>
            <w:noWrap/>
            <w:vAlign w:val="bottom"/>
            <w:hideMark/>
          </w:tcPr>
          <w:p w14:paraId="2327E71B" w14:textId="77777777" w:rsidR="00D40091" w:rsidRPr="00D40091" w:rsidRDefault="00D40091" w:rsidP="00AA502F">
            <w:pPr>
              <w:spacing w:line="240" w:lineRule="auto"/>
              <w:ind w:firstLineChars="100" w:firstLine="181"/>
              <w:rPr>
                <w:rFonts w:ascii="Arial" w:hAnsi="Arial" w:cs="Arial"/>
                <w:b/>
                <w:bCs/>
                <w:color w:val="000000"/>
                <w:sz w:val="18"/>
                <w:szCs w:val="18"/>
              </w:rPr>
            </w:pPr>
            <w:r w:rsidRPr="00D40091">
              <w:rPr>
                <w:rFonts w:ascii="Arial" w:hAnsi="Arial" w:cs="Arial"/>
                <w:b/>
                <w:bCs/>
                <w:color w:val="000000"/>
                <w:sz w:val="18"/>
                <w:szCs w:val="18"/>
              </w:rPr>
              <w:t xml:space="preserve">Despesas com Pessoal </w:t>
            </w:r>
          </w:p>
        </w:tc>
        <w:tc>
          <w:tcPr>
            <w:tcW w:w="1297" w:type="dxa"/>
            <w:tcBorders>
              <w:top w:val="nil"/>
              <w:left w:val="nil"/>
              <w:bottom w:val="nil"/>
              <w:right w:val="nil"/>
            </w:tcBorders>
            <w:shd w:val="clear" w:color="auto" w:fill="auto"/>
            <w:noWrap/>
            <w:vAlign w:val="bottom"/>
            <w:hideMark/>
          </w:tcPr>
          <w:p w14:paraId="4CD9C542" w14:textId="77777777" w:rsidR="00D40091" w:rsidRPr="00D40091" w:rsidRDefault="00D40091" w:rsidP="00AA502F">
            <w:pPr>
              <w:spacing w:line="240" w:lineRule="auto"/>
              <w:ind w:firstLineChars="100" w:firstLine="181"/>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597155A2"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BEF0DD4"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(3.033.901)</w:t>
            </w:r>
          </w:p>
        </w:tc>
        <w:tc>
          <w:tcPr>
            <w:tcW w:w="252" w:type="dxa"/>
            <w:tcBorders>
              <w:top w:val="nil"/>
              <w:left w:val="nil"/>
              <w:bottom w:val="nil"/>
              <w:right w:val="nil"/>
            </w:tcBorders>
            <w:shd w:val="clear" w:color="auto" w:fill="auto"/>
            <w:noWrap/>
            <w:vAlign w:val="bottom"/>
            <w:hideMark/>
          </w:tcPr>
          <w:p w14:paraId="4CF26005"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nil"/>
              <w:right w:val="nil"/>
            </w:tcBorders>
            <w:shd w:val="clear" w:color="auto" w:fill="auto"/>
            <w:noWrap/>
            <w:vAlign w:val="bottom"/>
            <w:hideMark/>
          </w:tcPr>
          <w:p w14:paraId="095A9023"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(2.656.056)</w:t>
            </w:r>
          </w:p>
        </w:tc>
      </w:tr>
      <w:tr w:rsidR="00D40091" w:rsidRPr="00D40091" w14:paraId="1F42956A" w14:textId="77777777" w:rsidTr="00AA502F">
        <w:trPr>
          <w:trHeight w:val="315"/>
        </w:trPr>
        <w:tc>
          <w:tcPr>
            <w:tcW w:w="4420" w:type="dxa"/>
            <w:tcBorders>
              <w:top w:val="nil"/>
              <w:left w:val="nil"/>
              <w:bottom w:val="nil"/>
              <w:right w:val="nil"/>
            </w:tcBorders>
            <w:shd w:val="clear" w:color="auto" w:fill="auto"/>
            <w:noWrap/>
            <w:vAlign w:val="bottom"/>
            <w:hideMark/>
          </w:tcPr>
          <w:p w14:paraId="408B30FB"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Honorários e Salários</w:t>
            </w:r>
          </w:p>
        </w:tc>
        <w:tc>
          <w:tcPr>
            <w:tcW w:w="1297" w:type="dxa"/>
            <w:tcBorders>
              <w:top w:val="nil"/>
              <w:left w:val="nil"/>
              <w:bottom w:val="nil"/>
              <w:right w:val="nil"/>
            </w:tcBorders>
            <w:shd w:val="clear" w:color="auto" w:fill="auto"/>
            <w:noWrap/>
            <w:vAlign w:val="bottom"/>
            <w:hideMark/>
          </w:tcPr>
          <w:p w14:paraId="36E2D8C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20</w:t>
            </w:r>
          </w:p>
        </w:tc>
        <w:tc>
          <w:tcPr>
            <w:tcW w:w="196" w:type="dxa"/>
            <w:tcBorders>
              <w:top w:val="nil"/>
              <w:left w:val="nil"/>
              <w:bottom w:val="nil"/>
              <w:right w:val="nil"/>
            </w:tcBorders>
            <w:shd w:val="clear" w:color="auto" w:fill="auto"/>
            <w:noWrap/>
            <w:vAlign w:val="bottom"/>
            <w:hideMark/>
          </w:tcPr>
          <w:p w14:paraId="37A37B6D"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15C2C75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(2.132.261)</w:t>
            </w:r>
          </w:p>
        </w:tc>
        <w:tc>
          <w:tcPr>
            <w:tcW w:w="252" w:type="dxa"/>
            <w:tcBorders>
              <w:top w:val="nil"/>
              <w:left w:val="nil"/>
              <w:bottom w:val="nil"/>
              <w:right w:val="nil"/>
            </w:tcBorders>
            <w:shd w:val="clear" w:color="auto" w:fill="auto"/>
            <w:noWrap/>
            <w:vAlign w:val="bottom"/>
            <w:hideMark/>
          </w:tcPr>
          <w:p w14:paraId="6C66E830"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2E67C7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(1.889.864)</w:t>
            </w:r>
          </w:p>
        </w:tc>
      </w:tr>
      <w:tr w:rsidR="00D40091" w:rsidRPr="00D40091" w14:paraId="067D6DCF" w14:textId="77777777" w:rsidTr="00AA502F">
        <w:trPr>
          <w:trHeight w:val="315"/>
        </w:trPr>
        <w:tc>
          <w:tcPr>
            <w:tcW w:w="4420" w:type="dxa"/>
            <w:tcBorders>
              <w:top w:val="nil"/>
              <w:left w:val="nil"/>
              <w:bottom w:val="nil"/>
              <w:right w:val="nil"/>
            </w:tcBorders>
            <w:shd w:val="clear" w:color="auto" w:fill="auto"/>
            <w:noWrap/>
            <w:vAlign w:val="bottom"/>
            <w:hideMark/>
          </w:tcPr>
          <w:p w14:paraId="586ABA5B"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Encargos - INSS e FGTS</w:t>
            </w:r>
          </w:p>
        </w:tc>
        <w:tc>
          <w:tcPr>
            <w:tcW w:w="1297" w:type="dxa"/>
            <w:tcBorders>
              <w:top w:val="nil"/>
              <w:left w:val="nil"/>
              <w:bottom w:val="nil"/>
              <w:right w:val="nil"/>
            </w:tcBorders>
            <w:shd w:val="clear" w:color="auto" w:fill="auto"/>
            <w:noWrap/>
            <w:vAlign w:val="bottom"/>
            <w:hideMark/>
          </w:tcPr>
          <w:p w14:paraId="117C0D6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20</w:t>
            </w:r>
          </w:p>
        </w:tc>
        <w:tc>
          <w:tcPr>
            <w:tcW w:w="196" w:type="dxa"/>
            <w:tcBorders>
              <w:top w:val="nil"/>
              <w:left w:val="nil"/>
              <w:bottom w:val="nil"/>
              <w:right w:val="nil"/>
            </w:tcBorders>
            <w:shd w:val="clear" w:color="auto" w:fill="auto"/>
            <w:noWrap/>
            <w:vAlign w:val="bottom"/>
            <w:hideMark/>
          </w:tcPr>
          <w:p w14:paraId="5F1AE1D0"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2555C7A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(603.471)</w:t>
            </w:r>
          </w:p>
        </w:tc>
        <w:tc>
          <w:tcPr>
            <w:tcW w:w="252" w:type="dxa"/>
            <w:tcBorders>
              <w:top w:val="nil"/>
              <w:left w:val="nil"/>
              <w:bottom w:val="nil"/>
              <w:right w:val="nil"/>
            </w:tcBorders>
            <w:shd w:val="clear" w:color="auto" w:fill="auto"/>
            <w:noWrap/>
            <w:vAlign w:val="bottom"/>
            <w:hideMark/>
          </w:tcPr>
          <w:p w14:paraId="66D8F209"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BCA2F1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(488.296)</w:t>
            </w:r>
          </w:p>
        </w:tc>
      </w:tr>
      <w:tr w:rsidR="00D40091" w:rsidRPr="00D40091" w14:paraId="5DD672CA" w14:textId="77777777" w:rsidTr="00AA502F">
        <w:trPr>
          <w:trHeight w:val="315"/>
        </w:trPr>
        <w:tc>
          <w:tcPr>
            <w:tcW w:w="4420" w:type="dxa"/>
            <w:tcBorders>
              <w:top w:val="nil"/>
              <w:left w:val="nil"/>
              <w:bottom w:val="nil"/>
              <w:right w:val="nil"/>
            </w:tcBorders>
            <w:shd w:val="clear" w:color="auto" w:fill="auto"/>
            <w:noWrap/>
            <w:vAlign w:val="bottom"/>
            <w:hideMark/>
          </w:tcPr>
          <w:p w14:paraId="14EA599F"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Provisão e Encargos - Férias e 13º Salário</w:t>
            </w:r>
          </w:p>
        </w:tc>
        <w:tc>
          <w:tcPr>
            <w:tcW w:w="1297" w:type="dxa"/>
            <w:tcBorders>
              <w:top w:val="nil"/>
              <w:left w:val="nil"/>
              <w:bottom w:val="nil"/>
              <w:right w:val="nil"/>
            </w:tcBorders>
            <w:shd w:val="clear" w:color="auto" w:fill="auto"/>
            <w:noWrap/>
            <w:vAlign w:val="bottom"/>
            <w:hideMark/>
          </w:tcPr>
          <w:p w14:paraId="7D7CDDC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20</w:t>
            </w:r>
          </w:p>
        </w:tc>
        <w:tc>
          <w:tcPr>
            <w:tcW w:w="196" w:type="dxa"/>
            <w:tcBorders>
              <w:top w:val="nil"/>
              <w:left w:val="nil"/>
              <w:bottom w:val="nil"/>
              <w:right w:val="nil"/>
            </w:tcBorders>
            <w:shd w:val="clear" w:color="auto" w:fill="auto"/>
            <w:noWrap/>
            <w:vAlign w:val="bottom"/>
            <w:hideMark/>
          </w:tcPr>
          <w:p w14:paraId="3A563F1E"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19C0318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(234.109)</w:t>
            </w:r>
          </w:p>
        </w:tc>
        <w:tc>
          <w:tcPr>
            <w:tcW w:w="252" w:type="dxa"/>
            <w:tcBorders>
              <w:top w:val="nil"/>
              <w:left w:val="nil"/>
              <w:bottom w:val="nil"/>
              <w:right w:val="nil"/>
            </w:tcBorders>
            <w:shd w:val="clear" w:color="auto" w:fill="auto"/>
            <w:noWrap/>
            <w:vAlign w:val="bottom"/>
            <w:hideMark/>
          </w:tcPr>
          <w:p w14:paraId="7D39A4EB"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778BC2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(218.804)</w:t>
            </w:r>
          </w:p>
        </w:tc>
      </w:tr>
      <w:tr w:rsidR="00D40091" w:rsidRPr="00D40091" w14:paraId="76C936D9" w14:textId="77777777" w:rsidTr="00AA502F">
        <w:trPr>
          <w:trHeight w:val="315"/>
        </w:trPr>
        <w:tc>
          <w:tcPr>
            <w:tcW w:w="4420" w:type="dxa"/>
            <w:tcBorders>
              <w:top w:val="nil"/>
              <w:left w:val="nil"/>
              <w:bottom w:val="nil"/>
              <w:right w:val="nil"/>
            </w:tcBorders>
            <w:shd w:val="clear" w:color="auto" w:fill="auto"/>
            <w:noWrap/>
            <w:vAlign w:val="bottom"/>
            <w:hideMark/>
          </w:tcPr>
          <w:p w14:paraId="06FE94B1"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Vale Refeição</w:t>
            </w:r>
          </w:p>
        </w:tc>
        <w:tc>
          <w:tcPr>
            <w:tcW w:w="1297" w:type="dxa"/>
            <w:tcBorders>
              <w:top w:val="nil"/>
              <w:left w:val="nil"/>
              <w:bottom w:val="nil"/>
              <w:right w:val="nil"/>
            </w:tcBorders>
            <w:shd w:val="clear" w:color="auto" w:fill="auto"/>
            <w:noWrap/>
            <w:vAlign w:val="bottom"/>
            <w:hideMark/>
          </w:tcPr>
          <w:p w14:paraId="6F9AED97"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2599A8E7"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12F160E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(26.104)</w:t>
            </w:r>
          </w:p>
        </w:tc>
        <w:tc>
          <w:tcPr>
            <w:tcW w:w="252" w:type="dxa"/>
            <w:tcBorders>
              <w:top w:val="nil"/>
              <w:left w:val="nil"/>
              <w:bottom w:val="nil"/>
              <w:right w:val="nil"/>
            </w:tcBorders>
            <w:shd w:val="clear" w:color="auto" w:fill="auto"/>
            <w:noWrap/>
            <w:vAlign w:val="bottom"/>
            <w:hideMark/>
          </w:tcPr>
          <w:p w14:paraId="511EBC6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32FAB3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(21.628)</w:t>
            </w:r>
          </w:p>
        </w:tc>
      </w:tr>
      <w:tr w:rsidR="00D40091" w:rsidRPr="00D40091" w14:paraId="18E8F2CA" w14:textId="77777777" w:rsidTr="00AA502F">
        <w:trPr>
          <w:trHeight w:val="315"/>
        </w:trPr>
        <w:tc>
          <w:tcPr>
            <w:tcW w:w="4420" w:type="dxa"/>
            <w:tcBorders>
              <w:top w:val="nil"/>
              <w:left w:val="nil"/>
              <w:bottom w:val="nil"/>
              <w:right w:val="nil"/>
            </w:tcBorders>
            <w:shd w:val="clear" w:color="auto" w:fill="auto"/>
            <w:noWrap/>
            <w:vAlign w:val="bottom"/>
            <w:hideMark/>
          </w:tcPr>
          <w:p w14:paraId="204A0E0F"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Assistência Médica</w:t>
            </w:r>
          </w:p>
        </w:tc>
        <w:tc>
          <w:tcPr>
            <w:tcW w:w="1297" w:type="dxa"/>
            <w:tcBorders>
              <w:top w:val="nil"/>
              <w:left w:val="nil"/>
              <w:bottom w:val="nil"/>
              <w:right w:val="nil"/>
            </w:tcBorders>
            <w:shd w:val="clear" w:color="auto" w:fill="auto"/>
            <w:noWrap/>
            <w:vAlign w:val="bottom"/>
            <w:hideMark/>
          </w:tcPr>
          <w:p w14:paraId="540A063A"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1F9DC26D"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238A3E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(36.973)</w:t>
            </w:r>
          </w:p>
        </w:tc>
        <w:tc>
          <w:tcPr>
            <w:tcW w:w="252" w:type="dxa"/>
            <w:tcBorders>
              <w:top w:val="nil"/>
              <w:left w:val="nil"/>
              <w:bottom w:val="nil"/>
              <w:right w:val="nil"/>
            </w:tcBorders>
            <w:shd w:val="clear" w:color="auto" w:fill="auto"/>
            <w:noWrap/>
            <w:vAlign w:val="bottom"/>
            <w:hideMark/>
          </w:tcPr>
          <w:p w14:paraId="51F448E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39EA9E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(37.253)</w:t>
            </w:r>
          </w:p>
        </w:tc>
      </w:tr>
      <w:tr w:rsidR="00D40091" w:rsidRPr="00D40091" w14:paraId="6EC91EDB" w14:textId="77777777" w:rsidTr="00AA502F">
        <w:trPr>
          <w:trHeight w:val="315"/>
        </w:trPr>
        <w:tc>
          <w:tcPr>
            <w:tcW w:w="4420" w:type="dxa"/>
            <w:tcBorders>
              <w:top w:val="nil"/>
              <w:left w:val="nil"/>
              <w:bottom w:val="nil"/>
              <w:right w:val="nil"/>
            </w:tcBorders>
            <w:shd w:val="clear" w:color="auto" w:fill="auto"/>
            <w:noWrap/>
            <w:vAlign w:val="bottom"/>
            <w:hideMark/>
          </w:tcPr>
          <w:p w14:paraId="3BB6EA21"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Exame Médico</w:t>
            </w:r>
          </w:p>
        </w:tc>
        <w:tc>
          <w:tcPr>
            <w:tcW w:w="1297" w:type="dxa"/>
            <w:tcBorders>
              <w:top w:val="nil"/>
              <w:left w:val="nil"/>
              <w:bottom w:val="nil"/>
              <w:right w:val="nil"/>
            </w:tcBorders>
            <w:shd w:val="clear" w:color="auto" w:fill="auto"/>
            <w:noWrap/>
            <w:vAlign w:val="bottom"/>
            <w:hideMark/>
          </w:tcPr>
          <w:p w14:paraId="7340B70C"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14BB3701"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D39EDB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(983)</w:t>
            </w:r>
          </w:p>
        </w:tc>
        <w:tc>
          <w:tcPr>
            <w:tcW w:w="252" w:type="dxa"/>
            <w:tcBorders>
              <w:top w:val="nil"/>
              <w:left w:val="nil"/>
              <w:bottom w:val="nil"/>
              <w:right w:val="nil"/>
            </w:tcBorders>
            <w:shd w:val="clear" w:color="auto" w:fill="auto"/>
            <w:noWrap/>
            <w:vAlign w:val="bottom"/>
            <w:hideMark/>
          </w:tcPr>
          <w:p w14:paraId="626162D7"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D19B88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(210)</w:t>
            </w:r>
          </w:p>
        </w:tc>
      </w:tr>
      <w:tr w:rsidR="00D40091" w:rsidRPr="00D40091" w14:paraId="6EC3288F" w14:textId="77777777" w:rsidTr="00AA502F">
        <w:trPr>
          <w:trHeight w:val="315"/>
        </w:trPr>
        <w:tc>
          <w:tcPr>
            <w:tcW w:w="4420" w:type="dxa"/>
            <w:tcBorders>
              <w:top w:val="nil"/>
              <w:left w:val="nil"/>
              <w:bottom w:val="nil"/>
              <w:right w:val="nil"/>
            </w:tcBorders>
            <w:shd w:val="clear" w:color="auto" w:fill="auto"/>
            <w:noWrap/>
            <w:vAlign w:val="bottom"/>
            <w:hideMark/>
          </w:tcPr>
          <w:p w14:paraId="34B1B584"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208D4978"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67484321"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A442E37" w14:textId="77777777" w:rsidR="00D40091" w:rsidRPr="00D40091" w:rsidRDefault="00D40091" w:rsidP="00AA502F">
            <w:pPr>
              <w:spacing w:line="240" w:lineRule="auto"/>
              <w:jc w:val="center"/>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04ADDD09"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D0548B6" w14:textId="77777777" w:rsidR="00D40091" w:rsidRPr="00D40091" w:rsidRDefault="00D40091" w:rsidP="00AA502F">
            <w:pPr>
              <w:spacing w:line="240" w:lineRule="auto"/>
              <w:jc w:val="center"/>
              <w:rPr>
                <w:rFonts w:ascii="Arial" w:hAnsi="Arial" w:cs="Arial"/>
                <w:sz w:val="18"/>
                <w:szCs w:val="18"/>
              </w:rPr>
            </w:pPr>
          </w:p>
        </w:tc>
      </w:tr>
      <w:tr w:rsidR="00D40091" w:rsidRPr="00D40091" w14:paraId="4D46F613" w14:textId="77777777" w:rsidTr="00AA502F">
        <w:trPr>
          <w:trHeight w:val="255"/>
        </w:trPr>
        <w:tc>
          <w:tcPr>
            <w:tcW w:w="4420" w:type="dxa"/>
            <w:tcBorders>
              <w:top w:val="nil"/>
              <w:left w:val="nil"/>
              <w:bottom w:val="nil"/>
              <w:right w:val="nil"/>
            </w:tcBorders>
            <w:shd w:val="clear" w:color="auto" w:fill="auto"/>
            <w:noWrap/>
            <w:vAlign w:val="bottom"/>
            <w:hideMark/>
          </w:tcPr>
          <w:p w14:paraId="4FF7E9DD" w14:textId="77777777" w:rsidR="00D40091" w:rsidRPr="00D40091" w:rsidRDefault="00D40091" w:rsidP="00AA502F">
            <w:pPr>
              <w:spacing w:line="240" w:lineRule="auto"/>
              <w:ind w:firstLineChars="100" w:firstLine="181"/>
              <w:rPr>
                <w:rFonts w:ascii="Arial" w:hAnsi="Arial" w:cs="Arial"/>
                <w:b/>
                <w:bCs/>
                <w:color w:val="000000"/>
                <w:sz w:val="18"/>
                <w:szCs w:val="18"/>
              </w:rPr>
            </w:pPr>
            <w:r w:rsidRPr="00D40091">
              <w:rPr>
                <w:rFonts w:ascii="Arial" w:hAnsi="Arial" w:cs="Arial"/>
                <w:b/>
                <w:bCs/>
                <w:color w:val="000000"/>
                <w:sz w:val="18"/>
                <w:szCs w:val="18"/>
              </w:rPr>
              <w:t xml:space="preserve">Despesas Gerais e </w:t>
            </w:r>
            <w:proofErr w:type="spellStart"/>
            <w:r w:rsidRPr="00D40091">
              <w:rPr>
                <w:rFonts w:ascii="Arial" w:hAnsi="Arial" w:cs="Arial"/>
                <w:b/>
                <w:bCs/>
                <w:color w:val="000000"/>
                <w:sz w:val="18"/>
                <w:szCs w:val="18"/>
              </w:rPr>
              <w:t>Adminsitrativas</w:t>
            </w:r>
            <w:proofErr w:type="spellEnd"/>
          </w:p>
        </w:tc>
        <w:tc>
          <w:tcPr>
            <w:tcW w:w="1297" w:type="dxa"/>
            <w:tcBorders>
              <w:top w:val="nil"/>
              <w:left w:val="nil"/>
              <w:bottom w:val="nil"/>
              <w:right w:val="nil"/>
            </w:tcBorders>
            <w:shd w:val="clear" w:color="auto" w:fill="auto"/>
            <w:noWrap/>
            <w:vAlign w:val="bottom"/>
            <w:hideMark/>
          </w:tcPr>
          <w:p w14:paraId="74D39D1F" w14:textId="77777777" w:rsidR="00D40091" w:rsidRPr="00D40091" w:rsidRDefault="00D40091" w:rsidP="00AA502F">
            <w:pPr>
              <w:spacing w:line="240" w:lineRule="auto"/>
              <w:ind w:firstLineChars="100" w:firstLine="181"/>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753FA64B"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5DB8B2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(489.680)</w:t>
            </w:r>
          </w:p>
        </w:tc>
        <w:tc>
          <w:tcPr>
            <w:tcW w:w="252" w:type="dxa"/>
            <w:tcBorders>
              <w:top w:val="nil"/>
              <w:left w:val="nil"/>
              <w:bottom w:val="nil"/>
              <w:right w:val="nil"/>
            </w:tcBorders>
            <w:shd w:val="clear" w:color="auto" w:fill="auto"/>
            <w:noWrap/>
            <w:vAlign w:val="bottom"/>
            <w:hideMark/>
          </w:tcPr>
          <w:p w14:paraId="72760D0A"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nil"/>
              <w:right w:val="nil"/>
            </w:tcBorders>
            <w:shd w:val="clear" w:color="auto" w:fill="auto"/>
            <w:noWrap/>
            <w:vAlign w:val="bottom"/>
            <w:hideMark/>
          </w:tcPr>
          <w:p w14:paraId="35DF297A"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(522.933)</w:t>
            </w:r>
          </w:p>
        </w:tc>
      </w:tr>
      <w:tr w:rsidR="00D40091" w:rsidRPr="00D40091" w14:paraId="6783684D" w14:textId="77777777" w:rsidTr="00AA502F">
        <w:trPr>
          <w:trHeight w:val="315"/>
        </w:trPr>
        <w:tc>
          <w:tcPr>
            <w:tcW w:w="4420" w:type="dxa"/>
            <w:tcBorders>
              <w:top w:val="nil"/>
              <w:left w:val="nil"/>
              <w:bottom w:val="nil"/>
              <w:right w:val="nil"/>
            </w:tcBorders>
            <w:shd w:val="clear" w:color="auto" w:fill="auto"/>
            <w:noWrap/>
            <w:vAlign w:val="bottom"/>
            <w:hideMark/>
          </w:tcPr>
          <w:p w14:paraId="365B1F0E"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Assessoria Contábil</w:t>
            </w:r>
          </w:p>
        </w:tc>
        <w:tc>
          <w:tcPr>
            <w:tcW w:w="1297" w:type="dxa"/>
            <w:tcBorders>
              <w:top w:val="nil"/>
              <w:left w:val="nil"/>
              <w:bottom w:val="nil"/>
              <w:right w:val="nil"/>
            </w:tcBorders>
            <w:shd w:val="clear" w:color="auto" w:fill="auto"/>
            <w:noWrap/>
            <w:vAlign w:val="bottom"/>
            <w:hideMark/>
          </w:tcPr>
          <w:p w14:paraId="60C321FE"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38FBF92C"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3592D60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(69.960)</w:t>
            </w:r>
          </w:p>
        </w:tc>
        <w:tc>
          <w:tcPr>
            <w:tcW w:w="252" w:type="dxa"/>
            <w:tcBorders>
              <w:top w:val="nil"/>
              <w:left w:val="nil"/>
              <w:bottom w:val="nil"/>
              <w:right w:val="nil"/>
            </w:tcBorders>
            <w:shd w:val="clear" w:color="auto" w:fill="auto"/>
            <w:noWrap/>
            <w:vAlign w:val="bottom"/>
            <w:hideMark/>
          </w:tcPr>
          <w:p w14:paraId="5D2A1B4B"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365E80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(69.960)</w:t>
            </w:r>
          </w:p>
        </w:tc>
      </w:tr>
      <w:tr w:rsidR="00D40091" w:rsidRPr="00D40091" w14:paraId="5FA4AF34" w14:textId="77777777" w:rsidTr="00AA502F">
        <w:trPr>
          <w:trHeight w:val="315"/>
        </w:trPr>
        <w:tc>
          <w:tcPr>
            <w:tcW w:w="4420" w:type="dxa"/>
            <w:tcBorders>
              <w:top w:val="nil"/>
              <w:left w:val="nil"/>
              <w:bottom w:val="nil"/>
              <w:right w:val="nil"/>
            </w:tcBorders>
            <w:shd w:val="clear" w:color="auto" w:fill="auto"/>
            <w:noWrap/>
            <w:vAlign w:val="bottom"/>
            <w:hideMark/>
          </w:tcPr>
          <w:p w14:paraId="3745334E"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Auditoria e Consultoria</w:t>
            </w:r>
          </w:p>
        </w:tc>
        <w:tc>
          <w:tcPr>
            <w:tcW w:w="1297" w:type="dxa"/>
            <w:tcBorders>
              <w:top w:val="nil"/>
              <w:left w:val="nil"/>
              <w:bottom w:val="nil"/>
              <w:right w:val="nil"/>
            </w:tcBorders>
            <w:shd w:val="clear" w:color="auto" w:fill="auto"/>
            <w:noWrap/>
            <w:vAlign w:val="bottom"/>
            <w:hideMark/>
          </w:tcPr>
          <w:p w14:paraId="74CE0F4D"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202DE041"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1B00EB0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(14.809)</w:t>
            </w:r>
          </w:p>
        </w:tc>
        <w:tc>
          <w:tcPr>
            <w:tcW w:w="252" w:type="dxa"/>
            <w:tcBorders>
              <w:top w:val="nil"/>
              <w:left w:val="nil"/>
              <w:bottom w:val="nil"/>
              <w:right w:val="nil"/>
            </w:tcBorders>
            <w:shd w:val="clear" w:color="auto" w:fill="auto"/>
            <w:noWrap/>
            <w:vAlign w:val="bottom"/>
            <w:hideMark/>
          </w:tcPr>
          <w:p w14:paraId="0D44C449"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22AD11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(13.575)</w:t>
            </w:r>
          </w:p>
        </w:tc>
      </w:tr>
      <w:tr w:rsidR="00D40091" w:rsidRPr="00D40091" w14:paraId="48830E44" w14:textId="77777777" w:rsidTr="00AA502F">
        <w:trPr>
          <w:trHeight w:val="315"/>
        </w:trPr>
        <w:tc>
          <w:tcPr>
            <w:tcW w:w="4420" w:type="dxa"/>
            <w:tcBorders>
              <w:top w:val="nil"/>
              <w:left w:val="nil"/>
              <w:bottom w:val="nil"/>
              <w:right w:val="nil"/>
            </w:tcBorders>
            <w:shd w:val="clear" w:color="auto" w:fill="auto"/>
            <w:noWrap/>
            <w:vAlign w:val="bottom"/>
            <w:hideMark/>
          </w:tcPr>
          <w:p w14:paraId="4BE25926"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Outros Serviços PJ</w:t>
            </w:r>
          </w:p>
        </w:tc>
        <w:tc>
          <w:tcPr>
            <w:tcW w:w="1297" w:type="dxa"/>
            <w:tcBorders>
              <w:top w:val="nil"/>
              <w:left w:val="nil"/>
              <w:bottom w:val="nil"/>
              <w:right w:val="nil"/>
            </w:tcBorders>
            <w:shd w:val="clear" w:color="auto" w:fill="auto"/>
            <w:noWrap/>
            <w:vAlign w:val="bottom"/>
            <w:hideMark/>
          </w:tcPr>
          <w:p w14:paraId="4582D8ED"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47C8D8EF"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F3724A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(29.724)</w:t>
            </w:r>
          </w:p>
        </w:tc>
        <w:tc>
          <w:tcPr>
            <w:tcW w:w="252" w:type="dxa"/>
            <w:tcBorders>
              <w:top w:val="nil"/>
              <w:left w:val="nil"/>
              <w:bottom w:val="nil"/>
              <w:right w:val="nil"/>
            </w:tcBorders>
            <w:shd w:val="clear" w:color="auto" w:fill="auto"/>
            <w:noWrap/>
            <w:vAlign w:val="bottom"/>
            <w:hideMark/>
          </w:tcPr>
          <w:p w14:paraId="018741F1"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CF9717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(43.527)</w:t>
            </w:r>
          </w:p>
        </w:tc>
      </w:tr>
      <w:tr w:rsidR="00D40091" w:rsidRPr="00D40091" w14:paraId="03B6FD99" w14:textId="77777777" w:rsidTr="00AA502F">
        <w:trPr>
          <w:trHeight w:val="315"/>
        </w:trPr>
        <w:tc>
          <w:tcPr>
            <w:tcW w:w="4420" w:type="dxa"/>
            <w:tcBorders>
              <w:top w:val="nil"/>
              <w:left w:val="nil"/>
              <w:bottom w:val="nil"/>
              <w:right w:val="nil"/>
            </w:tcBorders>
            <w:shd w:val="clear" w:color="auto" w:fill="auto"/>
            <w:noWrap/>
            <w:vAlign w:val="bottom"/>
            <w:hideMark/>
          </w:tcPr>
          <w:p w14:paraId="66C72DCD"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Aluguel e </w:t>
            </w:r>
            <w:proofErr w:type="spellStart"/>
            <w:r w:rsidRPr="00D40091">
              <w:rPr>
                <w:rFonts w:ascii="Arial" w:hAnsi="Arial" w:cs="Arial"/>
                <w:color w:val="000000"/>
                <w:sz w:val="18"/>
                <w:szCs w:val="18"/>
              </w:rPr>
              <w:t>Condominio</w:t>
            </w:r>
            <w:proofErr w:type="spellEnd"/>
          </w:p>
        </w:tc>
        <w:tc>
          <w:tcPr>
            <w:tcW w:w="1297" w:type="dxa"/>
            <w:tcBorders>
              <w:top w:val="nil"/>
              <w:left w:val="nil"/>
              <w:bottom w:val="nil"/>
              <w:right w:val="nil"/>
            </w:tcBorders>
            <w:shd w:val="clear" w:color="auto" w:fill="auto"/>
            <w:noWrap/>
            <w:vAlign w:val="bottom"/>
            <w:hideMark/>
          </w:tcPr>
          <w:p w14:paraId="02350F4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22</w:t>
            </w:r>
          </w:p>
        </w:tc>
        <w:tc>
          <w:tcPr>
            <w:tcW w:w="196" w:type="dxa"/>
            <w:tcBorders>
              <w:top w:val="nil"/>
              <w:left w:val="nil"/>
              <w:bottom w:val="nil"/>
              <w:right w:val="nil"/>
            </w:tcBorders>
            <w:shd w:val="clear" w:color="auto" w:fill="auto"/>
            <w:noWrap/>
            <w:vAlign w:val="bottom"/>
            <w:hideMark/>
          </w:tcPr>
          <w:p w14:paraId="4897EFA8"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07D1EA3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(155.190)</w:t>
            </w:r>
          </w:p>
        </w:tc>
        <w:tc>
          <w:tcPr>
            <w:tcW w:w="252" w:type="dxa"/>
            <w:tcBorders>
              <w:top w:val="nil"/>
              <w:left w:val="nil"/>
              <w:bottom w:val="nil"/>
              <w:right w:val="nil"/>
            </w:tcBorders>
            <w:shd w:val="clear" w:color="auto" w:fill="auto"/>
            <w:noWrap/>
            <w:vAlign w:val="bottom"/>
            <w:hideMark/>
          </w:tcPr>
          <w:p w14:paraId="1B12CC7F"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B3BE46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(159.115)</w:t>
            </w:r>
          </w:p>
        </w:tc>
      </w:tr>
      <w:tr w:rsidR="00D40091" w:rsidRPr="00D40091" w14:paraId="59859F6D" w14:textId="77777777" w:rsidTr="00AA502F">
        <w:trPr>
          <w:trHeight w:val="315"/>
        </w:trPr>
        <w:tc>
          <w:tcPr>
            <w:tcW w:w="4420" w:type="dxa"/>
            <w:tcBorders>
              <w:top w:val="nil"/>
              <w:left w:val="nil"/>
              <w:bottom w:val="nil"/>
              <w:right w:val="nil"/>
            </w:tcBorders>
            <w:shd w:val="clear" w:color="auto" w:fill="auto"/>
            <w:noWrap/>
            <w:vAlign w:val="bottom"/>
            <w:hideMark/>
          </w:tcPr>
          <w:p w14:paraId="1E2B7B73"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Seguros</w:t>
            </w:r>
          </w:p>
        </w:tc>
        <w:tc>
          <w:tcPr>
            <w:tcW w:w="1297" w:type="dxa"/>
            <w:tcBorders>
              <w:top w:val="nil"/>
              <w:left w:val="nil"/>
              <w:bottom w:val="nil"/>
              <w:right w:val="nil"/>
            </w:tcBorders>
            <w:shd w:val="clear" w:color="auto" w:fill="auto"/>
            <w:noWrap/>
            <w:vAlign w:val="bottom"/>
            <w:hideMark/>
          </w:tcPr>
          <w:p w14:paraId="052BAC58"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777F5CF8"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C1E8E5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(178.440)</w:t>
            </w:r>
          </w:p>
        </w:tc>
        <w:tc>
          <w:tcPr>
            <w:tcW w:w="252" w:type="dxa"/>
            <w:tcBorders>
              <w:top w:val="nil"/>
              <w:left w:val="nil"/>
              <w:bottom w:val="nil"/>
              <w:right w:val="nil"/>
            </w:tcBorders>
            <w:shd w:val="clear" w:color="auto" w:fill="auto"/>
            <w:noWrap/>
            <w:vAlign w:val="bottom"/>
            <w:hideMark/>
          </w:tcPr>
          <w:p w14:paraId="6B480110"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45DB21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(198.105)</w:t>
            </w:r>
          </w:p>
        </w:tc>
      </w:tr>
      <w:tr w:rsidR="00D40091" w:rsidRPr="00D40091" w14:paraId="219F6FED" w14:textId="77777777" w:rsidTr="00AA502F">
        <w:trPr>
          <w:trHeight w:val="315"/>
        </w:trPr>
        <w:tc>
          <w:tcPr>
            <w:tcW w:w="4420" w:type="dxa"/>
            <w:tcBorders>
              <w:top w:val="nil"/>
              <w:left w:val="nil"/>
              <w:bottom w:val="nil"/>
              <w:right w:val="nil"/>
            </w:tcBorders>
            <w:shd w:val="clear" w:color="auto" w:fill="auto"/>
            <w:noWrap/>
            <w:vAlign w:val="bottom"/>
            <w:hideMark/>
          </w:tcPr>
          <w:p w14:paraId="76420398" w14:textId="77777777" w:rsidR="00D40091" w:rsidRPr="00D40091" w:rsidRDefault="00D40091" w:rsidP="00AA502F">
            <w:pPr>
              <w:spacing w:line="240" w:lineRule="auto"/>
              <w:ind w:firstLineChars="100" w:firstLine="180"/>
              <w:rPr>
                <w:rFonts w:ascii="Arial" w:hAnsi="Arial" w:cs="Arial"/>
                <w:sz w:val="18"/>
                <w:szCs w:val="18"/>
              </w:rPr>
            </w:pPr>
            <w:r w:rsidRPr="00D40091">
              <w:rPr>
                <w:rFonts w:ascii="Arial" w:hAnsi="Arial" w:cs="Arial"/>
                <w:sz w:val="18"/>
                <w:szCs w:val="18"/>
              </w:rPr>
              <w:t xml:space="preserve">  Depreciações</w:t>
            </w:r>
          </w:p>
        </w:tc>
        <w:tc>
          <w:tcPr>
            <w:tcW w:w="1297" w:type="dxa"/>
            <w:tcBorders>
              <w:top w:val="nil"/>
              <w:left w:val="nil"/>
              <w:bottom w:val="nil"/>
              <w:right w:val="nil"/>
            </w:tcBorders>
            <w:shd w:val="clear" w:color="auto" w:fill="auto"/>
            <w:noWrap/>
            <w:vAlign w:val="bottom"/>
            <w:hideMark/>
          </w:tcPr>
          <w:p w14:paraId="5D90C6BE"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16254FDA"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3075161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(18.902)</w:t>
            </w:r>
          </w:p>
        </w:tc>
        <w:tc>
          <w:tcPr>
            <w:tcW w:w="252" w:type="dxa"/>
            <w:tcBorders>
              <w:top w:val="nil"/>
              <w:left w:val="nil"/>
              <w:bottom w:val="nil"/>
              <w:right w:val="nil"/>
            </w:tcBorders>
            <w:shd w:val="clear" w:color="auto" w:fill="auto"/>
            <w:noWrap/>
            <w:vAlign w:val="bottom"/>
            <w:hideMark/>
          </w:tcPr>
          <w:p w14:paraId="16DD5D87"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559D07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(10.229)</w:t>
            </w:r>
          </w:p>
        </w:tc>
      </w:tr>
      <w:tr w:rsidR="00D40091" w:rsidRPr="00D40091" w14:paraId="5E04291D" w14:textId="77777777" w:rsidTr="00AA502F">
        <w:trPr>
          <w:trHeight w:val="315"/>
        </w:trPr>
        <w:tc>
          <w:tcPr>
            <w:tcW w:w="4420" w:type="dxa"/>
            <w:tcBorders>
              <w:top w:val="nil"/>
              <w:left w:val="nil"/>
              <w:bottom w:val="nil"/>
              <w:right w:val="nil"/>
            </w:tcBorders>
            <w:shd w:val="clear" w:color="auto" w:fill="auto"/>
            <w:noWrap/>
            <w:vAlign w:val="bottom"/>
            <w:hideMark/>
          </w:tcPr>
          <w:p w14:paraId="7C9592E3" w14:textId="77777777" w:rsidR="00D40091" w:rsidRPr="00D40091" w:rsidRDefault="00D40091" w:rsidP="00AA502F">
            <w:pPr>
              <w:spacing w:line="240" w:lineRule="auto"/>
              <w:ind w:firstLineChars="100" w:firstLine="180"/>
              <w:rPr>
                <w:rFonts w:ascii="Arial" w:hAnsi="Arial" w:cs="Arial"/>
                <w:sz w:val="18"/>
                <w:szCs w:val="18"/>
              </w:rPr>
            </w:pPr>
            <w:r w:rsidRPr="00D40091">
              <w:rPr>
                <w:rFonts w:ascii="Arial" w:hAnsi="Arial" w:cs="Arial"/>
                <w:sz w:val="18"/>
                <w:szCs w:val="18"/>
              </w:rPr>
              <w:t xml:space="preserve">  Amortizações</w:t>
            </w:r>
          </w:p>
        </w:tc>
        <w:tc>
          <w:tcPr>
            <w:tcW w:w="1297" w:type="dxa"/>
            <w:tcBorders>
              <w:top w:val="nil"/>
              <w:left w:val="nil"/>
              <w:bottom w:val="nil"/>
              <w:right w:val="nil"/>
            </w:tcBorders>
            <w:shd w:val="clear" w:color="auto" w:fill="auto"/>
            <w:noWrap/>
            <w:vAlign w:val="bottom"/>
            <w:hideMark/>
          </w:tcPr>
          <w:p w14:paraId="11310CB9"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1C1CB3C"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29E6ED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(5.157)</w:t>
            </w:r>
          </w:p>
        </w:tc>
        <w:tc>
          <w:tcPr>
            <w:tcW w:w="252" w:type="dxa"/>
            <w:tcBorders>
              <w:top w:val="nil"/>
              <w:left w:val="nil"/>
              <w:bottom w:val="nil"/>
              <w:right w:val="nil"/>
            </w:tcBorders>
            <w:shd w:val="clear" w:color="auto" w:fill="auto"/>
            <w:noWrap/>
            <w:vAlign w:val="bottom"/>
            <w:hideMark/>
          </w:tcPr>
          <w:p w14:paraId="330F618F"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01E85E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r>
      <w:tr w:rsidR="00D40091" w:rsidRPr="00D40091" w14:paraId="3D533ECA" w14:textId="77777777" w:rsidTr="00AA502F">
        <w:trPr>
          <w:trHeight w:val="315"/>
        </w:trPr>
        <w:tc>
          <w:tcPr>
            <w:tcW w:w="4420" w:type="dxa"/>
            <w:tcBorders>
              <w:top w:val="nil"/>
              <w:left w:val="nil"/>
              <w:bottom w:val="nil"/>
              <w:right w:val="nil"/>
            </w:tcBorders>
            <w:shd w:val="clear" w:color="auto" w:fill="auto"/>
            <w:noWrap/>
            <w:vAlign w:val="bottom"/>
            <w:hideMark/>
          </w:tcPr>
          <w:p w14:paraId="60AA25E9" w14:textId="77777777" w:rsidR="00D40091" w:rsidRPr="00D40091" w:rsidRDefault="00D40091" w:rsidP="00AA502F">
            <w:pPr>
              <w:spacing w:line="240" w:lineRule="auto"/>
              <w:ind w:firstLineChars="100" w:firstLine="180"/>
              <w:rPr>
                <w:rFonts w:ascii="Arial" w:hAnsi="Arial" w:cs="Arial"/>
                <w:sz w:val="18"/>
                <w:szCs w:val="18"/>
              </w:rPr>
            </w:pPr>
            <w:r w:rsidRPr="00D40091">
              <w:rPr>
                <w:rFonts w:ascii="Arial" w:hAnsi="Arial" w:cs="Arial"/>
                <w:sz w:val="18"/>
                <w:szCs w:val="18"/>
              </w:rPr>
              <w:t xml:space="preserve">  Perda de Capital</w:t>
            </w:r>
          </w:p>
        </w:tc>
        <w:tc>
          <w:tcPr>
            <w:tcW w:w="1297" w:type="dxa"/>
            <w:tcBorders>
              <w:top w:val="nil"/>
              <w:left w:val="nil"/>
              <w:bottom w:val="nil"/>
              <w:right w:val="nil"/>
            </w:tcBorders>
            <w:shd w:val="clear" w:color="auto" w:fill="auto"/>
            <w:noWrap/>
            <w:vAlign w:val="bottom"/>
            <w:hideMark/>
          </w:tcPr>
          <w:p w14:paraId="7A7D3674"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309F060A"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FB777E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c>
          <w:tcPr>
            <w:tcW w:w="252" w:type="dxa"/>
            <w:tcBorders>
              <w:top w:val="nil"/>
              <w:left w:val="nil"/>
              <w:bottom w:val="nil"/>
              <w:right w:val="nil"/>
            </w:tcBorders>
            <w:shd w:val="clear" w:color="auto" w:fill="auto"/>
            <w:noWrap/>
            <w:vAlign w:val="bottom"/>
            <w:hideMark/>
          </w:tcPr>
          <w:p w14:paraId="1C7F1988"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303369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(444)</w:t>
            </w:r>
          </w:p>
        </w:tc>
      </w:tr>
      <w:tr w:rsidR="00D40091" w:rsidRPr="00D40091" w14:paraId="69A44522" w14:textId="77777777" w:rsidTr="00AA502F">
        <w:trPr>
          <w:trHeight w:val="315"/>
        </w:trPr>
        <w:tc>
          <w:tcPr>
            <w:tcW w:w="4420" w:type="dxa"/>
            <w:tcBorders>
              <w:top w:val="nil"/>
              <w:left w:val="nil"/>
              <w:bottom w:val="nil"/>
              <w:right w:val="nil"/>
            </w:tcBorders>
            <w:shd w:val="clear" w:color="auto" w:fill="auto"/>
            <w:noWrap/>
            <w:vAlign w:val="bottom"/>
            <w:hideMark/>
          </w:tcPr>
          <w:p w14:paraId="3D9C9ABB"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Outras Despesas Operacionais</w:t>
            </w:r>
          </w:p>
        </w:tc>
        <w:tc>
          <w:tcPr>
            <w:tcW w:w="1297" w:type="dxa"/>
            <w:tcBorders>
              <w:top w:val="nil"/>
              <w:left w:val="nil"/>
              <w:bottom w:val="nil"/>
              <w:right w:val="nil"/>
            </w:tcBorders>
            <w:shd w:val="clear" w:color="auto" w:fill="auto"/>
            <w:noWrap/>
            <w:vAlign w:val="bottom"/>
            <w:hideMark/>
          </w:tcPr>
          <w:p w14:paraId="3BE8DF7C"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6FD272EF"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790215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(17.498)</w:t>
            </w:r>
          </w:p>
        </w:tc>
        <w:tc>
          <w:tcPr>
            <w:tcW w:w="252" w:type="dxa"/>
            <w:tcBorders>
              <w:top w:val="nil"/>
              <w:left w:val="nil"/>
              <w:bottom w:val="nil"/>
              <w:right w:val="nil"/>
            </w:tcBorders>
            <w:shd w:val="clear" w:color="auto" w:fill="auto"/>
            <w:noWrap/>
            <w:vAlign w:val="bottom"/>
            <w:hideMark/>
          </w:tcPr>
          <w:p w14:paraId="6F5B5992"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E882FF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(27.978)</w:t>
            </w:r>
          </w:p>
        </w:tc>
      </w:tr>
      <w:tr w:rsidR="00D40091" w:rsidRPr="00D40091" w14:paraId="399B7753" w14:textId="77777777" w:rsidTr="00AA502F">
        <w:trPr>
          <w:trHeight w:val="315"/>
        </w:trPr>
        <w:tc>
          <w:tcPr>
            <w:tcW w:w="4420" w:type="dxa"/>
            <w:tcBorders>
              <w:top w:val="nil"/>
              <w:left w:val="nil"/>
              <w:bottom w:val="nil"/>
              <w:right w:val="nil"/>
            </w:tcBorders>
            <w:shd w:val="clear" w:color="auto" w:fill="auto"/>
            <w:noWrap/>
            <w:vAlign w:val="bottom"/>
            <w:hideMark/>
          </w:tcPr>
          <w:p w14:paraId="5DFD0A9B"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4F8CD3AB"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68A12E85"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A8297A2" w14:textId="77777777" w:rsidR="00D40091" w:rsidRPr="00D40091" w:rsidRDefault="00D40091" w:rsidP="00AA502F">
            <w:pPr>
              <w:spacing w:line="240" w:lineRule="auto"/>
              <w:jc w:val="center"/>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4EFFEA3B"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AC9C51B" w14:textId="77777777" w:rsidR="00D40091" w:rsidRPr="00D40091" w:rsidRDefault="00D40091" w:rsidP="00AA502F">
            <w:pPr>
              <w:spacing w:line="240" w:lineRule="auto"/>
              <w:jc w:val="center"/>
              <w:rPr>
                <w:rFonts w:ascii="Arial" w:hAnsi="Arial" w:cs="Arial"/>
                <w:sz w:val="18"/>
                <w:szCs w:val="18"/>
              </w:rPr>
            </w:pPr>
          </w:p>
        </w:tc>
      </w:tr>
      <w:tr w:rsidR="00D40091" w:rsidRPr="00D40091" w14:paraId="1D278789" w14:textId="77777777" w:rsidTr="00AA502F">
        <w:trPr>
          <w:trHeight w:val="255"/>
        </w:trPr>
        <w:tc>
          <w:tcPr>
            <w:tcW w:w="4420" w:type="dxa"/>
            <w:tcBorders>
              <w:top w:val="nil"/>
              <w:left w:val="nil"/>
              <w:bottom w:val="nil"/>
              <w:right w:val="nil"/>
            </w:tcBorders>
            <w:shd w:val="clear" w:color="auto" w:fill="auto"/>
            <w:noWrap/>
            <w:vAlign w:val="bottom"/>
            <w:hideMark/>
          </w:tcPr>
          <w:p w14:paraId="1C3D6ED1" w14:textId="77777777" w:rsidR="00D40091" w:rsidRPr="00D40091" w:rsidRDefault="00D40091" w:rsidP="00AA502F">
            <w:pPr>
              <w:spacing w:line="240" w:lineRule="auto"/>
              <w:ind w:firstLineChars="100" w:firstLine="181"/>
              <w:rPr>
                <w:rFonts w:ascii="Arial" w:hAnsi="Arial" w:cs="Arial"/>
                <w:b/>
                <w:bCs/>
                <w:color w:val="000000"/>
                <w:sz w:val="18"/>
                <w:szCs w:val="18"/>
              </w:rPr>
            </w:pPr>
            <w:r w:rsidRPr="00D40091">
              <w:rPr>
                <w:rFonts w:ascii="Arial" w:hAnsi="Arial" w:cs="Arial"/>
                <w:b/>
                <w:bCs/>
                <w:color w:val="000000"/>
                <w:sz w:val="18"/>
                <w:szCs w:val="18"/>
              </w:rPr>
              <w:t>Financeiras</w:t>
            </w:r>
          </w:p>
        </w:tc>
        <w:tc>
          <w:tcPr>
            <w:tcW w:w="1297" w:type="dxa"/>
            <w:tcBorders>
              <w:top w:val="nil"/>
              <w:left w:val="nil"/>
              <w:bottom w:val="nil"/>
              <w:right w:val="nil"/>
            </w:tcBorders>
            <w:shd w:val="clear" w:color="auto" w:fill="auto"/>
            <w:noWrap/>
            <w:vAlign w:val="bottom"/>
            <w:hideMark/>
          </w:tcPr>
          <w:p w14:paraId="7BD0FC39" w14:textId="77777777" w:rsidR="00D40091" w:rsidRPr="00D40091" w:rsidRDefault="00D40091" w:rsidP="00AA502F">
            <w:pPr>
              <w:spacing w:line="240" w:lineRule="auto"/>
              <w:ind w:firstLineChars="100" w:firstLine="181"/>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1B690EAB"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2864889E"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4.341.812 </w:t>
            </w:r>
          </w:p>
        </w:tc>
        <w:tc>
          <w:tcPr>
            <w:tcW w:w="252" w:type="dxa"/>
            <w:tcBorders>
              <w:top w:val="nil"/>
              <w:left w:val="nil"/>
              <w:bottom w:val="nil"/>
              <w:right w:val="nil"/>
            </w:tcBorders>
            <w:shd w:val="clear" w:color="auto" w:fill="auto"/>
            <w:noWrap/>
            <w:vAlign w:val="bottom"/>
            <w:hideMark/>
          </w:tcPr>
          <w:p w14:paraId="33D9EEB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w:t>
            </w:r>
          </w:p>
        </w:tc>
        <w:tc>
          <w:tcPr>
            <w:tcW w:w="1331" w:type="dxa"/>
            <w:tcBorders>
              <w:top w:val="nil"/>
              <w:left w:val="nil"/>
              <w:bottom w:val="single" w:sz="4" w:space="0" w:color="auto"/>
              <w:right w:val="nil"/>
            </w:tcBorders>
            <w:shd w:val="clear" w:color="auto" w:fill="auto"/>
            <w:noWrap/>
            <w:vAlign w:val="bottom"/>
            <w:hideMark/>
          </w:tcPr>
          <w:p w14:paraId="4AA7A9BD"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2.217.196 </w:t>
            </w:r>
          </w:p>
        </w:tc>
      </w:tr>
      <w:tr w:rsidR="00D40091" w:rsidRPr="00D40091" w14:paraId="34F0C622" w14:textId="77777777" w:rsidTr="00AA502F">
        <w:trPr>
          <w:trHeight w:val="255"/>
        </w:trPr>
        <w:tc>
          <w:tcPr>
            <w:tcW w:w="4420" w:type="dxa"/>
            <w:tcBorders>
              <w:top w:val="nil"/>
              <w:left w:val="nil"/>
              <w:bottom w:val="nil"/>
              <w:right w:val="nil"/>
            </w:tcBorders>
            <w:shd w:val="clear" w:color="auto" w:fill="auto"/>
            <w:noWrap/>
            <w:vAlign w:val="center"/>
            <w:hideMark/>
          </w:tcPr>
          <w:p w14:paraId="10875E6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Receita de CCI</w:t>
            </w:r>
          </w:p>
        </w:tc>
        <w:tc>
          <w:tcPr>
            <w:tcW w:w="1297" w:type="dxa"/>
            <w:tcBorders>
              <w:top w:val="nil"/>
              <w:left w:val="nil"/>
              <w:bottom w:val="nil"/>
              <w:right w:val="nil"/>
            </w:tcBorders>
            <w:shd w:val="clear" w:color="auto" w:fill="auto"/>
            <w:noWrap/>
            <w:vAlign w:val="bottom"/>
            <w:hideMark/>
          </w:tcPr>
          <w:p w14:paraId="343C46EB"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07796823"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79CB41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3.611.699 </w:t>
            </w:r>
          </w:p>
        </w:tc>
        <w:tc>
          <w:tcPr>
            <w:tcW w:w="252" w:type="dxa"/>
            <w:tcBorders>
              <w:top w:val="nil"/>
              <w:left w:val="nil"/>
              <w:bottom w:val="nil"/>
              <w:right w:val="nil"/>
            </w:tcBorders>
            <w:shd w:val="clear" w:color="auto" w:fill="auto"/>
            <w:noWrap/>
            <w:vAlign w:val="bottom"/>
            <w:hideMark/>
          </w:tcPr>
          <w:p w14:paraId="31B6E5F3"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0A06934"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   </w:t>
            </w:r>
          </w:p>
        </w:tc>
      </w:tr>
      <w:tr w:rsidR="00D40091" w:rsidRPr="00D40091" w14:paraId="3D810270" w14:textId="77777777" w:rsidTr="00AA502F">
        <w:trPr>
          <w:trHeight w:val="300"/>
        </w:trPr>
        <w:tc>
          <w:tcPr>
            <w:tcW w:w="4420" w:type="dxa"/>
            <w:tcBorders>
              <w:top w:val="nil"/>
              <w:left w:val="nil"/>
              <w:bottom w:val="nil"/>
              <w:right w:val="nil"/>
            </w:tcBorders>
            <w:shd w:val="clear" w:color="auto" w:fill="auto"/>
            <w:noWrap/>
            <w:vAlign w:val="center"/>
            <w:hideMark/>
          </w:tcPr>
          <w:p w14:paraId="13EDE2D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Rendimentos de Aplicação Financeira</w:t>
            </w:r>
          </w:p>
        </w:tc>
        <w:tc>
          <w:tcPr>
            <w:tcW w:w="1297" w:type="dxa"/>
            <w:tcBorders>
              <w:top w:val="nil"/>
              <w:left w:val="nil"/>
              <w:bottom w:val="nil"/>
              <w:right w:val="nil"/>
            </w:tcBorders>
            <w:shd w:val="clear" w:color="auto" w:fill="auto"/>
            <w:noWrap/>
            <w:vAlign w:val="bottom"/>
            <w:hideMark/>
          </w:tcPr>
          <w:p w14:paraId="282324F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19</w:t>
            </w:r>
          </w:p>
        </w:tc>
        <w:tc>
          <w:tcPr>
            <w:tcW w:w="196" w:type="dxa"/>
            <w:tcBorders>
              <w:top w:val="nil"/>
              <w:left w:val="nil"/>
              <w:bottom w:val="nil"/>
              <w:right w:val="nil"/>
            </w:tcBorders>
            <w:shd w:val="clear" w:color="auto" w:fill="auto"/>
            <w:noWrap/>
            <w:vAlign w:val="bottom"/>
            <w:hideMark/>
          </w:tcPr>
          <w:p w14:paraId="674D3A85"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18CADBA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920.445 </w:t>
            </w:r>
          </w:p>
        </w:tc>
        <w:tc>
          <w:tcPr>
            <w:tcW w:w="252" w:type="dxa"/>
            <w:tcBorders>
              <w:top w:val="nil"/>
              <w:left w:val="nil"/>
              <w:bottom w:val="nil"/>
              <w:right w:val="nil"/>
            </w:tcBorders>
            <w:shd w:val="clear" w:color="auto" w:fill="auto"/>
            <w:noWrap/>
            <w:vAlign w:val="bottom"/>
            <w:hideMark/>
          </w:tcPr>
          <w:p w14:paraId="39597F9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981A41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2.216.681 </w:t>
            </w:r>
          </w:p>
        </w:tc>
      </w:tr>
      <w:tr w:rsidR="00D40091" w:rsidRPr="00D40091" w14:paraId="44ADB15E" w14:textId="77777777" w:rsidTr="00AA502F">
        <w:trPr>
          <w:trHeight w:val="315"/>
        </w:trPr>
        <w:tc>
          <w:tcPr>
            <w:tcW w:w="4420" w:type="dxa"/>
            <w:tcBorders>
              <w:top w:val="nil"/>
              <w:left w:val="nil"/>
              <w:bottom w:val="nil"/>
              <w:right w:val="nil"/>
            </w:tcBorders>
            <w:shd w:val="clear" w:color="auto" w:fill="auto"/>
            <w:noWrap/>
            <w:vAlign w:val="center"/>
            <w:hideMark/>
          </w:tcPr>
          <w:p w14:paraId="194754B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Juros Ativos</w:t>
            </w:r>
          </w:p>
        </w:tc>
        <w:tc>
          <w:tcPr>
            <w:tcW w:w="1297" w:type="dxa"/>
            <w:tcBorders>
              <w:top w:val="nil"/>
              <w:left w:val="nil"/>
              <w:bottom w:val="nil"/>
              <w:right w:val="nil"/>
            </w:tcBorders>
            <w:shd w:val="clear" w:color="auto" w:fill="auto"/>
            <w:noWrap/>
            <w:vAlign w:val="bottom"/>
            <w:hideMark/>
          </w:tcPr>
          <w:p w14:paraId="608A862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19</w:t>
            </w:r>
          </w:p>
        </w:tc>
        <w:tc>
          <w:tcPr>
            <w:tcW w:w="196" w:type="dxa"/>
            <w:tcBorders>
              <w:top w:val="nil"/>
              <w:left w:val="nil"/>
              <w:bottom w:val="nil"/>
              <w:right w:val="nil"/>
            </w:tcBorders>
            <w:shd w:val="clear" w:color="auto" w:fill="auto"/>
            <w:noWrap/>
            <w:vAlign w:val="bottom"/>
            <w:hideMark/>
          </w:tcPr>
          <w:p w14:paraId="3D49D93E"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551FED2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22.501 </w:t>
            </w:r>
          </w:p>
        </w:tc>
        <w:tc>
          <w:tcPr>
            <w:tcW w:w="252" w:type="dxa"/>
            <w:tcBorders>
              <w:top w:val="nil"/>
              <w:left w:val="nil"/>
              <w:bottom w:val="nil"/>
              <w:right w:val="nil"/>
            </w:tcBorders>
            <w:shd w:val="clear" w:color="auto" w:fill="auto"/>
            <w:noWrap/>
            <w:vAlign w:val="bottom"/>
            <w:hideMark/>
          </w:tcPr>
          <w:p w14:paraId="44D9AB8A"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6D9693B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49.419 </w:t>
            </w:r>
          </w:p>
        </w:tc>
      </w:tr>
      <w:tr w:rsidR="00D40091" w:rsidRPr="00D40091" w14:paraId="3011CD02" w14:textId="77777777" w:rsidTr="00AA502F">
        <w:trPr>
          <w:trHeight w:val="315"/>
        </w:trPr>
        <w:tc>
          <w:tcPr>
            <w:tcW w:w="4420" w:type="dxa"/>
            <w:tcBorders>
              <w:top w:val="nil"/>
              <w:left w:val="nil"/>
              <w:bottom w:val="nil"/>
              <w:right w:val="nil"/>
            </w:tcBorders>
            <w:shd w:val="clear" w:color="auto" w:fill="auto"/>
            <w:noWrap/>
            <w:vAlign w:val="center"/>
            <w:hideMark/>
          </w:tcPr>
          <w:p w14:paraId="567A2D8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Desconto Obtido</w:t>
            </w:r>
          </w:p>
        </w:tc>
        <w:tc>
          <w:tcPr>
            <w:tcW w:w="1297" w:type="dxa"/>
            <w:tcBorders>
              <w:top w:val="nil"/>
              <w:left w:val="nil"/>
              <w:bottom w:val="nil"/>
              <w:right w:val="nil"/>
            </w:tcBorders>
            <w:shd w:val="clear" w:color="auto" w:fill="auto"/>
            <w:noWrap/>
            <w:vAlign w:val="bottom"/>
            <w:hideMark/>
          </w:tcPr>
          <w:p w14:paraId="2832623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19</w:t>
            </w:r>
          </w:p>
        </w:tc>
        <w:tc>
          <w:tcPr>
            <w:tcW w:w="196" w:type="dxa"/>
            <w:tcBorders>
              <w:top w:val="nil"/>
              <w:left w:val="nil"/>
              <w:bottom w:val="nil"/>
              <w:right w:val="nil"/>
            </w:tcBorders>
            <w:shd w:val="clear" w:color="auto" w:fill="auto"/>
            <w:noWrap/>
            <w:vAlign w:val="bottom"/>
            <w:hideMark/>
          </w:tcPr>
          <w:p w14:paraId="2FEF030B"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7F548AC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c>
          <w:tcPr>
            <w:tcW w:w="252" w:type="dxa"/>
            <w:tcBorders>
              <w:top w:val="nil"/>
              <w:left w:val="nil"/>
              <w:bottom w:val="nil"/>
              <w:right w:val="nil"/>
            </w:tcBorders>
            <w:shd w:val="clear" w:color="auto" w:fill="auto"/>
            <w:noWrap/>
            <w:vAlign w:val="bottom"/>
            <w:hideMark/>
          </w:tcPr>
          <w:p w14:paraId="695C963C"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FFC609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23 </w:t>
            </w:r>
          </w:p>
        </w:tc>
      </w:tr>
      <w:tr w:rsidR="00D40091" w:rsidRPr="00D40091" w14:paraId="5BA4366B" w14:textId="77777777" w:rsidTr="00AA502F">
        <w:trPr>
          <w:trHeight w:val="315"/>
        </w:trPr>
        <w:tc>
          <w:tcPr>
            <w:tcW w:w="4420" w:type="dxa"/>
            <w:tcBorders>
              <w:top w:val="nil"/>
              <w:left w:val="nil"/>
              <w:bottom w:val="nil"/>
              <w:right w:val="nil"/>
            </w:tcBorders>
            <w:shd w:val="clear" w:color="auto" w:fill="auto"/>
            <w:noWrap/>
            <w:vAlign w:val="center"/>
            <w:hideMark/>
          </w:tcPr>
          <w:p w14:paraId="35F284E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Recuperação de Despesas</w:t>
            </w:r>
          </w:p>
        </w:tc>
        <w:tc>
          <w:tcPr>
            <w:tcW w:w="1297" w:type="dxa"/>
            <w:tcBorders>
              <w:top w:val="nil"/>
              <w:left w:val="nil"/>
              <w:bottom w:val="nil"/>
              <w:right w:val="nil"/>
            </w:tcBorders>
            <w:shd w:val="clear" w:color="auto" w:fill="auto"/>
            <w:noWrap/>
            <w:vAlign w:val="bottom"/>
            <w:hideMark/>
          </w:tcPr>
          <w:p w14:paraId="33E0FD64"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5965A1A5"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AF7194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1.574 </w:t>
            </w:r>
          </w:p>
        </w:tc>
        <w:tc>
          <w:tcPr>
            <w:tcW w:w="252" w:type="dxa"/>
            <w:tcBorders>
              <w:top w:val="nil"/>
              <w:left w:val="nil"/>
              <w:bottom w:val="nil"/>
              <w:right w:val="nil"/>
            </w:tcBorders>
            <w:shd w:val="clear" w:color="auto" w:fill="auto"/>
            <w:noWrap/>
            <w:vAlign w:val="bottom"/>
            <w:hideMark/>
          </w:tcPr>
          <w:p w14:paraId="64906BB6"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3811F8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67.447 </w:t>
            </w:r>
          </w:p>
        </w:tc>
      </w:tr>
      <w:tr w:rsidR="00D40091" w:rsidRPr="00D40091" w14:paraId="3D514E90" w14:textId="77777777" w:rsidTr="00AA502F">
        <w:trPr>
          <w:trHeight w:val="315"/>
        </w:trPr>
        <w:tc>
          <w:tcPr>
            <w:tcW w:w="4420" w:type="dxa"/>
            <w:tcBorders>
              <w:top w:val="nil"/>
              <w:left w:val="nil"/>
              <w:bottom w:val="nil"/>
              <w:right w:val="nil"/>
            </w:tcBorders>
            <w:shd w:val="clear" w:color="auto" w:fill="auto"/>
            <w:noWrap/>
            <w:vAlign w:val="center"/>
            <w:hideMark/>
          </w:tcPr>
          <w:p w14:paraId="45C88AA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Despesas Financeiras</w:t>
            </w:r>
          </w:p>
        </w:tc>
        <w:tc>
          <w:tcPr>
            <w:tcW w:w="1297" w:type="dxa"/>
            <w:tcBorders>
              <w:top w:val="nil"/>
              <w:left w:val="nil"/>
              <w:bottom w:val="nil"/>
              <w:right w:val="nil"/>
            </w:tcBorders>
            <w:shd w:val="clear" w:color="auto" w:fill="auto"/>
            <w:noWrap/>
            <w:vAlign w:val="bottom"/>
            <w:hideMark/>
          </w:tcPr>
          <w:p w14:paraId="397CE69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19</w:t>
            </w:r>
          </w:p>
        </w:tc>
        <w:tc>
          <w:tcPr>
            <w:tcW w:w="196" w:type="dxa"/>
            <w:tcBorders>
              <w:top w:val="nil"/>
              <w:left w:val="nil"/>
              <w:bottom w:val="nil"/>
              <w:right w:val="nil"/>
            </w:tcBorders>
            <w:shd w:val="clear" w:color="auto" w:fill="auto"/>
            <w:noWrap/>
            <w:vAlign w:val="bottom"/>
            <w:hideMark/>
          </w:tcPr>
          <w:p w14:paraId="07A6FD3C" w14:textId="77777777" w:rsidR="00D40091" w:rsidRPr="00D40091" w:rsidRDefault="00D40091" w:rsidP="00AA502F">
            <w:pPr>
              <w:spacing w:line="240" w:lineRule="auto"/>
              <w:jc w:val="center"/>
              <w:rPr>
                <w:rFonts w:ascii="Arial" w:hAnsi="Arial" w:cs="Arial"/>
                <w:color w:val="000000"/>
                <w:sz w:val="18"/>
                <w:szCs w:val="18"/>
              </w:rPr>
            </w:pPr>
          </w:p>
        </w:tc>
        <w:tc>
          <w:tcPr>
            <w:tcW w:w="4764" w:type="dxa"/>
            <w:tcBorders>
              <w:top w:val="nil"/>
              <w:left w:val="nil"/>
              <w:bottom w:val="nil"/>
              <w:right w:val="nil"/>
            </w:tcBorders>
            <w:shd w:val="clear" w:color="auto" w:fill="auto"/>
            <w:noWrap/>
            <w:vAlign w:val="bottom"/>
            <w:hideMark/>
          </w:tcPr>
          <w:p w14:paraId="2C4D9A2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(1.857)</w:t>
            </w:r>
          </w:p>
        </w:tc>
        <w:tc>
          <w:tcPr>
            <w:tcW w:w="252" w:type="dxa"/>
            <w:tcBorders>
              <w:top w:val="nil"/>
              <w:left w:val="nil"/>
              <w:bottom w:val="nil"/>
              <w:right w:val="nil"/>
            </w:tcBorders>
            <w:shd w:val="clear" w:color="auto" w:fill="auto"/>
            <w:noWrap/>
            <w:vAlign w:val="bottom"/>
            <w:hideMark/>
          </w:tcPr>
          <w:p w14:paraId="381E815C"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0555880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(696)</w:t>
            </w:r>
          </w:p>
        </w:tc>
      </w:tr>
      <w:tr w:rsidR="00D40091" w:rsidRPr="00D40091" w14:paraId="0A5DA1BE" w14:textId="77777777" w:rsidTr="00AA502F">
        <w:trPr>
          <w:trHeight w:val="300"/>
        </w:trPr>
        <w:tc>
          <w:tcPr>
            <w:tcW w:w="4420" w:type="dxa"/>
            <w:tcBorders>
              <w:top w:val="nil"/>
              <w:left w:val="nil"/>
              <w:bottom w:val="nil"/>
              <w:right w:val="nil"/>
            </w:tcBorders>
            <w:shd w:val="clear" w:color="auto" w:fill="auto"/>
            <w:noWrap/>
            <w:vAlign w:val="center"/>
            <w:hideMark/>
          </w:tcPr>
          <w:p w14:paraId="733FBD1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PIS S/Receita Financeira</w:t>
            </w:r>
          </w:p>
        </w:tc>
        <w:tc>
          <w:tcPr>
            <w:tcW w:w="1297" w:type="dxa"/>
            <w:tcBorders>
              <w:top w:val="nil"/>
              <w:left w:val="nil"/>
              <w:bottom w:val="nil"/>
              <w:right w:val="nil"/>
            </w:tcBorders>
            <w:shd w:val="clear" w:color="auto" w:fill="auto"/>
            <w:noWrap/>
            <w:vAlign w:val="bottom"/>
            <w:hideMark/>
          </w:tcPr>
          <w:p w14:paraId="6F46A9FE"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04F478C7"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31CA156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(29.717)</w:t>
            </w:r>
          </w:p>
        </w:tc>
        <w:tc>
          <w:tcPr>
            <w:tcW w:w="252" w:type="dxa"/>
            <w:tcBorders>
              <w:top w:val="nil"/>
              <w:left w:val="nil"/>
              <w:bottom w:val="nil"/>
              <w:right w:val="nil"/>
            </w:tcBorders>
            <w:shd w:val="clear" w:color="auto" w:fill="auto"/>
            <w:noWrap/>
            <w:vAlign w:val="bottom"/>
            <w:hideMark/>
          </w:tcPr>
          <w:p w14:paraId="30A2EEB9"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5AD09C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(14.915)</w:t>
            </w:r>
          </w:p>
        </w:tc>
      </w:tr>
      <w:tr w:rsidR="00D40091" w:rsidRPr="00D40091" w14:paraId="7F98DF26" w14:textId="77777777" w:rsidTr="00AA502F">
        <w:trPr>
          <w:trHeight w:val="315"/>
        </w:trPr>
        <w:tc>
          <w:tcPr>
            <w:tcW w:w="4420" w:type="dxa"/>
            <w:tcBorders>
              <w:top w:val="nil"/>
              <w:left w:val="nil"/>
              <w:bottom w:val="nil"/>
              <w:right w:val="nil"/>
            </w:tcBorders>
            <w:shd w:val="clear" w:color="auto" w:fill="auto"/>
            <w:noWrap/>
            <w:vAlign w:val="center"/>
            <w:hideMark/>
          </w:tcPr>
          <w:p w14:paraId="4512A63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COFINS S/Receita Financeira</w:t>
            </w:r>
          </w:p>
        </w:tc>
        <w:tc>
          <w:tcPr>
            <w:tcW w:w="1297" w:type="dxa"/>
            <w:tcBorders>
              <w:top w:val="nil"/>
              <w:left w:val="nil"/>
              <w:bottom w:val="nil"/>
              <w:right w:val="nil"/>
            </w:tcBorders>
            <w:shd w:val="clear" w:color="auto" w:fill="auto"/>
            <w:noWrap/>
            <w:vAlign w:val="bottom"/>
            <w:hideMark/>
          </w:tcPr>
          <w:p w14:paraId="777EEADC"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5B04EF2F"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758C24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(182.833)</w:t>
            </w:r>
          </w:p>
        </w:tc>
        <w:tc>
          <w:tcPr>
            <w:tcW w:w="252" w:type="dxa"/>
            <w:tcBorders>
              <w:top w:val="nil"/>
              <w:left w:val="nil"/>
              <w:bottom w:val="nil"/>
              <w:right w:val="nil"/>
            </w:tcBorders>
            <w:shd w:val="clear" w:color="auto" w:fill="auto"/>
            <w:noWrap/>
            <w:vAlign w:val="bottom"/>
            <w:hideMark/>
          </w:tcPr>
          <w:p w14:paraId="53210BD5"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35CFCA8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(91.786)</w:t>
            </w:r>
          </w:p>
        </w:tc>
      </w:tr>
      <w:tr w:rsidR="00D40091" w:rsidRPr="00D40091" w14:paraId="599E1591" w14:textId="77777777" w:rsidTr="00AA502F">
        <w:trPr>
          <w:trHeight w:val="315"/>
        </w:trPr>
        <w:tc>
          <w:tcPr>
            <w:tcW w:w="4420" w:type="dxa"/>
            <w:tcBorders>
              <w:top w:val="nil"/>
              <w:left w:val="nil"/>
              <w:bottom w:val="nil"/>
              <w:right w:val="nil"/>
            </w:tcBorders>
            <w:shd w:val="clear" w:color="auto" w:fill="auto"/>
            <w:noWrap/>
            <w:vAlign w:val="center"/>
            <w:hideMark/>
          </w:tcPr>
          <w:p w14:paraId="26B5B3A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Outras Despesas Financeiras</w:t>
            </w:r>
          </w:p>
        </w:tc>
        <w:tc>
          <w:tcPr>
            <w:tcW w:w="1297" w:type="dxa"/>
            <w:tcBorders>
              <w:top w:val="nil"/>
              <w:left w:val="nil"/>
              <w:bottom w:val="nil"/>
              <w:right w:val="nil"/>
            </w:tcBorders>
            <w:shd w:val="clear" w:color="auto" w:fill="auto"/>
            <w:noWrap/>
            <w:vAlign w:val="bottom"/>
            <w:hideMark/>
          </w:tcPr>
          <w:p w14:paraId="23BA21CE"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36AF9349"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8B21AE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c>
          <w:tcPr>
            <w:tcW w:w="252" w:type="dxa"/>
            <w:tcBorders>
              <w:top w:val="nil"/>
              <w:left w:val="nil"/>
              <w:bottom w:val="nil"/>
              <w:right w:val="nil"/>
            </w:tcBorders>
            <w:shd w:val="clear" w:color="auto" w:fill="auto"/>
            <w:noWrap/>
            <w:vAlign w:val="bottom"/>
            <w:hideMark/>
          </w:tcPr>
          <w:p w14:paraId="33BE0EE4"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D4E22E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(8.976)</w:t>
            </w:r>
          </w:p>
        </w:tc>
      </w:tr>
      <w:tr w:rsidR="00D40091" w:rsidRPr="00D40091" w14:paraId="35079B45" w14:textId="77777777" w:rsidTr="00AA502F">
        <w:trPr>
          <w:trHeight w:val="315"/>
        </w:trPr>
        <w:tc>
          <w:tcPr>
            <w:tcW w:w="4420" w:type="dxa"/>
            <w:tcBorders>
              <w:top w:val="nil"/>
              <w:left w:val="nil"/>
              <w:bottom w:val="nil"/>
              <w:right w:val="nil"/>
            </w:tcBorders>
            <w:shd w:val="clear" w:color="auto" w:fill="auto"/>
            <w:noWrap/>
            <w:vAlign w:val="center"/>
            <w:hideMark/>
          </w:tcPr>
          <w:p w14:paraId="20AE3C1C"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5744CF3E"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05CF6BE6"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16AF907" w14:textId="77777777" w:rsidR="00D40091" w:rsidRPr="00D40091" w:rsidRDefault="00D40091" w:rsidP="00AA502F">
            <w:pPr>
              <w:spacing w:line="240" w:lineRule="auto"/>
              <w:jc w:val="center"/>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7FE023E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4CF6FFA" w14:textId="77777777" w:rsidR="00D40091" w:rsidRPr="00D40091" w:rsidRDefault="00D40091" w:rsidP="00AA502F">
            <w:pPr>
              <w:spacing w:line="240" w:lineRule="auto"/>
              <w:jc w:val="center"/>
              <w:rPr>
                <w:rFonts w:ascii="Arial" w:hAnsi="Arial" w:cs="Arial"/>
                <w:sz w:val="18"/>
                <w:szCs w:val="18"/>
              </w:rPr>
            </w:pPr>
          </w:p>
        </w:tc>
      </w:tr>
      <w:tr w:rsidR="00D40091" w:rsidRPr="00D40091" w14:paraId="2456F167" w14:textId="77777777" w:rsidTr="00AA502F">
        <w:trPr>
          <w:trHeight w:val="255"/>
        </w:trPr>
        <w:tc>
          <w:tcPr>
            <w:tcW w:w="4420" w:type="dxa"/>
            <w:tcBorders>
              <w:top w:val="nil"/>
              <w:left w:val="nil"/>
              <w:bottom w:val="nil"/>
              <w:right w:val="nil"/>
            </w:tcBorders>
            <w:shd w:val="clear" w:color="auto" w:fill="auto"/>
            <w:noWrap/>
            <w:vAlign w:val="bottom"/>
            <w:hideMark/>
          </w:tcPr>
          <w:p w14:paraId="7FDC6A8C"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OUTRAS RECEITAS </w:t>
            </w:r>
          </w:p>
        </w:tc>
        <w:tc>
          <w:tcPr>
            <w:tcW w:w="1297" w:type="dxa"/>
            <w:tcBorders>
              <w:top w:val="nil"/>
              <w:left w:val="nil"/>
              <w:bottom w:val="nil"/>
              <w:right w:val="nil"/>
            </w:tcBorders>
            <w:shd w:val="clear" w:color="auto" w:fill="auto"/>
            <w:noWrap/>
            <w:vAlign w:val="bottom"/>
            <w:hideMark/>
          </w:tcPr>
          <w:p w14:paraId="45F07DD0" w14:textId="77777777" w:rsidR="00D40091" w:rsidRPr="00D40091" w:rsidRDefault="00D40091" w:rsidP="00AA502F">
            <w:pPr>
              <w:spacing w:line="240" w:lineRule="auto"/>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36175F44"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39AE913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94.128.168 </w:t>
            </w:r>
          </w:p>
        </w:tc>
        <w:tc>
          <w:tcPr>
            <w:tcW w:w="252" w:type="dxa"/>
            <w:tcBorders>
              <w:top w:val="nil"/>
              <w:left w:val="nil"/>
              <w:bottom w:val="nil"/>
              <w:right w:val="nil"/>
            </w:tcBorders>
            <w:shd w:val="clear" w:color="auto" w:fill="auto"/>
            <w:noWrap/>
            <w:vAlign w:val="bottom"/>
            <w:hideMark/>
          </w:tcPr>
          <w:p w14:paraId="7905B8D4"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single" w:sz="4" w:space="0" w:color="auto"/>
              <w:right w:val="nil"/>
            </w:tcBorders>
            <w:shd w:val="clear" w:color="auto" w:fill="auto"/>
            <w:noWrap/>
            <w:vAlign w:val="bottom"/>
            <w:hideMark/>
          </w:tcPr>
          <w:p w14:paraId="6B9092A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35.770.761 </w:t>
            </w:r>
          </w:p>
        </w:tc>
      </w:tr>
      <w:tr w:rsidR="00D40091" w:rsidRPr="00D40091" w14:paraId="2F266D27" w14:textId="77777777" w:rsidTr="00AA502F">
        <w:trPr>
          <w:trHeight w:val="315"/>
        </w:trPr>
        <w:tc>
          <w:tcPr>
            <w:tcW w:w="4420" w:type="dxa"/>
            <w:tcBorders>
              <w:top w:val="nil"/>
              <w:left w:val="nil"/>
              <w:bottom w:val="nil"/>
              <w:right w:val="nil"/>
            </w:tcBorders>
            <w:shd w:val="clear" w:color="auto" w:fill="auto"/>
            <w:noWrap/>
            <w:vAlign w:val="center"/>
            <w:hideMark/>
          </w:tcPr>
          <w:p w14:paraId="3677C31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Receitas de Ajuste a Valor Justo - Sub Conta</w:t>
            </w:r>
          </w:p>
        </w:tc>
        <w:tc>
          <w:tcPr>
            <w:tcW w:w="1297" w:type="dxa"/>
            <w:tcBorders>
              <w:top w:val="nil"/>
              <w:left w:val="nil"/>
              <w:bottom w:val="nil"/>
              <w:right w:val="nil"/>
            </w:tcBorders>
            <w:shd w:val="clear" w:color="auto" w:fill="auto"/>
            <w:noWrap/>
            <w:vAlign w:val="bottom"/>
            <w:hideMark/>
          </w:tcPr>
          <w:p w14:paraId="2B8394C2"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71EE9CAF"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9FDC6F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94.128.037 </w:t>
            </w:r>
          </w:p>
        </w:tc>
        <w:tc>
          <w:tcPr>
            <w:tcW w:w="252" w:type="dxa"/>
            <w:tcBorders>
              <w:top w:val="nil"/>
              <w:left w:val="nil"/>
              <w:bottom w:val="nil"/>
              <w:right w:val="nil"/>
            </w:tcBorders>
            <w:shd w:val="clear" w:color="auto" w:fill="auto"/>
            <w:noWrap/>
            <w:vAlign w:val="bottom"/>
            <w:hideMark/>
          </w:tcPr>
          <w:p w14:paraId="47C76A1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83EE00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35.770.757 </w:t>
            </w:r>
          </w:p>
        </w:tc>
      </w:tr>
      <w:tr w:rsidR="00D40091" w:rsidRPr="00D40091" w14:paraId="1D3B604E" w14:textId="77777777" w:rsidTr="00AA502F">
        <w:trPr>
          <w:trHeight w:val="315"/>
        </w:trPr>
        <w:tc>
          <w:tcPr>
            <w:tcW w:w="4420" w:type="dxa"/>
            <w:tcBorders>
              <w:top w:val="nil"/>
              <w:left w:val="nil"/>
              <w:bottom w:val="nil"/>
              <w:right w:val="nil"/>
            </w:tcBorders>
            <w:shd w:val="clear" w:color="auto" w:fill="auto"/>
            <w:noWrap/>
            <w:vAlign w:val="center"/>
            <w:hideMark/>
          </w:tcPr>
          <w:p w14:paraId="7036328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Receita Multas de </w:t>
            </w:r>
            <w:proofErr w:type="spellStart"/>
            <w:r w:rsidRPr="00D40091">
              <w:rPr>
                <w:rFonts w:ascii="Arial" w:hAnsi="Arial" w:cs="Arial"/>
                <w:sz w:val="18"/>
                <w:szCs w:val="18"/>
              </w:rPr>
              <w:t>Conrato</w:t>
            </w:r>
            <w:proofErr w:type="spellEnd"/>
          </w:p>
        </w:tc>
        <w:tc>
          <w:tcPr>
            <w:tcW w:w="1297" w:type="dxa"/>
            <w:tcBorders>
              <w:top w:val="nil"/>
              <w:left w:val="nil"/>
              <w:bottom w:val="nil"/>
              <w:right w:val="nil"/>
            </w:tcBorders>
            <w:shd w:val="clear" w:color="auto" w:fill="auto"/>
            <w:noWrap/>
            <w:vAlign w:val="bottom"/>
            <w:hideMark/>
          </w:tcPr>
          <w:p w14:paraId="6A3C67B0"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A62A946"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2604B03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131 </w:t>
            </w:r>
          </w:p>
        </w:tc>
        <w:tc>
          <w:tcPr>
            <w:tcW w:w="252" w:type="dxa"/>
            <w:tcBorders>
              <w:top w:val="nil"/>
              <w:left w:val="nil"/>
              <w:bottom w:val="nil"/>
              <w:right w:val="nil"/>
            </w:tcBorders>
            <w:shd w:val="clear" w:color="auto" w:fill="auto"/>
            <w:noWrap/>
            <w:vAlign w:val="bottom"/>
            <w:hideMark/>
          </w:tcPr>
          <w:p w14:paraId="1CE8A990"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4BDB7A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r>
      <w:tr w:rsidR="00D40091" w:rsidRPr="00D40091" w14:paraId="67F70825" w14:textId="77777777" w:rsidTr="00AA502F">
        <w:trPr>
          <w:trHeight w:val="315"/>
        </w:trPr>
        <w:tc>
          <w:tcPr>
            <w:tcW w:w="4420" w:type="dxa"/>
            <w:tcBorders>
              <w:top w:val="nil"/>
              <w:left w:val="nil"/>
              <w:bottom w:val="nil"/>
              <w:right w:val="nil"/>
            </w:tcBorders>
            <w:shd w:val="clear" w:color="auto" w:fill="auto"/>
            <w:noWrap/>
            <w:vAlign w:val="center"/>
            <w:hideMark/>
          </w:tcPr>
          <w:p w14:paraId="09EA53A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Dividendos e Lucros Recebidos</w:t>
            </w:r>
          </w:p>
        </w:tc>
        <w:tc>
          <w:tcPr>
            <w:tcW w:w="1297" w:type="dxa"/>
            <w:tcBorders>
              <w:top w:val="nil"/>
              <w:left w:val="nil"/>
              <w:bottom w:val="nil"/>
              <w:right w:val="nil"/>
            </w:tcBorders>
            <w:shd w:val="clear" w:color="auto" w:fill="auto"/>
            <w:noWrap/>
            <w:vAlign w:val="bottom"/>
            <w:hideMark/>
          </w:tcPr>
          <w:p w14:paraId="7D96D8F1"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1F0DA21E"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911297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c>
          <w:tcPr>
            <w:tcW w:w="252" w:type="dxa"/>
            <w:tcBorders>
              <w:top w:val="nil"/>
              <w:left w:val="nil"/>
              <w:bottom w:val="nil"/>
              <w:right w:val="nil"/>
            </w:tcBorders>
            <w:shd w:val="clear" w:color="auto" w:fill="auto"/>
            <w:noWrap/>
            <w:vAlign w:val="bottom"/>
            <w:hideMark/>
          </w:tcPr>
          <w:p w14:paraId="526FDE5E"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8B2A1D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4 </w:t>
            </w:r>
          </w:p>
        </w:tc>
      </w:tr>
      <w:tr w:rsidR="00D40091" w:rsidRPr="00D40091" w14:paraId="06336499" w14:textId="77777777" w:rsidTr="00AA502F">
        <w:trPr>
          <w:trHeight w:val="315"/>
        </w:trPr>
        <w:tc>
          <w:tcPr>
            <w:tcW w:w="4420" w:type="dxa"/>
            <w:tcBorders>
              <w:top w:val="nil"/>
              <w:left w:val="nil"/>
              <w:bottom w:val="nil"/>
              <w:right w:val="nil"/>
            </w:tcBorders>
            <w:shd w:val="clear" w:color="auto" w:fill="auto"/>
            <w:noWrap/>
            <w:vAlign w:val="center"/>
            <w:hideMark/>
          </w:tcPr>
          <w:p w14:paraId="0B00743F"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2B785195"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41DE798D"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EE9E773" w14:textId="77777777" w:rsidR="00D40091" w:rsidRPr="00D40091" w:rsidRDefault="00D40091" w:rsidP="00AA502F">
            <w:pPr>
              <w:spacing w:line="240" w:lineRule="auto"/>
              <w:ind w:firstLineChars="100" w:firstLine="180"/>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3E60D65B"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40C4803" w14:textId="77777777" w:rsidR="00D40091" w:rsidRPr="00D40091" w:rsidRDefault="00D40091" w:rsidP="00AA502F">
            <w:pPr>
              <w:spacing w:line="240" w:lineRule="auto"/>
              <w:jc w:val="center"/>
              <w:rPr>
                <w:rFonts w:ascii="Arial" w:hAnsi="Arial" w:cs="Arial"/>
                <w:sz w:val="18"/>
                <w:szCs w:val="18"/>
              </w:rPr>
            </w:pPr>
          </w:p>
        </w:tc>
      </w:tr>
      <w:tr w:rsidR="00D40091" w:rsidRPr="00D40091" w14:paraId="6D85CD0F" w14:textId="77777777" w:rsidTr="00AA502F">
        <w:trPr>
          <w:trHeight w:val="315"/>
        </w:trPr>
        <w:tc>
          <w:tcPr>
            <w:tcW w:w="4420" w:type="dxa"/>
            <w:tcBorders>
              <w:top w:val="nil"/>
              <w:left w:val="nil"/>
              <w:bottom w:val="nil"/>
              <w:right w:val="nil"/>
            </w:tcBorders>
            <w:shd w:val="clear" w:color="auto" w:fill="auto"/>
            <w:noWrap/>
            <w:vAlign w:val="bottom"/>
            <w:hideMark/>
          </w:tcPr>
          <w:p w14:paraId="7CA6FC5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OUTRAS DESPESAS </w:t>
            </w:r>
          </w:p>
        </w:tc>
        <w:tc>
          <w:tcPr>
            <w:tcW w:w="1297" w:type="dxa"/>
            <w:tcBorders>
              <w:top w:val="nil"/>
              <w:left w:val="nil"/>
              <w:bottom w:val="nil"/>
              <w:right w:val="nil"/>
            </w:tcBorders>
            <w:shd w:val="clear" w:color="auto" w:fill="auto"/>
            <w:noWrap/>
            <w:vAlign w:val="bottom"/>
            <w:hideMark/>
          </w:tcPr>
          <w:p w14:paraId="2D2AE594" w14:textId="77777777" w:rsidR="00D40091" w:rsidRPr="00D40091" w:rsidRDefault="00D40091" w:rsidP="00AA502F">
            <w:pPr>
              <w:spacing w:line="240" w:lineRule="auto"/>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61B6281E"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242E006F"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(75.357.421)</w:t>
            </w:r>
          </w:p>
        </w:tc>
        <w:tc>
          <w:tcPr>
            <w:tcW w:w="252" w:type="dxa"/>
            <w:tcBorders>
              <w:top w:val="nil"/>
              <w:left w:val="nil"/>
              <w:bottom w:val="nil"/>
              <w:right w:val="nil"/>
            </w:tcBorders>
            <w:shd w:val="clear" w:color="auto" w:fill="auto"/>
            <w:noWrap/>
            <w:vAlign w:val="bottom"/>
            <w:hideMark/>
          </w:tcPr>
          <w:p w14:paraId="13D36DA1"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single" w:sz="4" w:space="0" w:color="auto"/>
              <w:right w:val="nil"/>
            </w:tcBorders>
            <w:shd w:val="clear" w:color="auto" w:fill="auto"/>
            <w:noWrap/>
            <w:vAlign w:val="bottom"/>
            <w:hideMark/>
          </w:tcPr>
          <w:p w14:paraId="31218205"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(12.174.642)</w:t>
            </w:r>
          </w:p>
        </w:tc>
      </w:tr>
      <w:tr w:rsidR="00D40091" w:rsidRPr="00D40091" w14:paraId="283D22AD" w14:textId="77777777" w:rsidTr="00AA502F">
        <w:trPr>
          <w:trHeight w:val="315"/>
        </w:trPr>
        <w:tc>
          <w:tcPr>
            <w:tcW w:w="4420" w:type="dxa"/>
            <w:tcBorders>
              <w:top w:val="nil"/>
              <w:left w:val="nil"/>
              <w:bottom w:val="nil"/>
              <w:right w:val="nil"/>
            </w:tcBorders>
            <w:shd w:val="clear" w:color="auto" w:fill="auto"/>
            <w:noWrap/>
            <w:vAlign w:val="center"/>
            <w:hideMark/>
          </w:tcPr>
          <w:p w14:paraId="4118B116"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Despesas de </w:t>
            </w:r>
            <w:proofErr w:type="spellStart"/>
            <w:r w:rsidRPr="00D40091">
              <w:rPr>
                <w:rFonts w:ascii="Arial" w:hAnsi="Arial" w:cs="Arial"/>
                <w:sz w:val="18"/>
                <w:szCs w:val="18"/>
              </w:rPr>
              <w:t>Equivalencia</w:t>
            </w:r>
            <w:proofErr w:type="spellEnd"/>
            <w:r w:rsidRPr="00D40091">
              <w:rPr>
                <w:rFonts w:ascii="Arial" w:hAnsi="Arial" w:cs="Arial"/>
                <w:sz w:val="18"/>
                <w:szCs w:val="18"/>
              </w:rPr>
              <w:t xml:space="preserve"> Patrimonial</w:t>
            </w:r>
          </w:p>
        </w:tc>
        <w:tc>
          <w:tcPr>
            <w:tcW w:w="1297" w:type="dxa"/>
            <w:tcBorders>
              <w:top w:val="nil"/>
              <w:left w:val="nil"/>
              <w:bottom w:val="nil"/>
              <w:right w:val="nil"/>
            </w:tcBorders>
            <w:shd w:val="clear" w:color="auto" w:fill="auto"/>
            <w:noWrap/>
            <w:vAlign w:val="bottom"/>
            <w:hideMark/>
          </w:tcPr>
          <w:p w14:paraId="6B4E5D8D"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3867CBC8"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1017E5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(11.064)</w:t>
            </w:r>
          </w:p>
        </w:tc>
        <w:tc>
          <w:tcPr>
            <w:tcW w:w="252" w:type="dxa"/>
            <w:tcBorders>
              <w:top w:val="nil"/>
              <w:left w:val="nil"/>
              <w:bottom w:val="nil"/>
              <w:right w:val="nil"/>
            </w:tcBorders>
            <w:shd w:val="clear" w:color="auto" w:fill="auto"/>
            <w:noWrap/>
            <w:vAlign w:val="bottom"/>
            <w:hideMark/>
          </w:tcPr>
          <w:p w14:paraId="3157A7EB"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0AD1A89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(12.585)</w:t>
            </w:r>
          </w:p>
        </w:tc>
      </w:tr>
      <w:tr w:rsidR="00D40091" w:rsidRPr="00D40091" w14:paraId="69519120" w14:textId="77777777" w:rsidTr="00AA502F">
        <w:trPr>
          <w:trHeight w:val="315"/>
        </w:trPr>
        <w:tc>
          <w:tcPr>
            <w:tcW w:w="4420" w:type="dxa"/>
            <w:tcBorders>
              <w:top w:val="nil"/>
              <w:left w:val="nil"/>
              <w:bottom w:val="nil"/>
              <w:right w:val="nil"/>
            </w:tcBorders>
            <w:shd w:val="clear" w:color="auto" w:fill="auto"/>
            <w:noWrap/>
            <w:vAlign w:val="bottom"/>
            <w:hideMark/>
          </w:tcPr>
          <w:p w14:paraId="4C680E11"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Perda de Ajuste do Valor Justo - Sub Conta</w:t>
            </w:r>
          </w:p>
        </w:tc>
        <w:tc>
          <w:tcPr>
            <w:tcW w:w="1297" w:type="dxa"/>
            <w:tcBorders>
              <w:top w:val="nil"/>
              <w:left w:val="nil"/>
              <w:bottom w:val="nil"/>
              <w:right w:val="nil"/>
            </w:tcBorders>
            <w:shd w:val="clear" w:color="auto" w:fill="auto"/>
            <w:noWrap/>
            <w:vAlign w:val="bottom"/>
            <w:hideMark/>
          </w:tcPr>
          <w:p w14:paraId="4EF081BF"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7BAE5D31"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B3A14B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(65.870.946)</w:t>
            </w:r>
          </w:p>
        </w:tc>
        <w:tc>
          <w:tcPr>
            <w:tcW w:w="252" w:type="dxa"/>
            <w:tcBorders>
              <w:top w:val="nil"/>
              <w:left w:val="nil"/>
              <w:bottom w:val="nil"/>
              <w:right w:val="nil"/>
            </w:tcBorders>
            <w:shd w:val="clear" w:color="auto" w:fill="auto"/>
            <w:noWrap/>
            <w:vAlign w:val="bottom"/>
            <w:hideMark/>
          </w:tcPr>
          <w:p w14:paraId="2E398A52"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07C3D88"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r>
      <w:tr w:rsidR="00D40091" w:rsidRPr="00D40091" w14:paraId="7728836D" w14:textId="77777777" w:rsidTr="00AA502F">
        <w:trPr>
          <w:trHeight w:val="315"/>
        </w:trPr>
        <w:tc>
          <w:tcPr>
            <w:tcW w:w="4420" w:type="dxa"/>
            <w:tcBorders>
              <w:top w:val="nil"/>
              <w:left w:val="nil"/>
              <w:bottom w:val="nil"/>
              <w:right w:val="nil"/>
            </w:tcBorders>
            <w:shd w:val="clear" w:color="auto" w:fill="auto"/>
            <w:noWrap/>
            <w:vAlign w:val="bottom"/>
            <w:hideMark/>
          </w:tcPr>
          <w:p w14:paraId="7939693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lastRenderedPageBreak/>
              <w:t xml:space="preserve">    IRPJ Diferido  </w:t>
            </w:r>
          </w:p>
        </w:tc>
        <w:tc>
          <w:tcPr>
            <w:tcW w:w="1297" w:type="dxa"/>
            <w:tcBorders>
              <w:top w:val="nil"/>
              <w:left w:val="nil"/>
              <w:bottom w:val="nil"/>
              <w:right w:val="nil"/>
            </w:tcBorders>
            <w:shd w:val="clear" w:color="auto" w:fill="auto"/>
            <w:noWrap/>
            <w:vAlign w:val="bottom"/>
            <w:hideMark/>
          </w:tcPr>
          <w:p w14:paraId="2A874997" w14:textId="77777777" w:rsidR="00D40091" w:rsidRPr="00D40091" w:rsidRDefault="00D40091" w:rsidP="00AA502F">
            <w:pPr>
              <w:spacing w:line="240" w:lineRule="auto"/>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231EE639"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372CD4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(6.932.273)</w:t>
            </w:r>
          </w:p>
        </w:tc>
        <w:tc>
          <w:tcPr>
            <w:tcW w:w="252" w:type="dxa"/>
            <w:tcBorders>
              <w:top w:val="nil"/>
              <w:left w:val="nil"/>
              <w:bottom w:val="nil"/>
              <w:right w:val="nil"/>
            </w:tcBorders>
            <w:shd w:val="clear" w:color="auto" w:fill="auto"/>
            <w:noWrap/>
            <w:vAlign w:val="bottom"/>
            <w:hideMark/>
          </w:tcPr>
          <w:p w14:paraId="163B16CF"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3E6C53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(8.942.689)</w:t>
            </w:r>
          </w:p>
        </w:tc>
      </w:tr>
      <w:tr w:rsidR="00D40091" w:rsidRPr="00D40091" w14:paraId="1E8050C0" w14:textId="77777777" w:rsidTr="00AA502F">
        <w:trPr>
          <w:trHeight w:val="315"/>
        </w:trPr>
        <w:tc>
          <w:tcPr>
            <w:tcW w:w="4420" w:type="dxa"/>
            <w:tcBorders>
              <w:top w:val="nil"/>
              <w:left w:val="nil"/>
              <w:bottom w:val="nil"/>
              <w:right w:val="nil"/>
            </w:tcBorders>
            <w:shd w:val="clear" w:color="auto" w:fill="auto"/>
            <w:noWrap/>
            <w:vAlign w:val="bottom"/>
            <w:hideMark/>
          </w:tcPr>
          <w:p w14:paraId="6846F27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    CSLL Diferido </w:t>
            </w:r>
          </w:p>
        </w:tc>
        <w:tc>
          <w:tcPr>
            <w:tcW w:w="1297" w:type="dxa"/>
            <w:tcBorders>
              <w:top w:val="nil"/>
              <w:left w:val="nil"/>
              <w:bottom w:val="nil"/>
              <w:right w:val="nil"/>
            </w:tcBorders>
            <w:shd w:val="clear" w:color="auto" w:fill="auto"/>
            <w:noWrap/>
            <w:vAlign w:val="bottom"/>
            <w:hideMark/>
          </w:tcPr>
          <w:p w14:paraId="04D1BC65" w14:textId="77777777" w:rsidR="00D40091" w:rsidRPr="00D40091" w:rsidRDefault="00D40091" w:rsidP="00AA502F">
            <w:pPr>
              <w:spacing w:line="240" w:lineRule="auto"/>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7D352263"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A753CE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(2.543.138)</w:t>
            </w:r>
          </w:p>
        </w:tc>
        <w:tc>
          <w:tcPr>
            <w:tcW w:w="252" w:type="dxa"/>
            <w:tcBorders>
              <w:top w:val="nil"/>
              <w:left w:val="nil"/>
              <w:bottom w:val="nil"/>
              <w:right w:val="nil"/>
            </w:tcBorders>
            <w:shd w:val="clear" w:color="auto" w:fill="auto"/>
            <w:noWrap/>
            <w:vAlign w:val="bottom"/>
            <w:hideMark/>
          </w:tcPr>
          <w:p w14:paraId="7EAE5D61"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02414EF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(3.219.368)</w:t>
            </w:r>
          </w:p>
        </w:tc>
      </w:tr>
      <w:tr w:rsidR="00D40091" w:rsidRPr="00D40091" w14:paraId="0F44E446" w14:textId="77777777" w:rsidTr="00AA502F">
        <w:trPr>
          <w:trHeight w:val="315"/>
        </w:trPr>
        <w:tc>
          <w:tcPr>
            <w:tcW w:w="4420" w:type="dxa"/>
            <w:tcBorders>
              <w:top w:val="nil"/>
              <w:left w:val="nil"/>
              <w:bottom w:val="nil"/>
              <w:right w:val="nil"/>
            </w:tcBorders>
            <w:shd w:val="clear" w:color="auto" w:fill="auto"/>
            <w:noWrap/>
            <w:vAlign w:val="bottom"/>
            <w:hideMark/>
          </w:tcPr>
          <w:p w14:paraId="3BA68D80"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7F8F375F"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344C297B"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8E011CC" w14:textId="77777777" w:rsidR="00D40091" w:rsidRPr="00D40091" w:rsidRDefault="00D40091" w:rsidP="00AA502F">
            <w:pPr>
              <w:spacing w:line="240" w:lineRule="auto"/>
              <w:ind w:firstLineChars="100" w:firstLine="180"/>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7717AF33" w14:textId="77777777" w:rsidR="00D40091" w:rsidRPr="00D40091" w:rsidRDefault="00D40091" w:rsidP="00AA502F">
            <w:pPr>
              <w:spacing w:line="240" w:lineRule="auto"/>
              <w:ind w:firstLineChars="100" w:firstLine="180"/>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62A92D8A" w14:textId="77777777" w:rsidR="00D40091" w:rsidRPr="00D40091" w:rsidRDefault="00D40091" w:rsidP="00AA502F">
            <w:pPr>
              <w:spacing w:line="240" w:lineRule="auto"/>
              <w:ind w:firstLineChars="100" w:firstLine="180"/>
              <w:rPr>
                <w:rFonts w:ascii="Arial" w:hAnsi="Arial" w:cs="Arial"/>
                <w:sz w:val="18"/>
                <w:szCs w:val="18"/>
              </w:rPr>
            </w:pPr>
          </w:p>
        </w:tc>
      </w:tr>
      <w:tr w:rsidR="00D40091" w:rsidRPr="00D40091" w14:paraId="20353173" w14:textId="77777777" w:rsidTr="00AA502F">
        <w:trPr>
          <w:trHeight w:val="255"/>
        </w:trPr>
        <w:tc>
          <w:tcPr>
            <w:tcW w:w="4420" w:type="dxa"/>
            <w:tcBorders>
              <w:top w:val="nil"/>
              <w:left w:val="nil"/>
              <w:bottom w:val="nil"/>
              <w:right w:val="nil"/>
            </w:tcBorders>
            <w:shd w:val="clear" w:color="auto" w:fill="auto"/>
            <w:noWrap/>
            <w:vAlign w:val="bottom"/>
            <w:hideMark/>
          </w:tcPr>
          <w:p w14:paraId="60F5FC7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RECEITAS (DESPESAS) NÃO OPERACIONAIS</w:t>
            </w:r>
          </w:p>
        </w:tc>
        <w:tc>
          <w:tcPr>
            <w:tcW w:w="1297" w:type="dxa"/>
            <w:tcBorders>
              <w:top w:val="nil"/>
              <w:left w:val="nil"/>
              <w:bottom w:val="nil"/>
              <w:right w:val="nil"/>
            </w:tcBorders>
            <w:shd w:val="clear" w:color="auto" w:fill="auto"/>
            <w:noWrap/>
            <w:vAlign w:val="bottom"/>
            <w:hideMark/>
          </w:tcPr>
          <w:p w14:paraId="57E23891" w14:textId="77777777" w:rsidR="00D40091" w:rsidRPr="00D40091" w:rsidRDefault="00D40091" w:rsidP="00AA502F">
            <w:pPr>
              <w:spacing w:line="240" w:lineRule="auto"/>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1CA0F163" w14:textId="77777777" w:rsidR="00D40091" w:rsidRPr="00D40091" w:rsidRDefault="00D40091" w:rsidP="00AA502F">
            <w:pPr>
              <w:spacing w:line="240" w:lineRule="auto"/>
              <w:ind w:firstLineChars="100" w:firstLine="180"/>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65592D38" w14:textId="77777777" w:rsidR="00D40091" w:rsidRPr="00D40091" w:rsidRDefault="00D40091" w:rsidP="00AA502F">
            <w:pPr>
              <w:spacing w:line="240" w:lineRule="auto"/>
              <w:ind w:firstLineChars="100" w:firstLine="180"/>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29289769" w14:textId="77777777" w:rsidR="00D40091" w:rsidRPr="00D40091" w:rsidRDefault="00D40091" w:rsidP="00AA502F">
            <w:pPr>
              <w:spacing w:line="240" w:lineRule="auto"/>
              <w:ind w:firstLineChars="100" w:firstLine="180"/>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545575C" w14:textId="77777777" w:rsidR="00D40091" w:rsidRPr="00D40091" w:rsidRDefault="00D40091" w:rsidP="00AA502F">
            <w:pPr>
              <w:spacing w:line="240" w:lineRule="auto"/>
              <w:ind w:firstLineChars="100" w:firstLine="180"/>
              <w:rPr>
                <w:rFonts w:ascii="Arial" w:hAnsi="Arial" w:cs="Arial"/>
                <w:sz w:val="18"/>
                <w:szCs w:val="18"/>
              </w:rPr>
            </w:pPr>
          </w:p>
        </w:tc>
      </w:tr>
      <w:tr w:rsidR="00D40091" w:rsidRPr="00D40091" w14:paraId="258C740E" w14:textId="77777777" w:rsidTr="00AA502F">
        <w:trPr>
          <w:trHeight w:val="315"/>
        </w:trPr>
        <w:tc>
          <w:tcPr>
            <w:tcW w:w="4420" w:type="dxa"/>
            <w:tcBorders>
              <w:top w:val="nil"/>
              <w:left w:val="nil"/>
              <w:bottom w:val="nil"/>
              <w:right w:val="nil"/>
            </w:tcBorders>
            <w:shd w:val="clear" w:color="auto" w:fill="auto"/>
            <w:noWrap/>
            <w:vAlign w:val="bottom"/>
            <w:hideMark/>
          </w:tcPr>
          <w:p w14:paraId="33B6D821" w14:textId="77777777" w:rsidR="00D40091" w:rsidRPr="00D40091" w:rsidRDefault="00D40091" w:rsidP="00AA502F">
            <w:pPr>
              <w:spacing w:line="240" w:lineRule="auto"/>
              <w:ind w:firstLineChars="100" w:firstLine="180"/>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088E2B2E"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511B383C"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1C493C4D"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409B1C08"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98F3261" w14:textId="77777777" w:rsidR="00D40091" w:rsidRPr="00D40091" w:rsidRDefault="00D40091" w:rsidP="00AA502F">
            <w:pPr>
              <w:spacing w:line="240" w:lineRule="auto"/>
              <w:rPr>
                <w:rFonts w:ascii="Arial" w:hAnsi="Arial" w:cs="Arial"/>
                <w:sz w:val="18"/>
                <w:szCs w:val="18"/>
              </w:rPr>
            </w:pPr>
          </w:p>
        </w:tc>
      </w:tr>
      <w:tr w:rsidR="00D40091" w:rsidRPr="00D40091" w14:paraId="2F7E5B9D" w14:textId="77777777" w:rsidTr="00AA502F">
        <w:trPr>
          <w:trHeight w:val="255"/>
        </w:trPr>
        <w:tc>
          <w:tcPr>
            <w:tcW w:w="5717" w:type="dxa"/>
            <w:gridSpan w:val="2"/>
            <w:tcBorders>
              <w:top w:val="nil"/>
              <w:left w:val="nil"/>
              <w:bottom w:val="nil"/>
              <w:right w:val="nil"/>
            </w:tcBorders>
            <w:shd w:val="clear" w:color="auto" w:fill="auto"/>
            <w:noWrap/>
            <w:vAlign w:val="bottom"/>
            <w:hideMark/>
          </w:tcPr>
          <w:p w14:paraId="184CF52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RESULTADO ANTES DOS TRIBUTOS SOBRE O LUCRO</w:t>
            </w:r>
          </w:p>
        </w:tc>
        <w:tc>
          <w:tcPr>
            <w:tcW w:w="196" w:type="dxa"/>
            <w:tcBorders>
              <w:top w:val="nil"/>
              <w:left w:val="nil"/>
              <w:bottom w:val="nil"/>
              <w:right w:val="nil"/>
            </w:tcBorders>
            <w:shd w:val="clear" w:color="auto" w:fill="auto"/>
            <w:noWrap/>
            <w:vAlign w:val="bottom"/>
            <w:hideMark/>
          </w:tcPr>
          <w:p w14:paraId="5B64EE18" w14:textId="77777777" w:rsidR="00D40091" w:rsidRPr="00D40091" w:rsidRDefault="00D40091" w:rsidP="00AA502F">
            <w:pPr>
              <w:spacing w:line="240" w:lineRule="auto"/>
              <w:rPr>
                <w:rFonts w:ascii="Arial" w:hAnsi="Arial" w:cs="Arial"/>
                <w:b/>
                <w:bCs/>
                <w:color w:val="000000"/>
                <w:sz w:val="18"/>
                <w:szCs w:val="18"/>
              </w:rPr>
            </w:pPr>
          </w:p>
        </w:tc>
        <w:tc>
          <w:tcPr>
            <w:tcW w:w="4764" w:type="dxa"/>
            <w:tcBorders>
              <w:top w:val="nil"/>
              <w:left w:val="nil"/>
              <w:bottom w:val="single" w:sz="4" w:space="0" w:color="auto"/>
              <w:right w:val="nil"/>
            </w:tcBorders>
            <w:shd w:val="clear" w:color="auto" w:fill="auto"/>
            <w:noWrap/>
            <w:vAlign w:val="bottom"/>
            <w:hideMark/>
          </w:tcPr>
          <w:p w14:paraId="4A0EF94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19.718.062 </w:t>
            </w:r>
          </w:p>
        </w:tc>
        <w:tc>
          <w:tcPr>
            <w:tcW w:w="252" w:type="dxa"/>
            <w:tcBorders>
              <w:top w:val="nil"/>
              <w:left w:val="nil"/>
              <w:bottom w:val="nil"/>
              <w:right w:val="nil"/>
            </w:tcBorders>
            <w:shd w:val="clear" w:color="auto" w:fill="auto"/>
            <w:noWrap/>
            <w:vAlign w:val="bottom"/>
            <w:hideMark/>
          </w:tcPr>
          <w:p w14:paraId="3B7D8AC8"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single" w:sz="4" w:space="0" w:color="auto"/>
              <w:right w:val="nil"/>
            </w:tcBorders>
            <w:shd w:val="clear" w:color="auto" w:fill="auto"/>
            <w:noWrap/>
            <w:vAlign w:val="bottom"/>
            <w:hideMark/>
          </w:tcPr>
          <w:p w14:paraId="5A41F5C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22.974.349 </w:t>
            </w:r>
          </w:p>
        </w:tc>
      </w:tr>
      <w:tr w:rsidR="00D40091" w:rsidRPr="00D40091" w14:paraId="58DC2F1E" w14:textId="77777777" w:rsidTr="00AA502F">
        <w:trPr>
          <w:trHeight w:val="315"/>
        </w:trPr>
        <w:tc>
          <w:tcPr>
            <w:tcW w:w="4420" w:type="dxa"/>
            <w:tcBorders>
              <w:top w:val="nil"/>
              <w:left w:val="nil"/>
              <w:bottom w:val="nil"/>
              <w:right w:val="nil"/>
            </w:tcBorders>
            <w:shd w:val="clear" w:color="auto" w:fill="auto"/>
            <w:noWrap/>
            <w:vAlign w:val="bottom"/>
            <w:hideMark/>
          </w:tcPr>
          <w:p w14:paraId="1D8D4FBB"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51388D87"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019A50A9"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181503FE"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7946DB46"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2E56F405" w14:textId="77777777" w:rsidR="00D40091" w:rsidRPr="00D40091" w:rsidRDefault="00D40091" w:rsidP="00AA502F">
            <w:pPr>
              <w:spacing w:line="240" w:lineRule="auto"/>
              <w:rPr>
                <w:rFonts w:ascii="Arial" w:hAnsi="Arial" w:cs="Arial"/>
                <w:sz w:val="18"/>
                <w:szCs w:val="18"/>
              </w:rPr>
            </w:pPr>
          </w:p>
        </w:tc>
      </w:tr>
      <w:tr w:rsidR="00D40091" w:rsidRPr="00D40091" w14:paraId="7BBFA982" w14:textId="77777777" w:rsidTr="00AA502F">
        <w:trPr>
          <w:trHeight w:val="255"/>
        </w:trPr>
        <w:tc>
          <w:tcPr>
            <w:tcW w:w="4420" w:type="dxa"/>
            <w:tcBorders>
              <w:top w:val="nil"/>
              <w:left w:val="nil"/>
              <w:bottom w:val="nil"/>
              <w:right w:val="nil"/>
            </w:tcBorders>
            <w:shd w:val="clear" w:color="auto" w:fill="auto"/>
            <w:noWrap/>
            <w:vAlign w:val="bottom"/>
            <w:hideMark/>
          </w:tcPr>
          <w:p w14:paraId="120880CC" w14:textId="77777777" w:rsidR="00D40091" w:rsidRPr="00D40091" w:rsidRDefault="00D40091" w:rsidP="00AA502F">
            <w:pPr>
              <w:spacing w:line="240" w:lineRule="auto"/>
              <w:ind w:firstLineChars="100" w:firstLine="181"/>
              <w:rPr>
                <w:rFonts w:ascii="Arial" w:hAnsi="Arial" w:cs="Arial"/>
                <w:b/>
                <w:bCs/>
                <w:color w:val="000000"/>
                <w:sz w:val="18"/>
                <w:szCs w:val="18"/>
              </w:rPr>
            </w:pPr>
            <w:r w:rsidRPr="00D40091">
              <w:rPr>
                <w:rFonts w:ascii="Arial" w:hAnsi="Arial" w:cs="Arial"/>
                <w:b/>
                <w:bCs/>
                <w:color w:val="000000"/>
                <w:sz w:val="18"/>
                <w:szCs w:val="18"/>
              </w:rPr>
              <w:t>Apuração de Tributos</w:t>
            </w:r>
          </w:p>
        </w:tc>
        <w:tc>
          <w:tcPr>
            <w:tcW w:w="1297" w:type="dxa"/>
            <w:tcBorders>
              <w:top w:val="nil"/>
              <w:left w:val="nil"/>
              <w:bottom w:val="nil"/>
              <w:right w:val="nil"/>
            </w:tcBorders>
            <w:shd w:val="clear" w:color="auto" w:fill="auto"/>
            <w:noWrap/>
            <w:vAlign w:val="bottom"/>
            <w:hideMark/>
          </w:tcPr>
          <w:p w14:paraId="6B41BEFD" w14:textId="77777777" w:rsidR="00D40091" w:rsidRPr="00D40091" w:rsidRDefault="00D40091" w:rsidP="00AA502F">
            <w:pPr>
              <w:spacing w:line="240" w:lineRule="auto"/>
              <w:ind w:firstLineChars="100" w:firstLine="181"/>
              <w:rPr>
                <w:rFonts w:ascii="Arial" w:hAnsi="Arial" w:cs="Arial"/>
                <w:b/>
                <w:bCs/>
                <w:color w:val="000000"/>
                <w:sz w:val="18"/>
                <w:szCs w:val="18"/>
              </w:rPr>
            </w:pPr>
          </w:p>
        </w:tc>
        <w:tc>
          <w:tcPr>
            <w:tcW w:w="196" w:type="dxa"/>
            <w:tcBorders>
              <w:top w:val="nil"/>
              <w:left w:val="nil"/>
              <w:bottom w:val="nil"/>
              <w:right w:val="nil"/>
            </w:tcBorders>
            <w:shd w:val="clear" w:color="auto" w:fill="auto"/>
            <w:noWrap/>
            <w:vAlign w:val="bottom"/>
            <w:hideMark/>
          </w:tcPr>
          <w:p w14:paraId="5448E88B"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single" w:sz="4" w:space="0" w:color="auto"/>
              <w:right w:val="nil"/>
            </w:tcBorders>
            <w:shd w:val="clear" w:color="auto" w:fill="auto"/>
            <w:noWrap/>
            <w:vAlign w:val="bottom"/>
            <w:hideMark/>
          </w:tcPr>
          <w:p w14:paraId="0C0E076C"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(234.101)</w:t>
            </w:r>
          </w:p>
        </w:tc>
        <w:tc>
          <w:tcPr>
            <w:tcW w:w="252" w:type="dxa"/>
            <w:tcBorders>
              <w:top w:val="nil"/>
              <w:left w:val="nil"/>
              <w:bottom w:val="nil"/>
              <w:right w:val="nil"/>
            </w:tcBorders>
            <w:shd w:val="clear" w:color="auto" w:fill="auto"/>
            <w:noWrap/>
            <w:vAlign w:val="bottom"/>
            <w:hideMark/>
          </w:tcPr>
          <w:p w14:paraId="113F756E" w14:textId="77777777" w:rsidR="00D40091" w:rsidRPr="00D40091" w:rsidRDefault="00D40091" w:rsidP="00AA502F">
            <w:pPr>
              <w:spacing w:line="240" w:lineRule="auto"/>
              <w:jc w:val="center"/>
              <w:rPr>
                <w:rFonts w:ascii="Arial" w:hAnsi="Arial" w:cs="Arial"/>
                <w:b/>
                <w:bCs/>
                <w:sz w:val="18"/>
                <w:szCs w:val="18"/>
              </w:rPr>
            </w:pPr>
          </w:p>
        </w:tc>
        <w:tc>
          <w:tcPr>
            <w:tcW w:w="1331" w:type="dxa"/>
            <w:tcBorders>
              <w:top w:val="nil"/>
              <w:left w:val="nil"/>
              <w:bottom w:val="single" w:sz="4" w:space="0" w:color="auto"/>
              <w:right w:val="nil"/>
            </w:tcBorders>
            <w:shd w:val="clear" w:color="auto" w:fill="auto"/>
            <w:noWrap/>
            <w:vAlign w:val="bottom"/>
            <w:hideMark/>
          </w:tcPr>
          <w:p w14:paraId="4A88C378"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xml:space="preserve">                 -   </w:t>
            </w:r>
          </w:p>
        </w:tc>
      </w:tr>
      <w:tr w:rsidR="00D40091" w:rsidRPr="00D40091" w14:paraId="7922BAEE" w14:textId="77777777" w:rsidTr="00AA502F">
        <w:trPr>
          <w:trHeight w:val="315"/>
        </w:trPr>
        <w:tc>
          <w:tcPr>
            <w:tcW w:w="4420" w:type="dxa"/>
            <w:tcBorders>
              <w:top w:val="nil"/>
              <w:left w:val="nil"/>
              <w:bottom w:val="nil"/>
              <w:right w:val="nil"/>
            </w:tcBorders>
            <w:shd w:val="clear" w:color="auto" w:fill="auto"/>
            <w:noWrap/>
            <w:vAlign w:val="bottom"/>
            <w:hideMark/>
          </w:tcPr>
          <w:p w14:paraId="02D6D50B"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Imposto de Renda</w:t>
            </w:r>
          </w:p>
        </w:tc>
        <w:tc>
          <w:tcPr>
            <w:tcW w:w="1297" w:type="dxa"/>
            <w:tcBorders>
              <w:top w:val="nil"/>
              <w:left w:val="nil"/>
              <w:bottom w:val="nil"/>
              <w:right w:val="nil"/>
            </w:tcBorders>
            <w:shd w:val="clear" w:color="auto" w:fill="auto"/>
            <w:noWrap/>
            <w:vAlign w:val="bottom"/>
            <w:hideMark/>
          </w:tcPr>
          <w:p w14:paraId="06B7C15E"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5281F9BC"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F566FD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(165.780)</w:t>
            </w:r>
          </w:p>
        </w:tc>
        <w:tc>
          <w:tcPr>
            <w:tcW w:w="252" w:type="dxa"/>
            <w:tcBorders>
              <w:top w:val="nil"/>
              <w:left w:val="nil"/>
              <w:bottom w:val="nil"/>
              <w:right w:val="nil"/>
            </w:tcBorders>
            <w:shd w:val="clear" w:color="auto" w:fill="auto"/>
            <w:noWrap/>
            <w:vAlign w:val="bottom"/>
            <w:hideMark/>
          </w:tcPr>
          <w:p w14:paraId="120C56E8"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7E6EBBA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r>
      <w:tr w:rsidR="00D40091" w:rsidRPr="00D40091" w14:paraId="519EB085" w14:textId="77777777" w:rsidTr="00AA502F">
        <w:trPr>
          <w:trHeight w:val="315"/>
        </w:trPr>
        <w:tc>
          <w:tcPr>
            <w:tcW w:w="4420" w:type="dxa"/>
            <w:tcBorders>
              <w:top w:val="nil"/>
              <w:left w:val="nil"/>
              <w:bottom w:val="nil"/>
              <w:right w:val="nil"/>
            </w:tcBorders>
            <w:shd w:val="clear" w:color="auto" w:fill="auto"/>
            <w:noWrap/>
            <w:vAlign w:val="bottom"/>
            <w:hideMark/>
          </w:tcPr>
          <w:p w14:paraId="446A29A2"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 Contribuição Social sobre o Lucro</w:t>
            </w:r>
          </w:p>
        </w:tc>
        <w:tc>
          <w:tcPr>
            <w:tcW w:w="1297" w:type="dxa"/>
            <w:tcBorders>
              <w:top w:val="nil"/>
              <w:left w:val="nil"/>
              <w:bottom w:val="nil"/>
              <w:right w:val="nil"/>
            </w:tcBorders>
            <w:shd w:val="clear" w:color="auto" w:fill="auto"/>
            <w:noWrap/>
            <w:vAlign w:val="bottom"/>
            <w:hideMark/>
          </w:tcPr>
          <w:p w14:paraId="37CBF85B" w14:textId="77777777" w:rsidR="00D40091" w:rsidRPr="00D40091" w:rsidRDefault="00D40091" w:rsidP="00AA502F">
            <w:pPr>
              <w:spacing w:line="240" w:lineRule="auto"/>
              <w:ind w:firstLineChars="100" w:firstLine="180"/>
              <w:rPr>
                <w:rFonts w:ascii="Arial" w:hAnsi="Arial" w:cs="Arial"/>
                <w:color w:val="000000"/>
                <w:sz w:val="18"/>
                <w:szCs w:val="18"/>
              </w:rPr>
            </w:pPr>
          </w:p>
        </w:tc>
        <w:tc>
          <w:tcPr>
            <w:tcW w:w="196" w:type="dxa"/>
            <w:tcBorders>
              <w:top w:val="nil"/>
              <w:left w:val="nil"/>
              <w:bottom w:val="nil"/>
              <w:right w:val="nil"/>
            </w:tcBorders>
            <w:shd w:val="clear" w:color="auto" w:fill="auto"/>
            <w:noWrap/>
            <w:vAlign w:val="bottom"/>
            <w:hideMark/>
          </w:tcPr>
          <w:p w14:paraId="27037FFF"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4C52114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(68.321)</w:t>
            </w:r>
          </w:p>
        </w:tc>
        <w:tc>
          <w:tcPr>
            <w:tcW w:w="252" w:type="dxa"/>
            <w:tcBorders>
              <w:top w:val="nil"/>
              <w:left w:val="nil"/>
              <w:bottom w:val="nil"/>
              <w:right w:val="nil"/>
            </w:tcBorders>
            <w:shd w:val="clear" w:color="auto" w:fill="auto"/>
            <w:noWrap/>
            <w:vAlign w:val="bottom"/>
            <w:hideMark/>
          </w:tcPr>
          <w:p w14:paraId="036EDBF8"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EF96B8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   </w:t>
            </w:r>
          </w:p>
        </w:tc>
      </w:tr>
      <w:tr w:rsidR="00D40091" w:rsidRPr="00D40091" w14:paraId="2430AB14" w14:textId="77777777" w:rsidTr="00AA502F">
        <w:trPr>
          <w:trHeight w:val="315"/>
        </w:trPr>
        <w:tc>
          <w:tcPr>
            <w:tcW w:w="4420" w:type="dxa"/>
            <w:tcBorders>
              <w:top w:val="nil"/>
              <w:left w:val="nil"/>
              <w:bottom w:val="nil"/>
              <w:right w:val="nil"/>
            </w:tcBorders>
            <w:shd w:val="clear" w:color="auto" w:fill="auto"/>
            <w:noWrap/>
            <w:vAlign w:val="center"/>
            <w:hideMark/>
          </w:tcPr>
          <w:p w14:paraId="4FE6CB09"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center"/>
            <w:hideMark/>
          </w:tcPr>
          <w:p w14:paraId="6408079C" w14:textId="77777777" w:rsidR="00D40091" w:rsidRPr="00D40091" w:rsidRDefault="00D40091" w:rsidP="00AA502F">
            <w:pPr>
              <w:spacing w:line="240" w:lineRule="auto"/>
              <w:ind w:firstLineChars="100" w:firstLine="180"/>
              <w:rPr>
                <w:rFonts w:ascii="Arial" w:hAnsi="Arial" w:cs="Arial"/>
                <w:sz w:val="18"/>
                <w:szCs w:val="18"/>
              </w:rPr>
            </w:pPr>
          </w:p>
        </w:tc>
        <w:tc>
          <w:tcPr>
            <w:tcW w:w="196" w:type="dxa"/>
            <w:tcBorders>
              <w:top w:val="nil"/>
              <w:left w:val="nil"/>
              <w:bottom w:val="nil"/>
              <w:right w:val="nil"/>
            </w:tcBorders>
            <w:shd w:val="clear" w:color="auto" w:fill="auto"/>
            <w:noWrap/>
            <w:vAlign w:val="center"/>
            <w:hideMark/>
          </w:tcPr>
          <w:p w14:paraId="2318E8BB"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auto" w:fill="auto"/>
            <w:noWrap/>
            <w:vAlign w:val="center"/>
            <w:hideMark/>
          </w:tcPr>
          <w:p w14:paraId="0DA5077B" w14:textId="77777777" w:rsidR="00D40091" w:rsidRPr="00D40091" w:rsidRDefault="00D40091" w:rsidP="00AA502F">
            <w:pPr>
              <w:spacing w:line="240" w:lineRule="auto"/>
              <w:jc w:val="center"/>
              <w:rPr>
                <w:rFonts w:ascii="Arial" w:hAnsi="Arial" w:cs="Arial"/>
                <w:sz w:val="18"/>
                <w:szCs w:val="18"/>
              </w:rPr>
            </w:pPr>
          </w:p>
        </w:tc>
        <w:tc>
          <w:tcPr>
            <w:tcW w:w="252" w:type="dxa"/>
            <w:tcBorders>
              <w:top w:val="nil"/>
              <w:left w:val="nil"/>
              <w:bottom w:val="nil"/>
              <w:right w:val="nil"/>
            </w:tcBorders>
            <w:shd w:val="clear" w:color="auto" w:fill="auto"/>
            <w:noWrap/>
            <w:vAlign w:val="center"/>
            <w:hideMark/>
          </w:tcPr>
          <w:p w14:paraId="0F1CC058"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nil"/>
              <w:right w:val="nil"/>
            </w:tcBorders>
            <w:shd w:val="clear" w:color="auto" w:fill="auto"/>
            <w:noWrap/>
            <w:vAlign w:val="center"/>
            <w:hideMark/>
          </w:tcPr>
          <w:p w14:paraId="5D0BAE75" w14:textId="77777777" w:rsidR="00D40091" w:rsidRPr="00D40091" w:rsidRDefault="00D40091" w:rsidP="00AA502F">
            <w:pPr>
              <w:spacing w:line="240" w:lineRule="auto"/>
              <w:jc w:val="center"/>
              <w:rPr>
                <w:rFonts w:ascii="Arial" w:hAnsi="Arial" w:cs="Arial"/>
                <w:sz w:val="18"/>
                <w:szCs w:val="18"/>
              </w:rPr>
            </w:pPr>
          </w:p>
        </w:tc>
      </w:tr>
      <w:tr w:rsidR="00D40091" w:rsidRPr="00D40091" w14:paraId="456C5E8D" w14:textId="77777777" w:rsidTr="00AA502F">
        <w:trPr>
          <w:trHeight w:val="315"/>
        </w:trPr>
        <w:tc>
          <w:tcPr>
            <w:tcW w:w="4420" w:type="dxa"/>
            <w:tcBorders>
              <w:top w:val="nil"/>
              <w:left w:val="nil"/>
              <w:bottom w:val="nil"/>
              <w:right w:val="nil"/>
            </w:tcBorders>
            <w:shd w:val="clear" w:color="auto" w:fill="auto"/>
            <w:noWrap/>
            <w:vAlign w:val="bottom"/>
            <w:hideMark/>
          </w:tcPr>
          <w:p w14:paraId="7A1FD94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LUCRO / PREJUÍZO DO EXERCÍCIO</w:t>
            </w:r>
          </w:p>
        </w:tc>
        <w:tc>
          <w:tcPr>
            <w:tcW w:w="1297" w:type="dxa"/>
            <w:tcBorders>
              <w:top w:val="nil"/>
              <w:left w:val="nil"/>
              <w:bottom w:val="nil"/>
              <w:right w:val="nil"/>
            </w:tcBorders>
            <w:shd w:val="clear" w:color="auto" w:fill="auto"/>
            <w:noWrap/>
            <w:vAlign w:val="bottom"/>
            <w:hideMark/>
          </w:tcPr>
          <w:p w14:paraId="32E08AA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18.d</w:t>
            </w:r>
          </w:p>
        </w:tc>
        <w:tc>
          <w:tcPr>
            <w:tcW w:w="196" w:type="dxa"/>
            <w:tcBorders>
              <w:top w:val="nil"/>
              <w:left w:val="nil"/>
              <w:bottom w:val="nil"/>
              <w:right w:val="nil"/>
            </w:tcBorders>
            <w:shd w:val="clear" w:color="auto" w:fill="auto"/>
            <w:noWrap/>
            <w:vAlign w:val="bottom"/>
            <w:hideMark/>
          </w:tcPr>
          <w:p w14:paraId="6B334815" w14:textId="77777777" w:rsidR="00D40091" w:rsidRPr="00D40091" w:rsidRDefault="00D40091" w:rsidP="00AA502F">
            <w:pPr>
              <w:spacing w:line="240" w:lineRule="auto"/>
              <w:rPr>
                <w:rFonts w:ascii="Arial" w:hAnsi="Arial" w:cs="Arial"/>
                <w:color w:val="000000"/>
                <w:sz w:val="18"/>
                <w:szCs w:val="18"/>
              </w:rPr>
            </w:pPr>
          </w:p>
        </w:tc>
        <w:tc>
          <w:tcPr>
            <w:tcW w:w="4764" w:type="dxa"/>
            <w:tcBorders>
              <w:top w:val="nil"/>
              <w:left w:val="nil"/>
              <w:bottom w:val="single" w:sz="4" w:space="0" w:color="auto"/>
              <w:right w:val="nil"/>
            </w:tcBorders>
            <w:shd w:val="clear" w:color="auto" w:fill="auto"/>
            <w:noWrap/>
            <w:vAlign w:val="bottom"/>
            <w:hideMark/>
          </w:tcPr>
          <w:p w14:paraId="296148AA"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19.483.961 </w:t>
            </w:r>
          </w:p>
        </w:tc>
        <w:tc>
          <w:tcPr>
            <w:tcW w:w="252" w:type="dxa"/>
            <w:tcBorders>
              <w:top w:val="nil"/>
              <w:left w:val="nil"/>
              <w:bottom w:val="nil"/>
              <w:right w:val="nil"/>
            </w:tcBorders>
            <w:shd w:val="clear" w:color="auto" w:fill="auto"/>
            <w:noWrap/>
            <w:vAlign w:val="bottom"/>
            <w:hideMark/>
          </w:tcPr>
          <w:p w14:paraId="142D5F21" w14:textId="77777777" w:rsidR="00D40091" w:rsidRPr="00D40091" w:rsidRDefault="00D40091" w:rsidP="00AA502F">
            <w:pPr>
              <w:spacing w:line="240" w:lineRule="auto"/>
              <w:jc w:val="center"/>
              <w:rPr>
                <w:rFonts w:ascii="Arial" w:hAnsi="Arial" w:cs="Arial"/>
                <w:sz w:val="18"/>
                <w:szCs w:val="18"/>
              </w:rPr>
            </w:pPr>
          </w:p>
        </w:tc>
        <w:tc>
          <w:tcPr>
            <w:tcW w:w="1331" w:type="dxa"/>
            <w:tcBorders>
              <w:top w:val="nil"/>
              <w:left w:val="nil"/>
              <w:bottom w:val="single" w:sz="4" w:space="0" w:color="auto"/>
              <w:right w:val="nil"/>
            </w:tcBorders>
            <w:shd w:val="clear" w:color="auto" w:fill="auto"/>
            <w:noWrap/>
            <w:vAlign w:val="bottom"/>
            <w:hideMark/>
          </w:tcPr>
          <w:p w14:paraId="2BA71F6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    22.974.349 </w:t>
            </w:r>
          </w:p>
        </w:tc>
      </w:tr>
      <w:tr w:rsidR="00D40091" w:rsidRPr="00D40091" w14:paraId="62C601CD" w14:textId="77777777" w:rsidTr="00AA502F">
        <w:trPr>
          <w:trHeight w:val="315"/>
        </w:trPr>
        <w:tc>
          <w:tcPr>
            <w:tcW w:w="4420" w:type="dxa"/>
            <w:tcBorders>
              <w:top w:val="nil"/>
              <w:left w:val="nil"/>
              <w:bottom w:val="nil"/>
              <w:right w:val="nil"/>
            </w:tcBorders>
            <w:shd w:val="clear" w:color="auto" w:fill="auto"/>
            <w:noWrap/>
            <w:vAlign w:val="bottom"/>
            <w:hideMark/>
          </w:tcPr>
          <w:p w14:paraId="69742089" w14:textId="77777777" w:rsidR="00D40091" w:rsidRPr="00D40091" w:rsidRDefault="00D40091" w:rsidP="00AA502F">
            <w:pPr>
              <w:spacing w:line="240" w:lineRule="auto"/>
              <w:jc w:val="center"/>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27111564"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556E6D33"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08602F7F"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6D0AD92D"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43A7C79" w14:textId="77777777" w:rsidR="00D40091" w:rsidRPr="00D40091" w:rsidRDefault="00D40091" w:rsidP="00AA502F">
            <w:pPr>
              <w:spacing w:line="240" w:lineRule="auto"/>
              <w:rPr>
                <w:rFonts w:ascii="Arial" w:hAnsi="Arial" w:cs="Arial"/>
                <w:sz w:val="18"/>
                <w:szCs w:val="18"/>
              </w:rPr>
            </w:pPr>
          </w:p>
        </w:tc>
      </w:tr>
      <w:tr w:rsidR="00D40091" w:rsidRPr="00D40091" w14:paraId="5E6072B9" w14:textId="77777777" w:rsidTr="00AA502F">
        <w:trPr>
          <w:trHeight w:val="315"/>
        </w:trPr>
        <w:tc>
          <w:tcPr>
            <w:tcW w:w="10677" w:type="dxa"/>
            <w:gridSpan w:val="4"/>
            <w:tcBorders>
              <w:top w:val="nil"/>
              <w:left w:val="nil"/>
              <w:bottom w:val="single" w:sz="4" w:space="0" w:color="auto"/>
              <w:right w:val="nil"/>
            </w:tcBorders>
            <w:shd w:val="clear" w:color="auto" w:fill="auto"/>
            <w:noWrap/>
            <w:vAlign w:val="bottom"/>
            <w:hideMark/>
          </w:tcPr>
          <w:p w14:paraId="613FF92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As notas explicativas são parte integrante das demonstrações contábeis  </w:t>
            </w:r>
          </w:p>
        </w:tc>
        <w:tc>
          <w:tcPr>
            <w:tcW w:w="252" w:type="dxa"/>
            <w:tcBorders>
              <w:top w:val="nil"/>
              <w:left w:val="nil"/>
              <w:bottom w:val="single" w:sz="4" w:space="0" w:color="auto"/>
              <w:right w:val="nil"/>
            </w:tcBorders>
            <w:shd w:val="clear" w:color="auto" w:fill="auto"/>
            <w:noWrap/>
            <w:vAlign w:val="bottom"/>
            <w:hideMark/>
          </w:tcPr>
          <w:p w14:paraId="6E4530CA"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331" w:type="dxa"/>
            <w:tcBorders>
              <w:top w:val="nil"/>
              <w:left w:val="nil"/>
              <w:bottom w:val="single" w:sz="4" w:space="0" w:color="auto"/>
              <w:right w:val="nil"/>
            </w:tcBorders>
            <w:shd w:val="clear" w:color="auto" w:fill="auto"/>
            <w:noWrap/>
            <w:vAlign w:val="bottom"/>
            <w:hideMark/>
          </w:tcPr>
          <w:p w14:paraId="6F6DB25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41E38E7B" w14:textId="77777777" w:rsidTr="00AA502F">
        <w:trPr>
          <w:trHeight w:val="315"/>
        </w:trPr>
        <w:tc>
          <w:tcPr>
            <w:tcW w:w="4420" w:type="dxa"/>
            <w:tcBorders>
              <w:top w:val="nil"/>
              <w:left w:val="nil"/>
              <w:bottom w:val="nil"/>
              <w:right w:val="nil"/>
            </w:tcBorders>
            <w:shd w:val="clear" w:color="auto" w:fill="auto"/>
            <w:noWrap/>
            <w:vAlign w:val="bottom"/>
            <w:hideMark/>
          </w:tcPr>
          <w:p w14:paraId="351E146D"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5E025EAE"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1BF7252F"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35A4C18"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6A26349E"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6BD93FF" w14:textId="77777777" w:rsidR="00D40091" w:rsidRPr="00D40091" w:rsidRDefault="00D40091" w:rsidP="00AA502F">
            <w:pPr>
              <w:spacing w:line="240" w:lineRule="auto"/>
              <w:rPr>
                <w:rFonts w:ascii="Arial" w:hAnsi="Arial" w:cs="Arial"/>
                <w:sz w:val="18"/>
                <w:szCs w:val="18"/>
              </w:rPr>
            </w:pPr>
          </w:p>
        </w:tc>
      </w:tr>
      <w:tr w:rsidR="00D40091" w:rsidRPr="00D40091" w14:paraId="1AD3B376" w14:textId="77777777" w:rsidTr="00AA502F">
        <w:trPr>
          <w:trHeight w:val="315"/>
        </w:trPr>
        <w:tc>
          <w:tcPr>
            <w:tcW w:w="4420" w:type="dxa"/>
            <w:tcBorders>
              <w:top w:val="nil"/>
              <w:left w:val="nil"/>
              <w:bottom w:val="nil"/>
              <w:right w:val="nil"/>
            </w:tcBorders>
            <w:shd w:val="clear" w:color="auto" w:fill="auto"/>
            <w:noWrap/>
            <w:vAlign w:val="bottom"/>
            <w:hideMark/>
          </w:tcPr>
          <w:p w14:paraId="51DDCD4A"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45196A19"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7B080F3B"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F3D3594"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6A3D6560"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50670265" w14:textId="77777777" w:rsidR="00D40091" w:rsidRPr="00D40091" w:rsidRDefault="00D40091" w:rsidP="00AA502F">
            <w:pPr>
              <w:spacing w:line="240" w:lineRule="auto"/>
              <w:rPr>
                <w:rFonts w:ascii="Arial" w:hAnsi="Arial" w:cs="Arial"/>
                <w:sz w:val="18"/>
                <w:szCs w:val="18"/>
              </w:rPr>
            </w:pPr>
          </w:p>
        </w:tc>
      </w:tr>
      <w:tr w:rsidR="00D40091" w:rsidRPr="00D40091" w14:paraId="69224C95" w14:textId="77777777" w:rsidTr="00AA502F">
        <w:trPr>
          <w:trHeight w:val="315"/>
        </w:trPr>
        <w:tc>
          <w:tcPr>
            <w:tcW w:w="4420" w:type="dxa"/>
            <w:tcBorders>
              <w:top w:val="nil"/>
              <w:left w:val="nil"/>
              <w:bottom w:val="nil"/>
              <w:right w:val="nil"/>
            </w:tcBorders>
            <w:shd w:val="clear" w:color="auto" w:fill="auto"/>
            <w:noWrap/>
            <w:vAlign w:val="center"/>
            <w:hideMark/>
          </w:tcPr>
          <w:p w14:paraId="46987661"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62025023"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0DC933F2"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7ADA8D99"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2D7719C0"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4D239545" w14:textId="77777777" w:rsidR="00D40091" w:rsidRPr="00D40091" w:rsidRDefault="00D40091" w:rsidP="00AA502F">
            <w:pPr>
              <w:spacing w:line="240" w:lineRule="auto"/>
              <w:rPr>
                <w:rFonts w:ascii="Arial" w:hAnsi="Arial" w:cs="Arial"/>
                <w:sz w:val="18"/>
                <w:szCs w:val="18"/>
              </w:rPr>
            </w:pPr>
          </w:p>
        </w:tc>
      </w:tr>
      <w:tr w:rsidR="00D40091" w:rsidRPr="00D40091" w14:paraId="5BAE87E5" w14:textId="77777777" w:rsidTr="00AA502F">
        <w:trPr>
          <w:trHeight w:val="315"/>
        </w:trPr>
        <w:tc>
          <w:tcPr>
            <w:tcW w:w="4420" w:type="dxa"/>
            <w:tcBorders>
              <w:top w:val="nil"/>
              <w:left w:val="nil"/>
              <w:bottom w:val="nil"/>
              <w:right w:val="nil"/>
            </w:tcBorders>
            <w:shd w:val="clear" w:color="auto" w:fill="auto"/>
            <w:noWrap/>
            <w:vAlign w:val="bottom"/>
            <w:hideMark/>
          </w:tcPr>
          <w:p w14:paraId="63E0EC22"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46CFC5CB"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BE3D6BD"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5EB1C9E7"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659B9A6D"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D803CF0" w14:textId="77777777" w:rsidR="00D40091" w:rsidRPr="00D40091" w:rsidRDefault="00D40091" w:rsidP="00AA502F">
            <w:pPr>
              <w:spacing w:line="240" w:lineRule="auto"/>
              <w:rPr>
                <w:rFonts w:ascii="Arial" w:hAnsi="Arial" w:cs="Arial"/>
                <w:sz w:val="18"/>
                <w:szCs w:val="18"/>
              </w:rPr>
            </w:pPr>
          </w:p>
        </w:tc>
      </w:tr>
      <w:tr w:rsidR="00D40091" w:rsidRPr="00D40091" w14:paraId="34F3BBAA" w14:textId="77777777" w:rsidTr="00AA502F">
        <w:trPr>
          <w:trHeight w:val="315"/>
        </w:trPr>
        <w:tc>
          <w:tcPr>
            <w:tcW w:w="4420" w:type="dxa"/>
            <w:tcBorders>
              <w:top w:val="nil"/>
              <w:left w:val="nil"/>
              <w:bottom w:val="nil"/>
              <w:right w:val="nil"/>
            </w:tcBorders>
            <w:shd w:val="clear" w:color="auto" w:fill="auto"/>
            <w:noWrap/>
            <w:vAlign w:val="bottom"/>
            <w:hideMark/>
          </w:tcPr>
          <w:p w14:paraId="51A04BAF" w14:textId="77777777" w:rsidR="00D40091" w:rsidRPr="00D40091" w:rsidRDefault="00D40091" w:rsidP="00AA502F">
            <w:pPr>
              <w:spacing w:line="240" w:lineRule="auto"/>
              <w:rPr>
                <w:rFonts w:ascii="Arial" w:hAnsi="Arial" w:cs="Arial"/>
                <w:sz w:val="18"/>
                <w:szCs w:val="18"/>
              </w:rPr>
            </w:pPr>
          </w:p>
        </w:tc>
        <w:tc>
          <w:tcPr>
            <w:tcW w:w="1297" w:type="dxa"/>
            <w:tcBorders>
              <w:top w:val="nil"/>
              <w:left w:val="nil"/>
              <w:bottom w:val="nil"/>
              <w:right w:val="nil"/>
            </w:tcBorders>
            <w:shd w:val="clear" w:color="auto" w:fill="auto"/>
            <w:noWrap/>
            <w:vAlign w:val="bottom"/>
            <w:hideMark/>
          </w:tcPr>
          <w:p w14:paraId="0D845D35" w14:textId="77777777" w:rsidR="00D40091" w:rsidRPr="00D40091" w:rsidRDefault="00D40091" w:rsidP="00AA502F">
            <w:pPr>
              <w:spacing w:line="240" w:lineRule="auto"/>
              <w:rPr>
                <w:rFonts w:ascii="Arial" w:hAnsi="Arial" w:cs="Arial"/>
                <w:sz w:val="18"/>
                <w:szCs w:val="18"/>
              </w:rPr>
            </w:pPr>
          </w:p>
        </w:tc>
        <w:tc>
          <w:tcPr>
            <w:tcW w:w="196" w:type="dxa"/>
            <w:tcBorders>
              <w:top w:val="nil"/>
              <w:left w:val="nil"/>
              <w:bottom w:val="nil"/>
              <w:right w:val="nil"/>
            </w:tcBorders>
            <w:shd w:val="clear" w:color="auto" w:fill="auto"/>
            <w:noWrap/>
            <w:vAlign w:val="bottom"/>
            <w:hideMark/>
          </w:tcPr>
          <w:p w14:paraId="29F86B8F"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auto" w:fill="auto"/>
            <w:noWrap/>
            <w:vAlign w:val="bottom"/>
            <w:hideMark/>
          </w:tcPr>
          <w:p w14:paraId="3A43145B" w14:textId="77777777" w:rsidR="00D40091" w:rsidRPr="00D40091" w:rsidRDefault="00D40091" w:rsidP="00AA502F">
            <w:pPr>
              <w:spacing w:line="240" w:lineRule="auto"/>
              <w:rPr>
                <w:rFonts w:ascii="Arial" w:hAnsi="Arial" w:cs="Arial"/>
                <w:sz w:val="18"/>
                <w:szCs w:val="18"/>
              </w:rPr>
            </w:pPr>
          </w:p>
        </w:tc>
        <w:tc>
          <w:tcPr>
            <w:tcW w:w="252" w:type="dxa"/>
            <w:tcBorders>
              <w:top w:val="nil"/>
              <w:left w:val="nil"/>
              <w:bottom w:val="nil"/>
              <w:right w:val="nil"/>
            </w:tcBorders>
            <w:shd w:val="clear" w:color="auto" w:fill="auto"/>
            <w:noWrap/>
            <w:vAlign w:val="bottom"/>
            <w:hideMark/>
          </w:tcPr>
          <w:p w14:paraId="3A70C4DF" w14:textId="77777777" w:rsidR="00D40091" w:rsidRPr="00D40091" w:rsidRDefault="00D40091" w:rsidP="00AA502F">
            <w:pPr>
              <w:spacing w:line="240" w:lineRule="auto"/>
              <w:rPr>
                <w:rFonts w:ascii="Arial" w:hAnsi="Arial" w:cs="Arial"/>
                <w:sz w:val="18"/>
                <w:szCs w:val="18"/>
              </w:rPr>
            </w:pPr>
          </w:p>
        </w:tc>
        <w:tc>
          <w:tcPr>
            <w:tcW w:w="1331" w:type="dxa"/>
            <w:tcBorders>
              <w:top w:val="nil"/>
              <w:left w:val="nil"/>
              <w:bottom w:val="nil"/>
              <w:right w:val="nil"/>
            </w:tcBorders>
            <w:shd w:val="clear" w:color="auto" w:fill="auto"/>
            <w:noWrap/>
            <w:vAlign w:val="bottom"/>
            <w:hideMark/>
          </w:tcPr>
          <w:p w14:paraId="133D6260" w14:textId="77777777" w:rsidR="00D40091" w:rsidRPr="00D40091" w:rsidRDefault="00D40091" w:rsidP="00AA502F">
            <w:pPr>
              <w:spacing w:line="240" w:lineRule="auto"/>
              <w:rPr>
                <w:rFonts w:ascii="Arial" w:hAnsi="Arial" w:cs="Arial"/>
                <w:sz w:val="18"/>
                <w:szCs w:val="18"/>
              </w:rPr>
            </w:pPr>
          </w:p>
        </w:tc>
      </w:tr>
      <w:tr w:rsidR="00D40091" w:rsidRPr="00D40091" w14:paraId="429B4A0C" w14:textId="77777777" w:rsidTr="00AA502F">
        <w:trPr>
          <w:trHeight w:val="315"/>
        </w:trPr>
        <w:tc>
          <w:tcPr>
            <w:tcW w:w="4420" w:type="dxa"/>
            <w:tcBorders>
              <w:top w:val="nil"/>
              <w:left w:val="nil"/>
              <w:bottom w:val="nil"/>
              <w:right w:val="nil"/>
            </w:tcBorders>
            <w:shd w:val="clear" w:color="FFFFCC" w:fill="FFFFFF"/>
            <w:noWrap/>
            <w:vAlign w:val="center"/>
            <w:hideMark/>
          </w:tcPr>
          <w:p w14:paraId="05734AD8"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RENATO VIEIRA PITA</w:t>
            </w:r>
          </w:p>
        </w:tc>
        <w:tc>
          <w:tcPr>
            <w:tcW w:w="1297" w:type="dxa"/>
            <w:tcBorders>
              <w:top w:val="nil"/>
              <w:left w:val="nil"/>
              <w:bottom w:val="nil"/>
              <w:right w:val="nil"/>
            </w:tcBorders>
            <w:shd w:val="clear" w:color="auto" w:fill="auto"/>
            <w:noWrap/>
            <w:vAlign w:val="center"/>
            <w:hideMark/>
          </w:tcPr>
          <w:p w14:paraId="330AEB07" w14:textId="77777777" w:rsidR="00D40091" w:rsidRPr="00D40091" w:rsidRDefault="00D40091" w:rsidP="00AA502F">
            <w:pPr>
              <w:spacing w:line="240" w:lineRule="auto"/>
              <w:jc w:val="center"/>
              <w:rPr>
                <w:rFonts w:ascii="Arial" w:hAnsi="Arial" w:cs="Arial"/>
                <w:b/>
                <w:bCs/>
                <w:sz w:val="18"/>
                <w:szCs w:val="18"/>
              </w:rPr>
            </w:pPr>
          </w:p>
        </w:tc>
        <w:tc>
          <w:tcPr>
            <w:tcW w:w="196" w:type="dxa"/>
            <w:tcBorders>
              <w:top w:val="nil"/>
              <w:left w:val="nil"/>
              <w:bottom w:val="nil"/>
              <w:right w:val="nil"/>
            </w:tcBorders>
            <w:shd w:val="clear" w:color="auto" w:fill="auto"/>
            <w:noWrap/>
            <w:vAlign w:val="center"/>
            <w:hideMark/>
          </w:tcPr>
          <w:p w14:paraId="44E74BFA"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FFFFCC" w:fill="FFFFFF"/>
            <w:noWrap/>
            <w:vAlign w:val="center"/>
            <w:hideMark/>
          </w:tcPr>
          <w:p w14:paraId="785A86E4"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MAURICIO AKIHIRO MAKI</w:t>
            </w:r>
          </w:p>
        </w:tc>
        <w:tc>
          <w:tcPr>
            <w:tcW w:w="252" w:type="dxa"/>
            <w:tcBorders>
              <w:top w:val="nil"/>
              <w:left w:val="nil"/>
              <w:bottom w:val="nil"/>
              <w:right w:val="nil"/>
            </w:tcBorders>
            <w:shd w:val="clear" w:color="FFFFCC" w:fill="FFFFFF"/>
            <w:noWrap/>
            <w:vAlign w:val="center"/>
            <w:hideMark/>
          </w:tcPr>
          <w:p w14:paraId="43F5C733"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1331" w:type="dxa"/>
            <w:tcBorders>
              <w:top w:val="nil"/>
              <w:left w:val="nil"/>
              <w:bottom w:val="nil"/>
              <w:right w:val="nil"/>
            </w:tcBorders>
            <w:shd w:val="clear" w:color="auto" w:fill="auto"/>
            <w:noWrap/>
            <w:vAlign w:val="center"/>
            <w:hideMark/>
          </w:tcPr>
          <w:p w14:paraId="46E7B86F" w14:textId="77777777" w:rsidR="00D40091" w:rsidRPr="00D40091" w:rsidRDefault="00D40091" w:rsidP="00AA502F">
            <w:pPr>
              <w:spacing w:line="240" w:lineRule="auto"/>
              <w:jc w:val="center"/>
              <w:rPr>
                <w:rFonts w:ascii="Arial" w:hAnsi="Arial" w:cs="Arial"/>
                <w:b/>
                <w:bCs/>
                <w:sz w:val="18"/>
                <w:szCs w:val="18"/>
              </w:rPr>
            </w:pPr>
          </w:p>
        </w:tc>
      </w:tr>
      <w:tr w:rsidR="00D40091" w:rsidRPr="00D40091" w14:paraId="7962DA3B" w14:textId="77777777" w:rsidTr="00AA502F">
        <w:trPr>
          <w:trHeight w:val="315"/>
        </w:trPr>
        <w:tc>
          <w:tcPr>
            <w:tcW w:w="4420" w:type="dxa"/>
            <w:tcBorders>
              <w:top w:val="nil"/>
              <w:left w:val="nil"/>
              <w:bottom w:val="nil"/>
              <w:right w:val="nil"/>
            </w:tcBorders>
            <w:shd w:val="clear" w:color="FFFFCC" w:fill="FFFFFF"/>
            <w:noWrap/>
            <w:vAlign w:val="center"/>
            <w:hideMark/>
          </w:tcPr>
          <w:p w14:paraId="5A74926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CONTADOR</w:t>
            </w:r>
          </w:p>
        </w:tc>
        <w:tc>
          <w:tcPr>
            <w:tcW w:w="1297" w:type="dxa"/>
            <w:tcBorders>
              <w:top w:val="nil"/>
              <w:left w:val="nil"/>
              <w:bottom w:val="nil"/>
              <w:right w:val="nil"/>
            </w:tcBorders>
            <w:shd w:val="clear" w:color="auto" w:fill="auto"/>
            <w:noWrap/>
            <w:vAlign w:val="center"/>
            <w:hideMark/>
          </w:tcPr>
          <w:p w14:paraId="4520CC9C" w14:textId="77777777" w:rsidR="00D40091" w:rsidRPr="00D40091" w:rsidRDefault="00D40091" w:rsidP="00AA502F">
            <w:pPr>
              <w:spacing w:line="240" w:lineRule="auto"/>
              <w:jc w:val="center"/>
              <w:rPr>
                <w:rFonts w:ascii="Arial" w:hAnsi="Arial" w:cs="Arial"/>
                <w:sz w:val="18"/>
                <w:szCs w:val="18"/>
              </w:rPr>
            </w:pPr>
          </w:p>
        </w:tc>
        <w:tc>
          <w:tcPr>
            <w:tcW w:w="196" w:type="dxa"/>
            <w:tcBorders>
              <w:top w:val="nil"/>
              <w:left w:val="nil"/>
              <w:bottom w:val="nil"/>
              <w:right w:val="nil"/>
            </w:tcBorders>
            <w:shd w:val="clear" w:color="auto" w:fill="auto"/>
            <w:noWrap/>
            <w:vAlign w:val="center"/>
            <w:hideMark/>
          </w:tcPr>
          <w:p w14:paraId="1656650D" w14:textId="77777777" w:rsidR="00D40091" w:rsidRPr="00D40091" w:rsidRDefault="00D40091" w:rsidP="00AA502F">
            <w:pPr>
              <w:spacing w:line="240" w:lineRule="auto"/>
              <w:rPr>
                <w:rFonts w:ascii="Arial" w:hAnsi="Arial" w:cs="Arial"/>
                <w:sz w:val="18"/>
                <w:szCs w:val="18"/>
              </w:rPr>
            </w:pPr>
          </w:p>
        </w:tc>
        <w:tc>
          <w:tcPr>
            <w:tcW w:w="4764" w:type="dxa"/>
            <w:tcBorders>
              <w:top w:val="nil"/>
              <w:left w:val="nil"/>
              <w:bottom w:val="nil"/>
              <w:right w:val="nil"/>
            </w:tcBorders>
            <w:shd w:val="clear" w:color="FFFFCC" w:fill="FFFFFF"/>
            <w:noWrap/>
            <w:vAlign w:val="center"/>
            <w:hideMark/>
          </w:tcPr>
          <w:p w14:paraId="0B6F582D"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DIRETOR ADMINISTRATIVO FINANCEIRO</w:t>
            </w:r>
          </w:p>
        </w:tc>
        <w:tc>
          <w:tcPr>
            <w:tcW w:w="252" w:type="dxa"/>
            <w:tcBorders>
              <w:top w:val="nil"/>
              <w:left w:val="nil"/>
              <w:bottom w:val="nil"/>
              <w:right w:val="nil"/>
            </w:tcBorders>
            <w:shd w:val="clear" w:color="FFFFCC" w:fill="FFFFFF"/>
            <w:noWrap/>
            <w:vAlign w:val="center"/>
            <w:hideMark/>
          </w:tcPr>
          <w:p w14:paraId="49966F85"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1331" w:type="dxa"/>
            <w:tcBorders>
              <w:top w:val="nil"/>
              <w:left w:val="nil"/>
              <w:bottom w:val="nil"/>
              <w:right w:val="nil"/>
            </w:tcBorders>
            <w:shd w:val="clear" w:color="auto" w:fill="auto"/>
            <w:noWrap/>
            <w:vAlign w:val="center"/>
            <w:hideMark/>
          </w:tcPr>
          <w:p w14:paraId="2B410B7F" w14:textId="77777777" w:rsidR="00D40091" w:rsidRPr="00D40091" w:rsidRDefault="00D40091" w:rsidP="00AA502F">
            <w:pPr>
              <w:spacing w:line="240" w:lineRule="auto"/>
              <w:jc w:val="center"/>
              <w:rPr>
                <w:rFonts w:ascii="Arial" w:hAnsi="Arial" w:cs="Arial"/>
                <w:sz w:val="18"/>
                <w:szCs w:val="18"/>
              </w:rPr>
            </w:pPr>
          </w:p>
        </w:tc>
      </w:tr>
      <w:tr w:rsidR="00D40091" w:rsidRPr="00D40091" w14:paraId="643D66B9" w14:textId="77777777" w:rsidTr="00AA502F">
        <w:trPr>
          <w:trHeight w:val="315"/>
        </w:trPr>
        <w:tc>
          <w:tcPr>
            <w:tcW w:w="4420" w:type="dxa"/>
            <w:tcBorders>
              <w:top w:val="nil"/>
              <w:left w:val="nil"/>
              <w:bottom w:val="nil"/>
              <w:right w:val="nil"/>
            </w:tcBorders>
            <w:shd w:val="clear" w:color="FFFFCC" w:fill="FFFFFF"/>
            <w:noWrap/>
            <w:vAlign w:val="center"/>
            <w:hideMark/>
          </w:tcPr>
          <w:p w14:paraId="605AF42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CRC 1SP215876/O-8/SP</w:t>
            </w:r>
          </w:p>
        </w:tc>
        <w:tc>
          <w:tcPr>
            <w:tcW w:w="1297" w:type="dxa"/>
            <w:tcBorders>
              <w:top w:val="nil"/>
              <w:left w:val="nil"/>
              <w:bottom w:val="nil"/>
              <w:right w:val="nil"/>
            </w:tcBorders>
            <w:shd w:val="clear" w:color="auto" w:fill="auto"/>
            <w:noWrap/>
            <w:vAlign w:val="center"/>
            <w:hideMark/>
          </w:tcPr>
          <w:p w14:paraId="1C548901" w14:textId="77777777" w:rsidR="00D40091" w:rsidRPr="00D40091" w:rsidRDefault="00D40091" w:rsidP="00AA502F">
            <w:pPr>
              <w:spacing w:line="240" w:lineRule="auto"/>
              <w:jc w:val="center"/>
              <w:rPr>
                <w:rFonts w:ascii="Arial" w:hAnsi="Arial" w:cs="Arial"/>
                <w:sz w:val="18"/>
                <w:szCs w:val="18"/>
              </w:rPr>
            </w:pPr>
          </w:p>
        </w:tc>
        <w:tc>
          <w:tcPr>
            <w:tcW w:w="196" w:type="dxa"/>
            <w:tcBorders>
              <w:top w:val="nil"/>
              <w:left w:val="nil"/>
              <w:bottom w:val="nil"/>
              <w:right w:val="nil"/>
            </w:tcBorders>
            <w:shd w:val="clear" w:color="auto" w:fill="auto"/>
            <w:noWrap/>
            <w:vAlign w:val="center"/>
            <w:hideMark/>
          </w:tcPr>
          <w:p w14:paraId="7218BE3B" w14:textId="77777777" w:rsidR="00D40091" w:rsidRPr="00D40091" w:rsidRDefault="00D40091" w:rsidP="00AA502F">
            <w:pPr>
              <w:spacing w:line="240" w:lineRule="auto"/>
              <w:jc w:val="center"/>
              <w:rPr>
                <w:rFonts w:ascii="Arial" w:hAnsi="Arial" w:cs="Arial"/>
                <w:sz w:val="18"/>
                <w:szCs w:val="18"/>
              </w:rPr>
            </w:pPr>
          </w:p>
        </w:tc>
        <w:tc>
          <w:tcPr>
            <w:tcW w:w="4764" w:type="dxa"/>
            <w:tcBorders>
              <w:top w:val="nil"/>
              <w:left w:val="nil"/>
              <w:bottom w:val="nil"/>
              <w:right w:val="nil"/>
            </w:tcBorders>
            <w:shd w:val="clear" w:color="FFFFCC" w:fill="FFFFFF"/>
            <w:noWrap/>
            <w:vAlign w:val="center"/>
            <w:hideMark/>
          </w:tcPr>
          <w:p w14:paraId="3A46D99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CPF: 219.593.858-79</w:t>
            </w:r>
          </w:p>
        </w:tc>
        <w:tc>
          <w:tcPr>
            <w:tcW w:w="252" w:type="dxa"/>
            <w:tcBorders>
              <w:top w:val="nil"/>
              <w:left w:val="nil"/>
              <w:bottom w:val="nil"/>
              <w:right w:val="nil"/>
            </w:tcBorders>
            <w:shd w:val="clear" w:color="FFFFCC" w:fill="FFFFFF"/>
            <w:noWrap/>
            <w:vAlign w:val="center"/>
            <w:hideMark/>
          </w:tcPr>
          <w:p w14:paraId="4B164EF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1331" w:type="dxa"/>
            <w:tcBorders>
              <w:top w:val="nil"/>
              <w:left w:val="nil"/>
              <w:bottom w:val="nil"/>
              <w:right w:val="nil"/>
            </w:tcBorders>
            <w:shd w:val="clear" w:color="auto" w:fill="auto"/>
            <w:noWrap/>
            <w:vAlign w:val="center"/>
            <w:hideMark/>
          </w:tcPr>
          <w:p w14:paraId="31DF72A1" w14:textId="77777777" w:rsidR="00D40091" w:rsidRPr="00D40091" w:rsidRDefault="00D40091" w:rsidP="00AA502F">
            <w:pPr>
              <w:spacing w:line="240" w:lineRule="auto"/>
              <w:jc w:val="center"/>
              <w:rPr>
                <w:rFonts w:ascii="Arial" w:hAnsi="Arial" w:cs="Arial"/>
                <w:sz w:val="18"/>
                <w:szCs w:val="18"/>
              </w:rPr>
            </w:pPr>
          </w:p>
        </w:tc>
      </w:tr>
    </w:tbl>
    <w:p w14:paraId="229AB80D" w14:textId="77777777" w:rsidR="00D40091" w:rsidRPr="00D40091" w:rsidRDefault="00D40091" w:rsidP="00D40091">
      <w:pPr>
        <w:rPr>
          <w:rFonts w:ascii="Arial" w:hAnsi="Arial" w:cs="Arial"/>
          <w:sz w:val="18"/>
          <w:szCs w:val="18"/>
        </w:rPr>
      </w:pPr>
    </w:p>
    <w:p w14:paraId="24939355" w14:textId="77777777" w:rsidR="00D40091" w:rsidRPr="00D40091" w:rsidRDefault="00D40091" w:rsidP="00D40091">
      <w:pPr>
        <w:rPr>
          <w:rFonts w:ascii="Arial" w:hAnsi="Arial" w:cs="Arial"/>
          <w:sz w:val="18"/>
          <w:szCs w:val="18"/>
        </w:rPr>
      </w:pPr>
      <w:r w:rsidRPr="00D40091">
        <w:rPr>
          <w:rFonts w:ascii="Arial" w:hAnsi="Arial" w:cs="Arial"/>
          <w:sz w:val="18"/>
          <w:szCs w:val="18"/>
        </w:rPr>
        <w:br w:type="page"/>
      </w:r>
    </w:p>
    <w:tbl>
      <w:tblPr>
        <w:tblW w:w="16532" w:type="dxa"/>
        <w:tblLayout w:type="fixed"/>
        <w:tblCellMar>
          <w:left w:w="70" w:type="dxa"/>
          <w:right w:w="70" w:type="dxa"/>
        </w:tblCellMar>
        <w:tblLook w:val="04A0" w:firstRow="1" w:lastRow="0" w:firstColumn="1" w:lastColumn="0" w:noHBand="0" w:noVBand="1"/>
      </w:tblPr>
      <w:tblGrid>
        <w:gridCol w:w="8919"/>
        <w:gridCol w:w="1251"/>
        <w:gridCol w:w="2021"/>
        <w:gridCol w:w="1843"/>
        <w:gridCol w:w="2338"/>
        <w:gridCol w:w="160"/>
      </w:tblGrid>
      <w:tr w:rsidR="00D40091" w:rsidRPr="00D40091" w14:paraId="04E4F1D7" w14:textId="77777777" w:rsidTr="009A6FBD">
        <w:trPr>
          <w:trHeight w:val="255"/>
        </w:trPr>
        <w:tc>
          <w:tcPr>
            <w:tcW w:w="12191" w:type="dxa"/>
            <w:gridSpan w:val="3"/>
            <w:tcBorders>
              <w:top w:val="nil"/>
              <w:left w:val="nil"/>
              <w:bottom w:val="nil"/>
              <w:right w:val="nil"/>
            </w:tcBorders>
            <w:shd w:val="clear" w:color="000000" w:fill="FFFFFF"/>
            <w:noWrap/>
            <w:vAlign w:val="center"/>
            <w:hideMark/>
          </w:tcPr>
          <w:p w14:paraId="4C87D7BB" w14:textId="77777777" w:rsidR="00D40091" w:rsidRPr="00D40091" w:rsidRDefault="00D40091" w:rsidP="00AA502F">
            <w:pPr>
              <w:spacing w:line="240" w:lineRule="auto"/>
              <w:rPr>
                <w:rFonts w:ascii="Arial" w:hAnsi="Arial" w:cs="Arial"/>
                <w:b/>
                <w:bCs/>
                <w:color w:val="000000"/>
                <w:sz w:val="18"/>
                <w:szCs w:val="18"/>
              </w:rPr>
            </w:pPr>
            <w:bookmarkStart w:id="3" w:name="RANGE!A1:F66"/>
            <w:r w:rsidRPr="00D40091">
              <w:rPr>
                <w:rFonts w:ascii="Arial" w:hAnsi="Arial" w:cs="Arial"/>
                <w:b/>
                <w:bCs/>
                <w:color w:val="000000"/>
                <w:sz w:val="18"/>
                <w:szCs w:val="18"/>
              </w:rPr>
              <w:lastRenderedPageBreak/>
              <w:t>COMPANHIA SÃO PAULO DE DESENVOLVIMENTO E MOBILIZAÇÃO DE ATIVOS - SPDA</w:t>
            </w:r>
            <w:bookmarkEnd w:id="3"/>
          </w:p>
        </w:tc>
        <w:tc>
          <w:tcPr>
            <w:tcW w:w="1843" w:type="dxa"/>
            <w:tcBorders>
              <w:top w:val="nil"/>
              <w:left w:val="nil"/>
              <w:bottom w:val="nil"/>
              <w:right w:val="nil"/>
            </w:tcBorders>
            <w:shd w:val="clear" w:color="000000" w:fill="FFFFFF"/>
            <w:noWrap/>
            <w:vAlign w:val="center"/>
            <w:hideMark/>
          </w:tcPr>
          <w:p w14:paraId="126BEF16"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2338" w:type="dxa"/>
            <w:tcBorders>
              <w:top w:val="nil"/>
              <w:left w:val="nil"/>
              <w:bottom w:val="nil"/>
              <w:right w:val="nil"/>
            </w:tcBorders>
            <w:shd w:val="clear" w:color="auto" w:fill="auto"/>
            <w:noWrap/>
            <w:vAlign w:val="center"/>
            <w:hideMark/>
          </w:tcPr>
          <w:p w14:paraId="51BFE3C7" w14:textId="77777777" w:rsidR="00D40091" w:rsidRPr="00D40091" w:rsidRDefault="00D40091" w:rsidP="00AA502F">
            <w:pPr>
              <w:spacing w:line="240" w:lineRule="auto"/>
              <w:rPr>
                <w:rFonts w:ascii="Arial" w:hAnsi="Arial" w:cs="Arial"/>
                <w:b/>
                <w:bCs/>
                <w:color w:val="000000"/>
                <w:sz w:val="18"/>
                <w:szCs w:val="18"/>
                <w:u w:val="single"/>
              </w:rPr>
            </w:pPr>
          </w:p>
        </w:tc>
        <w:tc>
          <w:tcPr>
            <w:tcW w:w="160" w:type="dxa"/>
            <w:tcBorders>
              <w:top w:val="nil"/>
              <w:left w:val="nil"/>
              <w:bottom w:val="nil"/>
              <w:right w:val="nil"/>
            </w:tcBorders>
            <w:shd w:val="clear" w:color="auto" w:fill="auto"/>
            <w:noWrap/>
            <w:vAlign w:val="center"/>
            <w:hideMark/>
          </w:tcPr>
          <w:p w14:paraId="49921964" w14:textId="77777777" w:rsidR="00D40091" w:rsidRPr="00D40091" w:rsidRDefault="00D40091" w:rsidP="00AA502F">
            <w:pPr>
              <w:spacing w:line="240" w:lineRule="auto"/>
              <w:rPr>
                <w:rFonts w:ascii="Arial" w:hAnsi="Arial" w:cs="Arial"/>
                <w:sz w:val="18"/>
                <w:szCs w:val="18"/>
              </w:rPr>
            </w:pPr>
          </w:p>
        </w:tc>
      </w:tr>
      <w:tr w:rsidR="00D40091" w:rsidRPr="00D40091" w14:paraId="763CDB3C" w14:textId="77777777" w:rsidTr="009A6FBD">
        <w:trPr>
          <w:trHeight w:val="255"/>
        </w:trPr>
        <w:tc>
          <w:tcPr>
            <w:tcW w:w="8919" w:type="dxa"/>
            <w:tcBorders>
              <w:top w:val="nil"/>
              <w:left w:val="nil"/>
              <w:bottom w:val="nil"/>
              <w:right w:val="nil"/>
            </w:tcBorders>
            <w:shd w:val="clear" w:color="auto" w:fill="auto"/>
            <w:noWrap/>
            <w:vAlign w:val="center"/>
            <w:hideMark/>
          </w:tcPr>
          <w:p w14:paraId="5E1E76C8"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51BFC0E7" w14:textId="77777777" w:rsidR="00D40091" w:rsidRPr="00D40091" w:rsidRDefault="00D40091" w:rsidP="00AA502F">
            <w:pPr>
              <w:spacing w:line="240" w:lineRule="auto"/>
              <w:jc w:val="center"/>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44584D7C"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0AA179A6" w14:textId="77777777" w:rsidR="00D40091" w:rsidRPr="00D40091" w:rsidRDefault="00D40091" w:rsidP="00AA502F">
            <w:pPr>
              <w:spacing w:line="240" w:lineRule="auto"/>
              <w:jc w:val="center"/>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6FC4827C" w14:textId="77777777" w:rsidR="00D40091" w:rsidRPr="00D40091" w:rsidRDefault="00D40091" w:rsidP="00AA502F">
            <w:pPr>
              <w:spacing w:line="240" w:lineRule="auto"/>
              <w:jc w:val="center"/>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60CEBD31" w14:textId="77777777" w:rsidR="00D40091" w:rsidRPr="00D40091" w:rsidRDefault="00D40091" w:rsidP="00AA502F">
            <w:pPr>
              <w:spacing w:line="240" w:lineRule="auto"/>
              <w:jc w:val="center"/>
              <w:rPr>
                <w:rFonts w:ascii="Arial" w:hAnsi="Arial" w:cs="Arial"/>
                <w:sz w:val="18"/>
                <w:szCs w:val="18"/>
              </w:rPr>
            </w:pPr>
          </w:p>
        </w:tc>
      </w:tr>
      <w:tr w:rsidR="004601FE" w:rsidRPr="004601FE" w14:paraId="53B0A60E" w14:textId="77777777" w:rsidTr="009A6FBD">
        <w:trPr>
          <w:trHeight w:val="255"/>
        </w:trPr>
        <w:tc>
          <w:tcPr>
            <w:tcW w:w="8919" w:type="dxa"/>
            <w:tcBorders>
              <w:top w:val="nil"/>
              <w:left w:val="nil"/>
              <w:bottom w:val="nil"/>
              <w:right w:val="nil"/>
            </w:tcBorders>
            <w:shd w:val="clear" w:color="auto" w:fill="auto"/>
            <w:noWrap/>
            <w:vAlign w:val="center"/>
            <w:hideMark/>
          </w:tcPr>
          <w:p w14:paraId="17B39638" w14:textId="19A8DF9D" w:rsidR="00D40091" w:rsidRPr="004601FE" w:rsidRDefault="00D40091" w:rsidP="007D6D88">
            <w:pPr>
              <w:pStyle w:val="Ttulo1"/>
              <w:rPr>
                <w:rFonts w:ascii="Arial" w:eastAsia="Times New Roman" w:hAnsi="Arial" w:cs="Arial"/>
                <w:color w:val="auto"/>
                <w:sz w:val="18"/>
                <w:szCs w:val="18"/>
              </w:rPr>
            </w:pPr>
            <w:bookmarkStart w:id="4" w:name="_Toc81581292"/>
            <w:r w:rsidRPr="004601FE">
              <w:rPr>
                <w:rFonts w:ascii="Arial" w:eastAsia="Times New Roman" w:hAnsi="Arial" w:cs="Arial"/>
                <w:color w:val="auto"/>
                <w:sz w:val="18"/>
                <w:szCs w:val="18"/>
              </w:rPr>
              <w:t>DEMONSTRAÇÃO DO FLUXO DE CAIXA - MÉTODO INDIRETO</w:t>
            </w:r>
            <w:bookmarkEnd w:id="4"/>
          </w:p>
        </w:tc>
        <w:tc>
          <w:tcPr>
            <w:tcW w:w="1251" w:type="dxa"/>
            <w:tcBorders>
              <w:top w:val="nil"/>
              <w:left w:val="nil"/>
              <w:bottom w:val="nil"/>
              <w:right w:val="nil"/>
            </w:tcBorders>
            <w:shd w:val="clear" w:color="auto" w:fill="auto"/>
            <w:noWrap/>
            <w:vAlign w:val="center"/>
            <w:hideMark/>
          </w:tcPr>
          <w:p w14:paraId="5F969AEA" w14:textId="77777777" w:rsidR="00D40091" w:rsidRPr="004601FE" w:rsidRDefault="00D40091" w:rsidP="007D6D88">
            <w:pPr>
              <w:pStyle w:val="Ttulo1"/>
              <w:rPr>
                <w:rFonts w:ascii="Arial" w:eastAsia="Times New Roman" w:hAnsi="Arial" w:cs="Arial"/>
                <w:color w:val="auto"/>
                <w:sz w:val="18"/>
                <w:szCs w:val="18"/>
              </w:rPr>
            </w:pPr>
          </w:p>
        </w:tc>
        <w:tc>
          <w:tcPr>
            <w:tcW w:w="2021" w:type="dxa"/>
            <w:tcBorders>
              <w:top w:val="nil"/>
              <w:left w:val="nil"/>
              <w:bottom w:val="nil"/>
              <w:right w:val="nil"/>
            </w:tcBorders>
            <w:shd w:val="clear" w:color="auto" w:fill="auto"/>
            <w:noWrap/>
            <w:vAlign w:val="center"/>
            <w:hideMark/>
          </w:tcPr>
          <w:p w14:paraId="2FC1E22B" w14:textId="77777777" w:rsidR="00D40091" w:rsidRPr="004601FE" w:rsidRDefault="00D40091" w:rsidP="007D6D88">
            <w:pPr>
              <w:pStyle w:val="Ttulo1"/>
              <w:rPr>
                <w:rFonts w:ascii="Arial" w:eastAsia="Times New Roman" w:hAnsi="Arial" w:cs="Arial"/>
                <w:color w:val="auto"/>
                <w:sz w:val="18"/>
                <w:szCs w:val="18"/>
              </w:rPr>
            </w:pPr>
          </w:p>
        </w:tc>
        <w:tc>
          <w:tcPr>
            <w:tcW w:w="1843" w:type="dxa"/>
            <w:tcBorders>
              <w:top w:val="nil"/>
              <w:left w:val="nil"/>
              <w:bottom w:val="nil"/>
              <w:right w:val="nil"/>
            </w:tcBorders>
            <w:shd w:val="clear" w:color="auto" w:fill="auto"/>
            <w:noWrap/>
            <w:vAlign w:val="center"/>
            <w:hideMark/>
          </w:tcPr>
          <w:p w14:paraId="3C0E5953" w14:textId="77777777" w:rsidR="00D40091" w:rsidRPr="004601FE" w:rsidRDefault="00D40091" w:rsidP="007D6D88">
            <w:pPr>
              <w:pStyle w:val="Ttulo1"/>
              <w:rPr>
                <w:rFonts w:ascii="Arial" w:eastAsia="Times New Roman" w:hAnsi="Arial" w:cs="Arial"/>
                <w:color w:val="auto"/>
                <w:sz w:val="18"/>
                <w:szCs w:val="18"/>
              </w:rPr>
            </w:pPr>
          </w:p>
        </w:tc>
        <w:tc>
          <w:tcPr>
            <w:tcW w:w="2338" w:type="dxa"/>
            <w:tcBorders>
              <w:top w:val="nil"/>
              <w:left w:val="nil"/>
              <w:bottom w:val="nil"/>
              <w:right w:val="nil"/>
            </w:tcBorders>
            <w:shd w:val="clear" w:color="auto" w:fill="auto"/>
            <w:noWrap/>
            <w:vAlign w:val="center"/>
            <w:hideMark/>
          </w:tcPr>
          <w:p w14:paraId="0D85867E" w14:textId="77777777" w:rsidR="00D40091" w:rsidRPr="004601FE" w:rsidRDefault="00D40091" w:rsidP="007D6D88">
            <w:pPr>
              <w:pStyle w:val="Ttulo1"/>
              <w:rPr>
                <w:rFonts w:ascii="Arial" w:eastAsia="Times New Roman" w:hAnsi="Arial" w:cs="Arial"/>
                <w:color w:val="auto"/>
                <w:sz w:val="18"/>
                <w:szCs w:val="18"/>
              </w:rPr>
            </w:pPr>
          </w:p>
        </w:tc>
        <w:tc>
          <w:tcPr>
            <w:tcW w:w="160" w:type="dxa"/>
            <w:tcBorders>
              <w:top w:val="nil"/>
              <w:left w:val="nil"/>
              <w:bottom w:val="nil"/>
              <w:right w:val="nil"/>
            </w:tcBorders>
            <w:shd w:val="clear" w:color="auto" w:fill="auto"/>
            <w:noWrap/>
            <w:vAlign w:val="center"/>
            <w:hideMark/>
          </w:tcPr>
          <w:p w14:paraId="5685523C" w14:textId="77777777" w:rsidR="00D40091" w:rsidRPr="004601FE" w:rsidRDefault="00D40091" w:rsidP="007D6D88">
            <w:pPr>
              <w:pStyle w:val="Ttulo1"/>
              <w:rPr>
                <w:rFonts w:ascii="Arial" w:eastAsia="Times New Roman" w:hAnsi="Arial" w:cs="Arial"/>
                <w:color w:val="auto"/>
                <w:sz w:val="18"/>
                <w:szCs w:val="18"/>
              </w:rPr>
            </w:pPr>
          </w:p>
        </w:tc>
      </w:tr>
      <w:tr w:rsidR="00D40091" w:rsidRPr="00D40091" w14:paraId="726B973D" w14:textId="77777777" w:rsidTr="009A6FBD">
        <w:trPr>
          <w:trHeight w:val="255"/>
        </w:trPr>
        <w:tc>
          <w:tcPr>
            <w:tcW w:w="8919" w:type="dxa"/>
            <w:tcBorders>
              <w:top w:val="nil"/>
              <w:left w:val="nil"/>
              <w:bottom w:val="nil"/>
              <w:right w:val="nil"/>
            </w:tcBorders>
            <w:shd w:val="clear" w:color="auto" w:fill="auto"/>
            <w:noWrap/>
            <w:vAlign w:val="bottom"/>
            <w:hideMark/>
          </w:tcPr>
          <w:p w14:paraId="3ADF544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EM 31 de DEZEMBRO DE 2020 e 2019</w:t>
            </w:r>
          </w:p>
        </w:tc>
        <w:tc>
          <w:tcPr>
            <w:tcW w:w="1251" w:type="dxa"/>
            <w:tcBorders>
              <w:top w:val="nil"/>
              <w:left w:val="nil"/>
              <w:bottom w:val="nil"/>
              <w:right w:val="nil"/>
            </w:tcBorders>
            <w:shd w:val="clear" w:color="auto" w:fill="auto"/>
            <w:noWrap/>
            <w:vAlign w:val="bottom"/>
            <w:hideMark/>
          </w:tcPr>
          <w:p w14:paraId="24B03468"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16D737C0"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14:paraId="59827C8B"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bottom"/>
            <w:hideMark/>
          </w:tcPr>
          <w:p w14:paraId="7DF0B862"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16DE8A48" w14:textId="77777777" w:rsidR="00D40091" w:rsidRPr="00D40091" w:rsidRDefault="00D40091" w:rsidP="00AA502F">
            <w:pPr>
              <w:spacing w:line="240" w:lineRule="auto"/>
              <w:rPr>
                <w:rFonts w:ascii="Arial" w:hAnsi="Arial" w:cs="Arial"/>
                <w:sz w:val="18"/>
                <w:szCs w:val="18"/>
              </w:rPr>
            </w:pPr>
          </w:p>
        </w:tc>
      </w:tr>
      <w:tr w:rsidR="00D40091" w:rsidRPr="00D40091" w14:paraId="6FF8221E" w14:textId="77777777" w:rsidTr="009A6FBD">
        <w:trPr>
          <w:trHeight w:val="255"/>
        </w:trPr>
        <w:tc>
          <w:tcPr>
            <w:tcW w:w="8919" w:type="dxa"/>
            <w:tcBorders>
              <w:top w:val="nil"/>
              <w:left w:val="nil"/>
              <w:bottom w:val="nil"/>
              <w:right w:val="nil"/>
            </w:tcBorders>
            <w:shd w:val="clear" w:color="auto" w:fill="auto"/>
            <w:noWrap/>
            <w:vAlign w:val="center"/>
            <w:hideMark/>
          </w:tcPr>
          <w:p w14:paraId="2495EA03"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263F2977"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602692CB"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42DA6A69"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503110DD"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560DC82" w14:textId="77777777" w:rsidR="00D40091" w:rsidRPr="00D40091" w:rsidRDefault="00D40091" w:rsidP="00AA502F">
            <w:pPr>
              <w:spacing w:line="240" w:lineRule="auto"/>
              <w:rPr>
                <w:rFonts w:ascii="Arial" w:hAnsi="Arial" w:cs="Arial"/>
                <w:sz w:val="18"/>
                <w:szCs w:val="18"/>
              </w:rPr>
            </w:pPr>
          </w:p>
        </w:tc>
      </w:tr>
      <w:tr w:rsidR="00D40091" w:rsidRPr="00D40091" w14:paraId="3637FA9E" w14:textId="77777777" w:rsidTr="009A6FBD">
        <w:trPr>
          <w:trHeight w:val="255"/>
        </w:trPr>
        <w:tc>
          <w:tcPr>
            <w:tcW w:w="8919" w:type="dxa"/>
            <w:tcBorders>
              <w:top w:val="nil"/>
              <w:left w:val="nil"/>
              <w:bottom w:val="single" w:sz="4" w:space="0" w:color="auto"/>
              <w:right w:val="nil"/>
            </w:tcBorders>
            <w:shd w:val="clear" w:color="000000" w:fill="FFFFFF"/>
            <w:noWrap/>
            <w:vAlign w:val="center"/>
            <w:hideMark/>
          </w:tcPr>
          <w:p w14:paraId="1D41D04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(Valores expressos em reais R$)</w:t>
            </w:r>
          </w:p>
        </w:tc>
        <w:tc>
          <w:tcPr>
            <w:tcW w:w="1251" w:type="dxa"/>
            <w:tcBorders>
              <w:top w:val="nil"/>
              <w:left w:val="nil"/>
              <w:bottom w:val="single" w:sz="4" w:space="0" w:color="auto"/>
              <w:right w:val="nil"/>
            </w:tcBorders>
            <w:shd w:val="clear" w:color="000000" w:fill="FFFFFF"/>
            <w:noWrap/>
            <w:vAlign w:val="center"/>
            <w:hideMark/>
          </w:tcPr>
          <w:p w14:paraId="00DF5B7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single" w:sz="4" w:space="0" w:color="auto"/>
              <w:right w:val="nil"/>
            </w:tcBorders>
            <w:shd w:val="clear" w:color="000000" w:fill="FFFFFF"/>
            <w:noWrap/>
            <w:vAlign w:val="center"/>
            <w:hideMark/>
          </w:tcPr>
          <w:p w14:paraId="13C4451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843" w:type="dxa"/>
            <w:tcBorders>
              <w:top w:val="nil"/>
              <w:left w:val="nil"/>
              <w:bottom w:val="single" w:sz="4" w:space="0" w:color="auto"/>
              <w:right w:val="nil"/>
            </w:tcBorders>
            <w:shd w:val="clear" w:color="000000" w:fill="FFFFFF"/>
            <w:noWrap/>
            <w:vAlign w:val="center"/>
            <w:hideMark/>
          </w:tcPr>
          <w:p w14:paraId="6B9A3B1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2338" w:type="dxa"/>
            <w:tcBorders>
              <w:top w:val="nil"/>
              <w:left w:val="nil"/>
              <w:bottom w:val="nil"/>
              <w:right w:val="nil"/>
            </w:tcBorders>
            <w:shd w:val="clear" w:color="auto" w:fill="auto"/>
            <w:noWrap/>
            <w:vAlign w:val="center"/>
            <w:hideMark/>
          </w:tcPr>
          <w:p w14:paraId="16D91917"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21A446AC" w14:textId="77777777" w:rsidR="00D40091" w:rsidRPr="00D40091" w:rsidRDefault="00D40091" w:rsidP="00AA502F">
            <w:pPr>
              <w:spacing w:line="240" w:lineRule="auto"/>
              <w:rPr>
                <w:rFonts w:ascii="Arial" w:hAnsi="Arial" w:cs="Arial"/>
                <w:sz w:val="18"/>
                <w:szCs w:val="18"/>
              </w:rPr>
            </w:pPr>
          </w:p>
        </w:tc>
      </w:tr>
      <w:tr w:rsidR="00D40091" w:rsidRPr="00D40091" w14:paraId="705A5070" w14:textId="77777777" w:rsidTr="009A6FBD">
        <w:trPr>
          <w:trHeight w:val="255"/>
        </w:trPr>
        <w:tc>
          <w:tcPr>
            <w:tcW w:w="8919" w:type="dxa"/>
            <w:tcBorders>
              <w:top w:val="nil"/>
              <w:left w:val="nil"/>
              <w:bottom w:val="nil"/>
              <w:right w:val="nil"/>
            </w:tcBorders>
            <w:shd w:val="clear" w:color="auto" w:fill="auto"/>
            <w:noWrap/>
            <w:vAlign w:val="center"/>
            <w:hideMark/>
          </w:tcPr>
          <w:p w14:paraId="1C9659D7"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4F0149CC"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7F78F5E4"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5E7E236A"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28216F74"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25BD75BB" w14:textId="77777777" w:rsidR="00D40091" w:rsidRPr="00D40091" w:rsidRDefault="00D40091" w:rsidP="00AA502F">
            <w:pPr>
              <w:spacing w:line="240" w:lineRule="auto"/>
              <w:rPr>
                <w:rFonts w:ascii="Arial" w:hAnsi="Arial" w:cs="Arial"/>
                <w:sz w:val="18"/>
                <w:szCs w:val="18"/>
              </w:rPr>
            </w:pPr>
          </w:p>
        </w:tc>
      </w:tr>
      <w:tr w:rsidR="00D40091" w:rsidRPr="00D40091" w14:paraId="297696D2" w14:textId="77777777" w:rsidTr="009A6FBD">
        <w:trPr>
          <w:trHeight w:val="255"/>
        </w:trPr>
        <w:tc>
          <w:tcPr>
            <w:tcW w:w="8919" w:type="dxa"/>
            <w:tcBorders>
              <w:top w:val="nil"/>
              <w:left w:val="nil"/>
              <w:bottom w:val="nil"/>
              <w:right w:val="nil"/>
            </w:tcBorders>
            <w:shd w:val="clear" w:color="auto" w:fill="auto"/>
            <w:noWrap/>
            <w:vAlign w:val="center"/>
            <w:hideMark/>
          </w:tcPr>
          <w:p w14:paraId="53CCB9CB"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70008A2B"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5FC18343" w14:textId="77777777" w:rsidR="00D40091" w:rsidRPr="00D40091" w:rsidRDefault="00D40091" w:rsidP="009A6FBD">
            <w:pPr>
              <w:spacing w:line="240" w:lineRule="auto"/>
              <w:jc w:val="right"/>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1DD5940F"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259DBA73"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2F068DB1" w14:textId="77777777" w:rsidR="00D40091" w:rsidRPr="00D40091" w:rsidRDefault="00D40091" w:rsidP="00AA502F">
            <w:pPr>
              <w:spacing w:line="240" w:lineRule="auto"/>
              <w:rPr>
                <w:rFonts w:ascii="Arial" w:hAnsi="Arial" w:cs="Arial"/>
                <w:sz w:val="18"/>
                <w:szCs w:val="18"/>
              </w:rPr>
            </w:pPr>
          </w:p>
        </w:tc>
      </w:tr>
      <w:tr w:rsidR="00D40091" w:rsidRPr="00D40091" w14:paraId="1909C89E" w14:textId="77777777" w:rsidTr="009A6FBD">
        <w:trPr>
          <w:trHeight w:val="255"/>
        </w:trPr>
        <w:tc>
          <w:tcPr>
            <w:tcW w:w="8919" w:type="dxa"/>
            <w:tcBorders>
              <w:top w:val="nil"/>
              <w:left w:val="nil"/>
              <w:bottom w:val="nil"/>
              <w:right w:val="nil"/>
            </w:tcBorders>
            <w:shd w:val="clear" w:color="000000" w:fill="FFFFFF"/>
            <w:noWrap/>
            <w:vAlign w:val="bottom"/>
            <w:hideMark/>
          </w:tcPr>
          <w:p w14:paraId="4584AFC2"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251" w:type="dxa"/>
            <w:tcBorders>
              <w:top w:val="nil"/>
              <w:left w:val="nil"/>
              <w:bottom w:val="nil"/>
              <w:right w:val="nil"/>
            </w:tcBorders>
            <w:shd w:val="clear" w:color="000000" w:fill="FFFFFF"/>
            <w:noWrap/>
            <w:vAlign w:val="bottom"/>
            <w:hideMark/>
          </w:tcPr>
          <w:p w14:paraId="0E578B88"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xml:space="preserve">N </w:t>
            </w:r>
            <w:proofErr w:type="spellStart"/>
            <w:r w:rsidRPr="00D40091">
              <w:rPr>
                <w:rFonts w:ascii="Arial" w:hAnsi="Arial" w:cs="Arial"/>
                <w:b/>
                <w:bCs/>
                <w:color w:val="000000"/>
                <w:sz w:val="18"/>
                <w:szCs w:val="18"/>
              </w:rPr>
              <w:t>Explic</w:t>
            </w:r>
            <w:proofErr w:type="spellEnd"/>
          </w:p>
        </w:tc>
        <w:tc>
          <w:tcPr>
            <w:tcW w:w="2021" w:type="dxa"/>
            <w:tcBorders>
              <w:top w:val="nil"/>
              <w:left w:val="nil"/>
              <w:bottom w:val="nil"/>
              <w:right w:val="nil"/>
            </w:tcBorders>
            <w:shd w:val="clear" w:color="000000" w:fill="FFFFFF"/>
            <w:noWrap/>
            <w:vAlign w:val="center"/>
            <w:hideMark/>
          </w:tcPr>
          <w:p w14:paraId="4F90A304" w14:textId="77777777" w:rsidR="00D40091" w:rsidRPr="00D40091" w:rsidRDefault="00D40091" w:rsidP="009A6FBD">
            <w:pPr>
              <w:spacing w:line="240" w:lineRule="auto"/>
              <w:jc w:val="right"/>
              <w:rPr>
                <w:rFonts w:ascii="Arial" w:hAnsi="Arial" w:cs="Arial"/>
                <w:b/>
                <w:bCs/>
                <w:sz w:val="18"/>
                <w:szCs w:val="18"/>
              </w:rPr>
            </w:pPr>
            <w:r w:rsidRPr="00D40091">
              <w:rPr>
                <w:rFonts w:ascii="Arial" w:hAnsi="Arial" w:cs="Arial"/>
                <w:b/>
                <w:bCs/>
                <w:sz w:val="18"/>
                <w:szCs w:val="18"/>
              </w:rPr>
              <w:t>31/12/2020</w:t>
            </w:r>
          </w:p>
        </w:tc>
        <w:tc>
          <w:tcPr>
            <w:tcW w:w="1843" w:type="dxa"/>
            <w:tcBorders>
              <w:top w:val="nil"/>
              <w:left w:val="nil"/>
              <w:bottom w:val="nil"/>
              <w:right w:val="nil"/>
            </w:tcBorders>
            <w:shd w:val="clear" w:color="000000" w:fill="FFFFFF"/>
            <w:noWrap/>
            <w:vAlign w:val="center"/>
            <w:hideMark/>
          </w:tcPr>
          <w:p w14:paraId="7ACABCA5" w14:textId="77777777" w:rsidR="00D40091" w:rsidRPr="00D40091" w:rsidRDefault="00D40091" w:rsidP="009A6FBD">
            <w:pPr>
              <w:spacing w:line="240" w:lineRule="auto"/>
              <w:jc w:val="right"/>
              <w:rPr>
                <w:rFonts w:ascii="Arial" w:hAnsi="Arial" w:cs="Arial"/>
                <w:b/>
                <w:bCs/>
                <w:sz w:val="18"/>
                <w:szCs w:val="18"/>
              </w:rPr>
            </w:pPr>
            <w:r w:rsidRPr="00D40091">
              <w:rPr>
                <w:rFonts w:ascii="Arial" w:hAnsi="Arial" w:cs="Arial"/>
                <w:b/>
                <w:bCs/>
                <w:sz w:val="18"/>
                <w:szCs w:val="18"/>
              </w:rPr>
              <w:t>31/12/2019</w:t>
            </w:r>
          </w:p>
        </w:tc>
        <w:tc>
          <w:tcPr>
            <w:tcW w:w="2338" w:type="dxa"/>
            <w:tcBorders>
              <w:top w:val="nil"/>
              <w:left w:val="nil"/>
              <w:bottom w:val="nil"/>
              <w:right w:val="nil"/>
            </w:tcBorders>
            <w:shd w:val="clear" w:color="auto" w:fill="auto"/>
            <w:noWrap/>
            <w:vAlign w:val="center"/>
            <w:hideMark/>
          </w:tcPr>
          <w:p w14:paraId="4EB4113C" w14:textId="77777777" w:rsidR="00D40091" w:rsidRPr="00D40091" w:rsidRDefault="00D40091" w:rsidP="00AA502F">
            <w:pPr>
              <w:spacing w:line="240" w:lineRule="auto"/>
              <w:jc w:val="center"/>
              <w:rPr>
                <w:rFonts w:ascii="Arial" w:hAnsi="Arial" w:cs="Arial"/>
                <w:b/>
                <w:bCs/>
                <w:sz w:val="18"/>
                <w:szCs w:val="18"/>
              </w:rPr>
            </w:pPr>
          </w:p>
        </w:tc>
        <w:tc>
          <w:tcPr>
            <w:tcW w:w="160" w:type="dxa"/>
            <w:tcBorders>
              <w:top w:val="nil"/>
              <w:left w:val="nil"/>
              <w:bottom w:val="nil"/>
              <w:right w:val="nil"/>
            </w:tcBorders>
            <w:shd w:val="clear" w:color="auto" w:fill="auto"/>
            <w:noWrap/>
            <w:vAlign w:val="center"/>
            <w:hideMark/>
          </w:tcPr>
          <w:p w14:paraId="6D05F80C" w14:textId="77777777" w:rsidR="00D40091" w:rsidRPr="00D40091" w:rsidRDefault="00D40091" w:rsidP="00AA502F">
            <w:pPr>
              <w:spacing w:line="240" w:lineRule="auto"/>
              <w:jc w:val="center"/>
              <w:rPr>
                <w:rFonts w:ascii="Arial" w:hAnsi="Arial" w:cs="Arial"/>
                <w:sz w:val="18"/>
                <w:szCs w:val="18"/>
              </w:rPr>
            </w:pPr>
          </w:p>
        </w:tc>
      </w:tr>
      <w:tr w:rsidR="00D40091" w:rsidRPr="00D40091" w14:paraId="68E73969" w14:textId="77777777" w:rsidTr="009A6FBD">
        <w:trPr>
          <w:trHeight w:val="255"/>
        </w:trPr>
        <w:tc>
          <w:tcPr>
            <w:tcW w:w="8919" w:type="dxa"/>
            <w:tcBorders>
              <w:top w:val="nil"/>
              <w:left w:val="nil"/>
              <w:bottom w:val="nil"/>
              <w:right w:val="nil"/>
            </w:tcBorders>
            <w:shd w:val="clear" w:color="000000" w:fill="FFFFFF"/>
            <w:noWrap/>
            <w:vAlign w:val="bottom"/>
            <w:hideMark/>
          </w:tcPr>
          <w:p w14:paraId="27620A6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251" w:type="dxa"/>
            <w:tcBorders>
              <w:top w:val="nil"/>
              <w:left w:val="nil"/>
              <w:bottom w:val="nil"/>
              <w:right w:val="nil"/>
            </w:tcBorders>
            <w:shd w:val="clear" w:color="000000" w:fill="FFFFFF"/>
            <w:noWrap/>
            <w:vAlign w:val="bottom"/>
            <w:hideMark/>
          </w:tcPr>
          <w:p w14:paraId="7734C875"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FFFFF"/>
            <w:noWrap/>
            <w:vAlign w:val="bottom"/>
            <w:hideMark/>
          </w:tcPr>
          <w:p w14:paraId="3EFB2A90" w14:textId="326B2841" w:rsidR="00D40091" w:rsidRPr="00D40091" w:rsidRDefault="00D40091" w:rsidP="009A6FBD">
            <w:pPr>
              <w:spacing w:line="240" w:lineRule="auto"/>
              <w:jc w:val="right"/>
              <w:rPr>
                <w:rFonts w:ascii="Arial" w:hAnsi="Arial" w:cs="Arial"/>
                <w:b/>
                <w:bCs/>
                <w:color w:val="000000"/>
                <w:sz w:val="18"/>
                <w:szCs w:val="18"/>
              </w:rPr>
            </w:pPr>
          </w:p>
        </w:tc>
        <w:tc>
          <w:tcPr>
            <w:tcW w:w="1843" w:type="dxa"/>
            <w:tcBorders>
              <w:top w:val="nil"/>
              <w:left w:val="nil"/>
              <w:bottom w:val="nil"/>
              <w:right w:val="nil"/>
            </w:tcBorders>
            <w:shd w:val="clear" w:color="000000" w:fill="FFFFFF"/>
            <w:noWrap/>
            <w:vAlign w:val="bottom"/>
            <w:hideMark/>
          </w:tcPr>
          <w:p w14:paraId="449CAC1B" w14:textId="77777777" w:rsidR="00D40091" w:rsidRPr="00D40091" w:rsidRDefault="00D40091" w:rsidP="009A6FBD">
            <w:pPr>
              <w:spacing w:line="240" w:lineRule="auto"/>
              <w:jc w:val="right"/>
              <w:rPr>
                <w:rFonts w:ascii="Arial" w:hAnsi="Arial" w:cs="Arial"/>
                <w:b/>
                <w:bCs/>
                <w:color w:val="000000"/>
                <w:sz w:val="18"/>
                <w:szCs w:val="18"/>
              </w:rPr>
            </w:pPr>
            <w:r w:rsidRPr="00D40091">
              <w:rPr>
                <w:rFonts w:ascii="Arial" w:hAnsi="Arial" w:cs="Arial"/>
                <w:b/>
                <w:bCs/>
                <w:color w:val="000000"/>
                <w:sz w:val="18"/>
                <w:szCs w:val="18"/>
              </w:rPr>
              <w:t> </w:t>
            </w:r>
          </w:p>
        </w:tc>
        <w:tc>
          <w:tcPr>
            <w:tcW w:w="2338" w:type="dxa"/>
            <w:tcBorders>
              <w:top w:val="nil"/>
              <w:left w:val="nil"/>
              <w:bottom w:val="nil"/>
              <w:right w:val="nil"/>
            </w:tcBorders>
            <w:shd w:val="clear" w:color="auto" w:fill="auto"/>
            <w:noWrap/>
            <w:vAlign w:val="bottom"/>
            <w:hideMark/>
          </w:tcPr>
          <w:p w14:paraId="498360D3" w14:textId="77777777" w:rsidR="00D40091" w:rsidRPr="00D40091" w:rsidRDefault="00D40091" w:rsidP="00AA502F">
            <w:pPr>
              <w:spacing w:line="240" w:lineRule="auto"/>
              <w:rPr>
                <w:rFonts w:ascii="Arial" w:hAnsi="Arial" w:cs="Arial"/>
                <w:b/>
                <w:bCs/>
                <w:color w:val="000000"/>
                <w:sz w:val="18"/>
                <w:szCs w:val="18"/>
              </w:rPr>
            </w:pPr>
          </w:p>
        </w:tc>
        <w:tc>
          <w:tcPr>
            <w:tcW w:w="160" w:type="dxa"/>
            <w:tcBorders>
              <w:top w:val="nil"/>
              <w:left w:val="nil"/>
              <w:bottom w:val="nil"/>
              <w:right w:val="nil"/>
            </w:tcBorders>
            <w:shd w:val="clear" w:color="auto" w:fill="auto"/>
            <w:noWrap/>
            <w:vAlign w:val="center"/>
            <w:hideMark/>
          </w:tcPr>
          <w:p w14:paraId="50265066" w14:textId="77777777" w:rsidR="00D40091" w:rsidRPr="00D40091" w:rsidRDefault="00D40091" w:rsidP="00AA502F">
            <w:pPr>
              <w:spacing w:line="240" w:lineRule="auto"/>
              <w:rPr>
                <w:rFonts w:ascii="Arial" w:hAnsi="Arial" w:cs="Arial"/>
                <w:sz w:val="18"/>
                <w:szCs w:val="18"/>
              </w:rPr>
            </w:pPr>
          </w:p>
        </w:tc>
      </w:tr>
      <w:tr w:rsidR="00D40091" w:rsidRPr="00D40091" w14:paraId="6F6FC980" w14:textId="77777777" w:rsidTr="009A6FBD">
        <w:trPr>
          <w:trHeight w:val="300"/>
        </w:trPr>
        <w:tc>
          <w:tcPr>
            <w:tcW w:w="8919" w:type="dxa"/>
            <w:tcBorders>
              <w:top w:val="nil"/>
              <w:left w:val="nil"/>
              <w:bottom w:val="nil"/>
              <w:right w:val="nil"/>
            </w:tcBorders>
            <w:shd w:val="clear" w:color="000000" w:fill="F8F8F8"/>
            <w:noWrap/>
            <w:vAlign w:val="bottom"/>
            <w:hideMark/>
          </w:tcPr>
          <w:p w14:paraId="0992619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Lucro Líquido do Exercício</w:t>
            </w:r>
          </w:p>
        </w:tc>
        <w:tc>
          <w:tcPr>
            <w:tcW w:w="1251" w:type="dxa"/>
            <w:tcBorders>
              <w:top w:val="nil"/>
              <w:left w:val="nil"/>
              <w:bottom w:val="nil"/>
              <w:right w:val="nil"/>
            </w:tcBorders>
            <w:shd w:val="clear" w:color="000000" w:fill="F8F8F8"/>
            <w:noWrap/>
            <w:vAlign w:val="bottom"/>
            <w:hideMark/>
          </w:tcPr>
          <w:p w14:paraId="4FB79029"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18.d</w:t>
            </w:r>
          </w:p>
        </w:tc>
        <w:tc>
          <w:tcPr>
            <w:tcW w:w="2021" w:type="dxa"/>
            <w:tcBorders>
              <w:top w:val="nil"/>
              <w:left w:val="nil"/>
              <w:bottom w:val="nil"/>
              <w:right w:val="nil"/>
            </w:tcBorders>
            <w:shd w:val="clear" w:color="000000" w:fill="F8F8F8"/>
            <w:noWrap/>
            <w:vAlign w:val="bottom"/>
            <w:hideMark/>
          </w:tcPr>
          <w:p w14:paraId="502263B6" w14:textId="57871564" w:rsidR="00D40091" w:rsidRPr="00D40091" w:rsidRDefault="00D40091" w:rsidP="009A6FBD">
            <w:pPr>
              <w:spacing w:line="240" w:lineRule="auto"/>
              <w:jc w:val="right"/>
              <w:rPr>
                <w:rFonts w:ascii="Arial" w:hAnsi="Arial" w:cs="Arial"/>
                <w:b/>
                <w:bCs/>
                <w:sz w:val="18"/>
                <w:szCs w:val="18"/>
                <w:u w:val="single"/>
              </w:rPr>
            </w:pPr>
            <w:r w:rsidRPr="00D40091">
              <w:rPr>
                <w:rFonts w:ascii="Arial" w:hAnsi="Arial" w:cs="Arial"/>
                <w:b/>
                <w:bCs/>
                <w:sz w:val="18"/>
                <w:szCs w:val="18"/>
                <w:u w:val="single"/>
              </w:rPr>
              <w:t>19.483.961</w:t>
            </w:r>
          </w:p>
        </w:tc>
        <w:tc>
          <w:tcPr>
            <w:tcW w:w="1843" w:type="dxa"/>
            <w:tcBorders>
              <w:top w:val="nil"/>
              <w:left w:val="nil"/>
              <w:bottom w:val="nil"/>
              <w:right w:val="nil"/>
            </w:tcBorders>
            <w:shd w:val="clear" w:color="000000" w:fill="F8F8F8"/>
            <w:noWrap/>
            <w:vAlign w:val="bottom"/>
            <w:hideMark/>
          </w:tcPr>
          <w:p w14:paraId="52582FC2" w14:textId="77777777" w:rsidR="00D40091" w:rsidRPr="00D40091" w:rsidRDefault="00D40091" w:rsidP="009A6FBD">
            <w:pPr>
              <w:spacing w:line="240" w:lineRule="auto"/>
              <w:jc w:val="right"/>
              <w:rPr>
                <w:rFonts w:ascii="Arial" w:hAnsi="Arial" w:cs="Arial"/>
                <w:b/>
                <w:bCs/>
                <w:sz w:val="18"/>
                <w:szCs w:val="18"/>
                <w:u w:val="single"/>
              </w:rPr>
            </w:pPr>
            <w:r w:rsidRPr="00D40091">
              <w:rPr>
                <w:rFonts w:ascii="Arial" w:hAnsi="Arial" w:cs="Arial"/>
                <w:b/>
                <w:bCs/>
                <w:sz w:val="18"/>
                <w:szCs w:val="18"/>
                <w:u w:val="single"/>
              </w:rPr>
              <w:t xml:space="preserve">     22.974.349 </w:t>
            </w:r>
          </w:p>
        </w:tc>
        <w:tc>
          <w:tcPr>
            <w:tcW w:w="2338" w:type="dxa"/>
            <w:tcBorders>
              <w:top w:val="nil"/>
              <w:left w:val="nil"/>
              <w:bottom w:val="nil"/>
              <w:right w:val="nil"/>
            </w:tcBorders>
            <w:shd w:val="clear" w:color="auto" w:fill="auto"/>
            <w:noWrap/>
            <w:vAlign w:val="bottom"/>
            <w:hideMark/>
          </w:tcPr>
          <w:p w14:paraId="1C2CFBDF" w14:textId="77777777" w:rsidR="00D40091" w:rsidRPr="00D40091" w:rsidRDefault="00D40091" w:rsidP="00AA502F">
            <w:pPr>
              <w:spacing w:line="240" w:lineRule="auto"/>
              <w:rPr>
                <w:rFonts w:ascii="Arial" w:hAnsi="Arial" w:cs="Arial"/>
                <w:b/>
                <w:bCs/>
                <w:sz w:val="18"/>
                <w:szCs w:val="18"/>
                <w:u w:val="single"/>
              </w:rPr>
            </w:pPr>
          </w:p>
        </w:tc>
        <w:tc>
          <w:tcPr>
            <w:tcW w:w="160" w:type="dxa"/>
            <w:tcBorders>
              <w:top w:val="nil"/>
              <w:left w:val="nil"/>
              <w:bottom w:val="nil"/>
              <w:right w:val="nil"/>
            </w:tcBorders>
            <w:shd w:val="clear" w:color="auto" w:fill="auto"/>
            <w:noWrap/>
            <w:vAlign w:val="bottom"/>
            <w:hideMark/>
          </w:tcPr>
          <w:p w14:paraId="04C75E0D" w14:textId="77777777" w:rsidR="00D40091" w:rsidRPr="00D40091" w:rsidRDefault="00D40091" w:rsidP="00AA502F">
            <w:pPr>
              <w:spacing w:line="240" w:lineRule="auto"/>
              <w:rPr>
                <w:rFonts w:ascii="Arial" w:hAnsi="Arial" w:cs="Arial"/>
                <w:sz w:val="18"/>
                <w:szCs w:val="18"/>
              </w:rPr>
            </w:pPr>
          </w:p>
        </w:tc>
      </w:tr>
      <w:tr w:rsidR="00D40091" w:rsidRPr="00D40091" w14:paraId="4537DF2C" w14:textId="77777777" w:rsidTr="009A6FBD">
        <w:trPr>
          <w:trHeight w:val="255"/>
        </w:trPr>
        <w:tc>
          <w:tcPr>
            <w:tcW w:w="8919" w:type="dxa"/>
            <w:tcBorders>
              <w:top w:val="nil"/>
              <w:left w:val="nil"/>
              <w:bottom w:val="nil"/>
              <w:right w:val="nil"/>
            </w:tcBorders>
            <w:shd w:val="clear" w:color="000000" w:fill="FFFFFF"/>
            <w:noWrap/>
            <w:vAlign w:val="bottom"/>
            <w:hideMark/>
          </w:tcPr>
          <w:p w14:paraId="2E9216D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Ajustes de Receitas e Despesas não envolvendo o caixa</w:t>
            </w:r>
          </w:p>
        </w:tc>
        <w:tc>
          <w:tcPr>
            <w:tcW w:w="1251" w:type="dxa"/>
            <w:tcBorders>
              <w:top w:val="nil"/>
              <w:left w:val="nil"/>
              <w:bottom w:val="nil"/>
              <w:right w:val="nil"/>
            </w:tcBorders>
            <w:shd w:val="clear" w:color="000000" w:fill="FFFFFF"/>
            <w:noWrap/>
            <w:vAlign w:val="bottom"/>
            <w:hideMark/>
          </w:tcPr>
          <w:p w14:paraId="3583A40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1637890A" w14:textId="744C6FBF" w:rsidR="00D40091" w:rsidRPr="00D40091" w:rsidRDefault="00D40091" w:rsidP="009A6FBD">
            <w:pPr>
              <w:spacing w:line="240" w:lineRule="auto"/>
              <w:jc w:val="right"/>
              <w:rPr>
                <w:rFonts w:ascii="Arial" w:hAnsi="Arial" w:cs="Arial"/>
                <w:color w:val="000000"/>
                <w:sz w:val="18"/>
                <w:szCs w:val="18"/>
              </w:rPr>
            </w:pPr>
          </w:p>
        </w:tc>
        <w:tc>
          <w:tcPr>
            <w:tcW w:w="1843" w:type="dxa"/>
            <w:tcBorders>
              <w:top w:val="nil"/>
              <w:left w:val="nil"/>
              <w:bottom w:val="nil"/>
              <w:right w:val="nil"/>
            </w:tcBorders>
            <w:shd w:val="clear" w:color="000000" w:fill="FFFFFF"/>
            <w:noWrap/>
            <w:vAlign w:val="bottom"/>
            <w:hideMark/>
          </w:tcPr>
          <w:p w14:paraId="6B9113D4" w14:textId="77777777" w:rsidR="00D40091" w:rsidRPr="00D40091" w:rsidRDefault="00D40091" w:rsidP="009A6FBD">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2338" w:type="dxa"/>
            <w:tcBorders>
              <w:top w:val="nil"/>
              <w:left w:val="nil"/>
              <w:bottom w:val="nil"/>
              <w:right w:val="nil"/>
            </w:tcBorders>
            <w:shd w:val="clear" w:color="auto" w:fill="auto"/>
            <w:noWrap/>
            <w:vAlign w:val="bottom"/>
            <w:hideMark/>
          </w:tcPr>
          <w:p w14:paraId="37B2ABFE"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5C7D1267" w14:textId="77777777" w:rsidR="00D40091" w:rsidRPr="00D40091" w:rsidRDefault="00D40091" w:rsidP="00AA502F">
            <w:pPr>
              <w:spacing w:line="240" w:lineRule="auto"/>
              <w:rPr>
                <w:rFonts w:ascii="Arial" w:hAnsi="Arial" w:cs="Arial"/>
                <w:sz w:val="18"/>
                <w:szCs w:val="18"/>
              </w:rPr>
            </w:pPr>
          </w:p>
        </w:tc>
      </w:tr>
      <w:tr w:rsidR="00D40091" w:rsidRPr="00D40091" w14:paraId="13752678" w14:textId="77777777" w:rsidTr="009A6FBD">
        <w:trPr>
          <w:trHeight w:val="255"/>
        </w:trPr>
        <w:tc>
          <w:tcPr>
            <w:tcW w:w="8919" w:type="dxa"/>
            <w:tcBorders>
              <w:top w:val="nil"/>
              <w:left w:val="nil"/>
              <w:bottom w:val="nil"/>
              <w:right w:val="nil"/>
            </w:tcBorders>
            <w:shd w:val="clear" w:color="auto" w:fill="auto"/>
            <w:noWrap/>
            <w:vAlign w:val="bottom"/>
            <w:hideMark/>
          </w:tcPr>
          <w:p w14:paraId="0B796817"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Depreciação</w:t>
            </w:r>
          </w:p>
        </w:tc>
        <w:tc>
          <w:tcPr>
            <w:tcW w:w="1251" w:type="dxa"/>
            <w:tcBorders>
              <w:top w:val="nil"/>
              <w:left w:val="nil"/>
              <w:bottom w:val="nil"/>
              <w:right w:val="nil"/>
            </w:tcBorders>
            <w:shd w:val="clear" w:color="auto" w:fill="auto"/>
            <w:noWrap/>
            <w:vAlign w:val="bottom"/>
            <w:hideMark/>
          </w:tcPr>
          <w:p w14:paraId="4B9AEA4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11</w:t>
            </w:r>
          </w:p>
        </w:tc>
        <w:tc>
          <w:tcPr>
            <w:tcW w:w="2021" w:type="dxa"/>
            <w:tcBorders>
              <w:top w:val="nil"/>
              <w:left w:val="nil"/>
              <w:bottom w:val="nil"/>
              <w:right w:val="nil"/>
            </w:tcBorders>
            <w:shd w:val="clear" w:color="auto" w:fill="auto"/>
            <w:noWrap/>
            <w:vAlign w:val="bottom"/>
            <w:hideMark/>
          </w:tcPr>
          <w:p w14:paraId="111BBC22" w14:textId="34B2E989"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18.902</w:t>
            </w:r>
          </w:p>
        </w:tc>
        <w:tc>
          <w:tcPr>
            <w:tcW w:w="1843" w:type="dxa"/>
            <w:tcBorders>
              <w:top w:val="nil"/>
              <w:left w:val="nil"/>
              <w:bottom w:val="nil"/>
              <w:right w:val="nil"/>
            </w:tcBorders>
            <w:shd w:val="clear" w:color="auto" w:fill="auto"/>
            <w:noWrap/>
            <w:vAlign w:val="bottom"/>
            <w:hideMark/>
          </w:tcPr>
          <w:p w14:paraId="700D1940"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10.229 </w:t>
            </w:r>
          </w:p>
        </w:tc>
        <w:tc>
          <w:tcPr>
            <w:tcW w:w="2338" w:type="dxa"/>
            <w:tcBorders>
              <w:top w:val="nil"/>
              <w:left w:val="nil"/>
              <w:bottom w:val="nil"/>
              <w:right w:val="nil"/>
            </w:tcBorders>
            <w:shd w:val="clear" w:color="auto" w:fill="auto"/>
            <w:noWrap/>
            <w:vAlign w:val="bottom"/>
            <w:hideMark/>
          </w:tcPr>
          <w:p w14:paraId="418E8F3B"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000000" w:fill="FFFFFF"/>
            <w:noWrap/>
            <w:vAlign w:val="bottom"/>
            <w:hideMark/>
          </w:tcPr>
          <w:p w14:paraId="1519A254" w14:textId="77777777" w:rsidR="00D40091" w:rsidRPr="00D40091" w:rsidRDefault="00D40091" w:rsidP="00AA502F">
            <w:pPr>
              <w:spacing w:line="240" w:lineRule="auto"/>
              <w:rPr>
                <w:rFonts w:ascii="Arial" w:hAnsi="Arial" w:cs="Arial"/>
                <w:color w:val="FFC000"/>
                <w:sz w:val="18"/>
                <w:szCs w:val="18"/>
              </w:rPr>
            </w:pPr>
            <w:r w:rsidRPr="00D40091">
              <w:rPr>
                <w:rFonts w:ascii="Arial" w:hAnsi="Arial" w:cs="Arial"/>
                <w:color w:val="FFC000"/>
                <w:sz w:val="18"/>
                <w:szCs w:val="18"/>
              </w:rPr>
              <w:t> </w:t>
            </w:r>
          </w:p>
        </w:tc>
      </w:tr>
      <w:tr w:rsidR="00D40091" w:rsidRPr="00D40091" w14:paraId="72ACCDB4" w14:textId="77777777" w:rsidTr="009A6FBD">
        <w:trPr>
          <w:trHeight w:val="255"/>
        </w:trPr>
        <w:tc>
          <w:tcPr>
            <w:tcW w:w="8919" w:type="dxa"/>
            <w:tcBorders>
              <w:top w:val="nil"/>
              <w:left w:val="nil"/>
              <w:bottom w:val="nil"/>
              <w:right w:val="nil"/>
            </w:tcBorders>
            <w:shd w:val="clear" w:color="auto" w:fill="auto"/>
            <w:noWrap/>
            <w:vAlign w:val="bottom"/>
            <w:hideMark/>
          </w:tcPr>
          <w:p w14:paraId="105174A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Amortização </w:t>
            </w:r>
          </w:p>
        </w:tc>
        <w:tc>
          <w:tcPr>
            <w:tcW w:w="1251" w:type="dxa"/>
            <w:tcBorders>
              <w:top w:val="nil"/>
              <w:left w:val="nil"/>
              <w:bottom w:val="nil"/>
              <w:right w:val="nil"/>
            </w:tcBorders>
            <w:shd w:val="clear" w:color="auto" w:fill="auto"/>
            <w:noWrap/>
            <w:vAlign w:val="bottom"/>
            <w:hideMark/>
          </w:tcPr>
          <w:p w14:paraId="1FF5FBB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12</w:t>
            </w:r>
          </w:p>
        </w:tc>
        <w:tc>
          <w:tcPr>
            <w:tcW w:w="2021" w:type="dxa"/>
            <w:tcBorders>
              <w:top w:val="nil"/>
              <w:left w:val="nil"/>
              <w:bottom w:val="nil"/>
              <w:right w:val="nil"/>
            </w:tcBorders>
            <w:shd w:val="clear" w:color="auto" w:fill="auto"/>
            <w:noWrap/>
            <w:vAlign w:val="bottom"/>
            <w:hideMark/>
          </w:tcPr>
          <w:p w14:paraId="3AC5B641" w14:textId="37A7062A"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5.157</w:t>
            </w:r>
          </w:p>
        </w:tc>
        <w:tc>
          <w:tcPr>
            <w:tcW w:w="1843" w:type="dxa"/>
            <w:tcBorders>
              <w:top w:val="nil"/>
              <w:left w:val="nil"/>
              <w:bottom w:val="nil"/>
              <w:right w:val="nil"/>
            </w:tcBorders>
            <w:shd w:val="clear" w:color="auto" w:fill="auto"/>
            <w:noWrap/>
            <w:vAlign w:val="bottom"/>
            <w:hideMark/>
          </w:tcPr>
          <w:p w14:paraId="4DEDA63E"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   </w:t>
            </w:r>
          </w:p>
        </w:tc>
        <w:tc>
          <w:tcPr>
            <w:tcW w:w="2338" w:type="dxa"/>
            <w:tcBorders>
              <w:top w:val="nil"/>
              <w:left w:val="nil"/>
              <w:bottom w:val="nil"/>
              <w:right w:val="nil"/>
            </w:tcBorders>
            <w:shd w:val="clear" w:color="auto" w:fill="auto"/>
            <w:noWrap/>
            <w:vAlign w:val="bottom"/>
            <w:hideMark/>
          </w:tcPr>
          <w:p w14:paraId="310F6F11"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000000" w:fill="FFFFFF"/>
            <w:noWrap/>
            <w:vAlign w:val="bottom"/>
            <w:hideMark/>
          </w:tcPr>
          <w:p w14:paraId="3824B126" w14:textId="77777777" w:rsidR="00D40091" w:rsidRPr="00D40091" w:rsidRDefault="00D40091" w:rsidP="00AA502F">
            <w:pPr>
              <w:spacing w:line="240" w:lineRule="auto"/>
              <w:rPr>
                <w:rFonts w:ascii="Arial" w:hAnsi="Arial" w:cs="Arial"/>
                <w:color w:val="FFC000"/>
                <w:sz w:val="18"/>
                <w:szCs w:val="18"/>
              </w:rPr>
            </w:pPr>
            <w:r w:rsidRPr="00D40091">
              <w:rPr>
                <w:rFonts w:ascii="Arial" w:hAnsi="Arial" w:cs="Arial"/>
                <w:color w:val="FFC000"/>
                <w:sz w:val="18"/>
                <w:szCs w:val="18"/>
              </w:rPr>
              <w:t> </w:t>
            </w:r>
          </w:p>
        </w:tc>
      </w:tr>
      <w:tr w:rsidR="00D40091" w:rsidRPr="00D40091" w14:paraId="1020DF94" w14:textId="77777777" w:rsidTr="009A6FBD">
        <w:trPr>
          <w:trHeight w:val="255"/>
        </w:trPr>
        <w:tc>
          <w:tcPr>
            <w:tcW w:w="8919" w:type="dxa"/>
            <w:tcBorders>
              <w:top w:val="nil"/>
              <w:left w:val="nil"/>
              <w:bottom w:val="nil"/>
              <w:right w:val="nil"/>
            </w:tcBorders>
            <w:shd w:val="clear" w:color="auto" w:fill="auto"/>
            <w:noWrap/>
            <w:vAlign w:val="bottom"/>
            <w:hideMark/>
          </w:tcPr>
          <w:p w14:paraId="6A5C567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Ajuste de Exercícios Anteriores</w:t>
            </w:r>
          </w:p>
        </w:tc>
        <w:tc>
          <w:tcPr>
            <w:tcW w:w="1251" w:type="dxa"/>
            <w:tcBorders>
              <w:top w:val="nil"/>
              <w:left w:val="nil"/>
              <w:bottom w:val="nil"/>
              <w:right w:val="nil"/>
            </w:tcBorders>
            <w:shd w:val="clear" w:color="auto" w:fill="auto"/>
            <w:noWrap/>
            <w:vAlign w:val="bottom"/>
            <w:hideMark/>
          </w:tcPr>
          <w:p w14:paraId="736F1363"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18.e</w:t>
            </w:r>
          </w:p>
        </w:tc>
        <w:tc>
          <w:tcPr>
            <w:tcW w:w="2021" w:type="dxa"/>
            <w:tcBorders>
              <w:top w:val="nil"/>
              <w:left w:val="nil"/>
              <w:bottom w:val="nil"/>
              <w:right w:val="nil"/>
            </w:tcBorders>
            <w:shd w:val="clear" w:color="auto" w:fill="auto"/>
            <w:noWrap/>
            <w:vAlign w:val="bottom"/>
            <w:hideMark/>
          </w:tcPr>
          <w:p w14:paraId="0747A139" w14:textId="430F2386"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2.735</w:t>
            </w:r>
          </w:p>
        </w:tc>
        <w:tc>
          <w:tcPr>
            <w:tcW w:w="1843" w:type="dxa"/>
            <w:tcBorders>
              <w:top w:val="nil"/>
              <w:left w:val="nil"/>
              <w:bottom w:val="nil"/>
              <w:right w:val="nil"/>
            </w:tcBorders>
            <w:shd w:val="clear" w:color="auto" w:fill="auto"/>
            <w:noWrap/>
            <w:vAlign w:val="bottom"/>
            <w:hideMark/>
          </w:tcPr>
          <w:p w14:paraId="6200BCAE"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82.966 </w:t>
            </w:r>
          </w:p>
        </w:tc>
        <w:tc>
          <w:tcPr>
            <w:tcW w:w="2338" w:type="dxa"/>
            <w:tcBorders>
              <w:top w:val="nil"/>
              <w:left w:val="nil"/>
              <w:bottom w:val="nil"/>
              <w:right w:val="nil"/>
            </w:tcBorders>
            <w:shd w:val="clear" w:color="auto" w:fill="auto"/>
            <w:noWrap/>
            <w:vAlign w:val="bottom"/>
            <w:hideMark/>
          </w:tcPr>
          <w:p w14:paraId="51534929"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32A7D98" w14:textId="77777777" w:rsidR="00D40091" w:rsidRPr="00D40091" w:rsidRDefault="00D40091" w:rsidP="00AA502F">
            <w:pPr>
              <w:spacing w:line="240" w:lineRule="auto"/>
              <w:rPr>
                <w:rFonts w:ascii="Arial" w:hAnsi="Arial" w:cs="Arial"/>
                <w:sz w:val="18"/>
                <w:szCs w:val="18"/>
              </w:rPr>
            </w:pPr>
          </w:p>
        </w:tc>
      </w:tr>
      <w:tr w:rsidR="00D40091" w:rsidRPr="00D40091" w14:paraId="602ADE83" w14:textId="77777777" w:rsidTr="009A6FBD">
        <w:trPr>
          <w:trHeight w:val="255"/>
        </w:trPr>
        <w:tc>
          <w:tcPr>
            <w:tcW w:w="8919" w:type="dxa"/>
            <w:tcBorders>
              <w:top w:val="nil"/>
              <w:left w:val="nil"/>
              <w:bottom w:val="nil"/>
              <w:right w:val="nil"/>
            </w:tcBorders>
            <w:shd w:val="clear" w:color="auto" w:fill="auto"/>
            <w:noWrap/>
            <w:vAlign w:val="bottom"/>
            <w:hideMark/>
          </w:tcPr>
          <w:p w14:paraId="582DDC73"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Ajuste a Valor Justo</w:t>
            </w:r>
          </w:p>
        </w:tc>
        <w:tc>
          <w:tcPr>
            <w:tcW w:w="1251" w:type="dxa"/>
            <w:tcBorders>
              <w:top w:val="nil"/>
              <w:left w:val="nil"/>
              <w:bottom w:val="nil"/>
              <w:right w:val="nil"/>
            </w:tcBorders>
            <w:shd w:val="clear" w:color="auto" w:fill="auto"/>
            <w:noWrap/>
            <w:vAlign w:val="bottom"/>
            <w:hideMark/>
          </w:tcPr>
          <w:p w14:paraId="726F14A5"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2A77FB39" w14:textId="36D29C74"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(31.868.790)</w:t>
            </w:r>
          </w:p>
        </w:tc>
        <w:tc>
          <w:tcPr>
            <w:tcW w:w="1843" w:type="dxa"/>
            <w:tcBorders>
              <w:top w:val="nil"/>
              <w:left w:val="nil"/>
              <w:bottom w:val="nil"/>
              <w:right w:val="nil"/>
            </w:tcBorders>
            <w:shd w:val="clear" w:color="auto" w:fill="auto"/>
            <w:noWrap/>
            <w:vAlign w:val="bottom"/>
            <w:hideMark/>
          </w:tcPr>
          <w:p w14:paraId="57ED8828"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(35.770.757)</w:t>
            </w:r>
          </w:p>
        </w:tc>
        <w:tc>
          <w:tcPr>
            <w:tcW w:w="2338" w:type="dxa"/>
            <w:tcBorders>
              <w:top w:val="nil"/>
              <w:left w:val="nil"/>
              <w:bottom w:val="nil"/>
              <w:right w:val="nil"/>
            </w:tcBorders>
            <w:shd w:val="clear" w:color="auto" w:fill="auto"/>
            <w:noWrap/>
            <w:vAlign w:val="bottom"/>
            <w:hideMark/>
          </w:tcPr>
          <w:p w14:paraId="4E8D4730"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1CF0E26B" w14:textId="77777777" w:rsidR="00D40091" w:rsidRPr="00D40091" w:rsidRDefault="00D40091" w:rsidP="00AA502F">
            <w:pPr>
              <w:spacing w:line="240" w:lineRule="auto"/>
              <w:rPr>
                <w:rFonts w:ascii="Arial" w:hAnsi="Arial" w:cs="Arial"/>
                <w:sz w:val="18"/>
                <w:szCs w:val="18"/>
              </w:rPr>
            </w:pPr>
          </w:p>
        </w:tc>
      </w:tr>
      <w:tr w:rsidR="00D40091" w:rsidRPr="00D40091" w14:paraId="58C5E5DD" w14:textId="77777777" w:rsidTr="009A6FBD">
        <w:trPr>
          <w:trHeight w:val="255"/>
        </w:trPr>
        <w:tc>
          <w:tcPr>
            <w:tcW w:w="8919" w:type="dxa"/>
            <w:tcBorders>
              <w:top w:val="nil"/>
              <w:left w:val="nil"/>
              <w:bottom w:val="nil"/>
              <w:right w:val="nil"/>
            </w:tcBorders>
            <w:shd w:val="clear" w:color="auto" w:fill="auto"/>
            <w:noWrap/>
            <w:vAlign w:val="bottom"/>
            <w:hideMark/>
          </w:tcPr>
          <w:p w14:paraId="67A737E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Equivalência Patrimonial</w:t>
            </w:r>
          </w:p>
        </w:tc>
        <w:tc>
          <w:tcPr>
            <w:tcW w:w="1251" w:type="dxa"/>
            <w:tcBorders>
              <w:top w:val="nil"/>
              <w:left w:val="nil"/>
              <w:bottom w:val="nil"/>
              <w:right w:val="nil"/>
            </w:tcBorders>
            <w:shd w:val="clear" w:color="auto" w:fill="auto"/>
            <w:noWrap/>
            <w:vAlign w:val="bottom"/>
            <w:hideMark/>
          </w:tcPr>
          <w:p w14:paraId="1518A3D7"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6D521970" w14:textId="5D5EA68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11.064</w:t>
            </w:r>
          </w:p>
        </w:tc>
        <w:tc>
          <w:tcPr>
            <w:tcW w:w="1843" w:type="dxa"/>
            <w:tcBorders>
              <w:top w:val="nil"/>
              <w:left w:val="nil"/>
              <w:bottom w:val="nil"/>
              <w:right w:val="nil"/>
            </w:tcBorders>
            <w:shd w:val="clear" w:color="auto" w:fill="auto"/>
            <w:noWrap/>
            <w:vAlign w:val="bottom"/>
            <w:hideMark/>
          </w:tcPr>
          <w:p w14:paraId="01A6CF95"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12.585 </w:t>
            </w:r>
          </w:p>
        </w:tc>
        <w:tc>
          <w:tcPr>
            <w:tcW w:w="2338" w:type="dxa"/>
            <w:tcBorders>
              <w:top w:val="nil"/>
              <w:left w:val="nil"/>
              <w:bottom w:val="nil"/>
              <w:right w:val="nil"/>
            </w:tcBorders>
            <w:shd w:val="clear" w:color="auto" w:fill="auto"/>
            <w:noWrap/>
            <w:vAlign w:val="bottom"/>
            <w:hideMark/>
          </w:tcPr>
          <w:p w14:paraId="77763E33"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E3D17C7" w14:textId="77777777" w:rsidR="00D40091" w:rsidRPr="00D40091" w:rsidRDefault="00D40091" w:rsidP="00AA502F">
            <w:pPr>
              <w:spacing w:line="240" w:lineRule="auto"/>
              <w:rPr>
                <w:rFonts w:ascii="Arial" w:hAnsi="Arial" w:cs="Arial"/>
                <w:sz w:val="18"/>
                <w:szCs w:val="18"/>
              </w:rPr>
            </w:pPr>
          </w:p>
        </w:tc>
      </w:tr>
      <w:tr w:rsidR="00D40091" w:rsidRPr="00D40091" w14:paraId="12381715" w14:textId="77777777" w:rsidTr="009A6FBD">
        <w:trPr>
          <w:trHeight w:val="255"/>
        </w:trPr>
        <w:tc>
          <w:tcPr>
            <w:tcW w:w="8919" w:type="dxa"/>
            <w:tcBorders>
              <w:top w:val="nil"/>
              <w:left w:val="nil"/>
              <w:bottom w:val="nil"/>
              <w:right w:val="nil"/>
            </w:tcBorders>
            <w:shd w:val="clear" w:color="auto" w:fill="auto"/>
            <w:noWrap/>
            <w:vAlign w:val="bottom"/>
            <w:hideMark/>
          </w:tcPr>
          <w:p w14:paraId="3B102E7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IRPJ e CSLL Diferidos</w:t>
            </w:r>
          </w:p>
        </w:tc>
        <w:tc>
          <w:tcPr>
            <w:tcW w:w="1251" w:type="dxa"/>
            <w:tcBorders>
              <w:top w:val="nil"/>
              <w:left w:val="nil"/>
              <w:bottom w:val="nil"/>
              <w:right w:val="nil"/>
            </w:tcBorders>
            <w:shd w:val="clear" w:color="auto" w:fill="auto"/>
            <w:noWrap/>
            <w:vAlign w:val="bottom"/>
            <w:hideMark/>
          </w:tcPr>
          <w:p w14:paraId="76D2991D"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0848D53D" w14:textId="6C0027A1"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9.475.411</w:t>
            </w:r>
          </w:p>
        </w:tc>
        <w:tc>
          <w:tcPr>
            <w:tcW w:w="1843" w:type="dxa"/>
            <w:tcBorders>
              <w:top w:val="nil"/>
              <w:left w:val="nil"/>
              <w:bottom w:val="nil"/>
              <w:right w:val="nil"/>
            </w:tcBorders>
            <w:shd w:val="clear" w:color="auto" w:fill="auto"/>
            <w:noWrap/>
            <w:vAlign w:val="bottom"/>
            <w:hideMark/>
          </w:tcPr>
          <w:p w14:paraId="6D29479E"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12.162.057 </w:t>
            </w:r>
          </w:p>
        </w:tc>
        <w:tc>
          <w:tcPr>
            <w:tcW w:w="2338" w:type="dxa"/>
            <w:tcBorders>
              <w:top w:val="nil"/>
              <w:left w:val="nil"/>
              <w:bottom w:val="nil"/>
              <w:right w:val="nil"/>
            </w:tcBorders>
            <w:shd w:val="clear" w:color="auto" w:fill="auto"/>
            <w:noWrap/>
            <w:vAlign w:val="bottom"/>
            <w:hideMark/>
          </w:tcPr>
          <w:p w14:paraId="63AD7D05"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11A21624" w14:textId="77777777" w:rsidR="00D40091" w:rsidRPr="00D40091" w:rsidRDefault="00D40091" w:rsidP="00AA502F">
            <w:pPr>
              <w:spacing w:line="240" w:lineRule="auto"/>
              <w:rPr>
                <w:rFonts w:ascii="Arial" w:hAnsi="Arial" w:cs="Arial"/>
                <w:sz w:val="18"/>
                <w:szCs w:val="18"/>
              </w:rPr>
            </w:pPr>
          </w:p>
        </w:tc>
      </w:tr>
      <w:tr w:rsidR="00D40091" w:rsidRPr="00D40091" w14:paraId="39ED9384" w14:textId="77777777" w:rsidTr="009A6FBD">
        <w:trPr>
          <w:trHeight w:val="255"/>
        </w:trPr>
        <w:tc>
          <w:tcPr>
            <w:tcW w:w="8919" w:type="dxa"/>
            <w:tcBorders>
              <w:top w:val="nil"/>
              <w:left w:val="nil"/>
              <w:bottom w:val="nil"/>
              <w:right w:val="nil"/>
            </w:tcBorders>
            <w:shd w:val="clear" w:color="auto" w:fill="auto"/>
            <w:noWrap/>
            <w:vAlign w:val="bottom"/>
            <w:hideMark/>
          </w:tcPr>
          <w:p w14:paraId="0CDA365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Receitas Financeiras de Longo Prazo (Investimentos em Garantia - PPP)</w:t>
            </w:r>
          </w:p>
        </w:tc>
        <w:tc>
          <w:tcPr>
            <w:tcW w:w="1251" w:type="dxa"/>
            <w:tcBorders>
              <w:top w:val="nil"/>
              <w:left w:val="nil"/>
              <w:bottom w:val="nil"/>
              <w:right w:val="nil"/>
            </w:tcBorders>
            <w:shd w:val="clear" w:color="auto" w:fill="auto"/>
            <w:noWrap/>
            <w:vAlign w:val="bottom"/>
            <w:hideMark/>
          </w:tcPr>
          <w:p w14:paraId="2A63FD9A"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5904CDCB" w14:textId="5CFD3D74"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(828.584)</w:t>
            </w:r>
          </w:p>
        </w:tc>
        <w:tc>
          <w:tcPr>
            <w:tcW w:w="1843" w:type="dxa"/>
            <w:tcBorders>
              <w:top w:val="nil"/>
              <w:left w:val="nil"/>
              <w:bottom w:val="nil"/>
              <w:right w:val="nil"/>
            </w:tcBorders>
            <w:shd w:val="clear" w:color="auto" w:fill="auto"/>
            <w:noWrap/>
            <w:vAlign w:val="bottom"/>
            <w:hideMark/>
          </w:tcPr>
          <w:p w14:paraId="2857BE36"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(1.859.245)</w:t>
            </w:r>
          </w:p>
        </w:tc>
        <w:tc>
          <w:tcPr>
            <w:tcW w:w="2338" w:type="dxa"/>
            <w:tcBorders>
              <w:top w:val="nil"/>
              <w:left w:val="nil"/>
              <w:bottom w:val="nil"/>
              <w:right w:val="nil"/>
            </w:tcBorders>
            <w:shd w:val="clear" w:color="auto" w:fill="auto"/>
            <w:noWrap/>
            <w:vAlign w:val="bottom"/>
            <w:hideMark/>
          </w:tcPr>
          <w:p w14:paraId="4928F2CF"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42F7DD32" w14:textId="77777777" w:rsidR="00D40091" w:rsidRPr="00D40091" w:rsidRDefault="00D40091" w:rsidP="00AA502F">
            <w:pPr>
              <w:spacing w:line="240" w:lineRule="auto"/>
              <w:rPr>
                <w:rFonts w:ascii="Arial" w:hAnsi="Arial" w:cs="Arial"/>
                <w:sz w:val="18"/>
                <w:szCs w:val="18"/>
              </w:rPr>
            </w:pPr>
          </w:p>
        </w:tc>
      </w:tr>
      <w:tr w:rsidR="00D40091" w:rsidRPr="00D40091" w14:paraId="51981B54" w14:textId="77777777" w:rsidTr="009A6FBD">
        <w:trPr>
          <w:trHeight w:val="255"/>
        </w:trPr>
        <w:tc>
          <w:tcPr>
            <w:tcW w:w="8919" w:type="dxa"/>
            <w:tcBorders>
              <w:top w:val="nil"/>
              <w:left w:val="nil"/>
              <w:bottom w:val="nil"/>
              <w:right w:val="nil"/>
            </w:tcBorders>
            <w:shd w:val="clear" w:color="auto" w:fill="auto"/>
            <w:noWrap/>
            <w:vAlign w:val="bottom"/>
            <w:hideMark/>
          </w:tcPr>
          <w:p w14:paraId="6A410C5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Perda de Capital </w:t>
            </w:r>
          </w:p>
        </w:tc>
        <w:tc>
          <w:tcPr>
            <w:tcW w:w="1251" w:type="dxa"/>
            <w:tcBorders>
              <w:top w:val="nil"/>
              <w:left w:val="nil"/>
              <w:bottom w:val="nil"/>
              <w:right w:val="nil"/>
            </w:tcBorders>
            <w:shd w:val="clear" w:color="auto" w:fill="auto"/>
            <w:noWrap/>
            <w:vAlign w:val="bottom"/>
            <w:hideMark/>
          </w:tcPr>
          <w:p w14:paraId="5C823F57"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0BC4C420" w14:textId="6F65F07D"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w:t>
            </w:r>
          </w:p>
        </w:tc>
        <w:tc>
          <w:tcPr>
            <w:tcW w:w="1843" w:type="dxa"/>
            <w:tcBorders>
              <w:top w:val="nil"/>
              <w:left w:val="nil"/>
              <w:bottom w:val="nil"/>
              <w:right w:val="nil"/>
            </w:tcBorders>
            <w:shd w:val="clear" w:color="auto" w:fill="auto"/>
            <w:noWrap/>
            <w:vAlign w:val="bottom"/>
            <w:hideMark/>
          </w:tcPr>
          <w:p w14:paraId="16A4B919"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444 </w:t>
            </w:r>
          </w:p>
        </w:tc>
        <w:tc>
          <w:tcPr>
            <w:tcW w:w="2338" w:type="dxa"/>
            <w:tcBorders>
              <w:top w:val="nil"/>
              <w:left w:val="nil"/>
              <w:bottom w:val="nil"/>
              <w:right w:val="nil"/>
            </w:tcBorders>
            <w:shd w:val="clear" w:color="auto" w:fill="auto"/>
            <w:noWrap/>
            <w:vAlign w:val="bottom"/>
            <w:hideMark/>
          </w:tcPr>
          <w:p w14:paraId="485DB3C5"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4DC6758A" w14:textId="77777777" w:rsidR="00D40091" w:rsidRPr="00D40091" w:rsidRDefault="00D40091" w:rsidP="00AA502F">
            <w:pPr>
              <w:spacing w:line="240" w:lineRule="auto"/>
              <w:rPr>
                <w:rFonts w:ascii="Arial" w:hAnsi="Arial" w:cs="Arial"/>
                <w:sz w:val="18"/>
                <w:szCs w:val="18"/>
              </w:rPr>
            </w:pPr>
          </w:p>
        </w:tc>
      </w:tr>
      <w:tr w:rsidR="00D40091" w:rsidRPr="00D40091" w14:paraId="29AE3EFE" w14:textId="77777777" w:rsidTr="009A6FBD">
        <w:trPr>
          <w:trHeight w:val="255"/>
        </w:trPr>
        <w:tc>
          <w:tcPr>
            <w:tcW w:w="8919" w:type="dxa"/>
            <w:tcBorders>
              <w:top w:val="nil"/>
              <w:left w:val="nil"/>
              <w:bottom w:val="nil"/>
              <w:right w:val="nil"/>
            </w:tcBorders>
            <w:shd w:val="clear" w:color="auto" w:fill="auto"/>
            <w:noWrap/>
            <w:vAlign w:val="bottom"/>
            <w:hideMark/>
          </w:tcPr>
          <w:p w14:paraId="535D4A71"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14:paraId="3CFDC497"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bottom"/>
            <w:hideMark/>
          </w:tcPr>
          <w:p w14:paraId="6E6BB224" w14:textId="77777777" w:rsidR="00D40091" w:rsidRPr="00D40091" w:rsidRDefault="00D40091" w:rsidP="009A6FBD">
            <w:pPr>
              <w:spacing w:line="240" w:lineRule="auto"/>
              <w:jc w:val="right"/>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14:paraId="349DEE63" w14:textId="77777777" w:rsidR="00D40091" w:rsidRPr="00D40091" w:rsidRDefault="00D40091" w:rsidP="009A6FBD">
            <w:pPr>
              <w:spacing w:line="240" w:lineRule="auto"/>
              <w:jc w:val="right"/>
              <w:rPr>
                <w:rFonts w:ascii="Arial" w:hAnsi="Arial" w:cs="Arial"/>
                <w:sz w:val="18"/>
                <w:szCs w:val="18"/>
              </w:rPr>
            </w:pPr>
          </w:p>
        </w:tc>
        <w:tc>
          <w:tcPr>
            <w:tcW w:w="2338" w:type="dxa"/>
            <w:tcBorders>
              <w:top w:val="nil"/>
              <w:left w:val="nil"/>
              <w:bottom w:val="nil"/>
              <w:right w:val="nil"/>
            </w:tcBorders>
            <w:shd w:val="clear" w:color="auto" w:fill="auto"/>
            <w:noWrap/>
            <w:vAlign w:val="bottom"/>
            <w:hideMark/>
          </w:tcPr>
          <w:p w14:paraId="29CF279B"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B2F1E68" w14:textId="77777777" w:rsidR="00D40091" w:rsidRPr="00D40091" w:rsidRDefault="00D40091" w:rsidP="00AA502F">
            <w:pPr>
              <w:spacing w:line="240" w:lineRule="auto"/>
              <w:rPr>
                <w:rFonts w:ascii="Arial" w:hAnsi="Arial" w:cs="Arial"/>
                <w:sz w:val="18"/>
                <w:szCs w:val="18"/>
              </w:rPr>
            </w:pPr>
          </w:p>
        </w:tc>
      </w:tr>
      <w:tr w:rsidR="00D40091" w:rsidRPr="00D40091" w14:paraId="39F1AF90" w14:textId="77777777" w:rsidTr="009A6FBD">
        <w:trPr>
          <w:trHeight w:val="255"/>
        </w:trPr>
        <w:tc>
          <w:tcPr>
            <w:tcW w:w="8919" w:type="dxa"/>
            <w:tcBorders>
              <w:top w:val="nil"/>
              <w:left w:val="nil"/>
              <w:bottom w:val="nil"/>
              <w:right w:val="nil"/>
            </w:tcBorders>
            <w:shd w:val="clear" w:color="auto" w:fill="auto"/>
            <w:noWrap/>
            <w:vAlign w:val="bottom"/>
            <w:hideMark/>
          </w:tcPr>
          <w:p w14:paraId="1CB36D7E"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xml:space="preserve">Lucro </w:t>
            </w:r>
            <w:proofErr w:type="spellStart"/>
            <w:proofErr w:type="gramStart"/>
            <w:r w:rsidRPr="00D40091">
              <w:rPr>
                <w:rFonts w:ascii="Arial" w:hAnsi="Arial" w:cs="Arial"/>
                <w:b/>
                <w:bCs/>
                <w:sz w:val="18"/>
                <w:szCs w:val="18"/>
              </w:rPr>
              <w:t>Liquido</w:t>
            </w:r>
            <w:proofErr w:type="spellEnd"/>
            <w:proofErr w:type="gramEnd"/>
            <w:r w:rsidRPr="00D40091">
              <w:rPr>
                <w:rFonts w:ascii="Arial" w:hAnsi="Arial" w:cs="Arial"/>
                <w:b/>
                <w:bCs/>
                <w:sz w:val="18"/>
                <w:szCs w:val="18"/>
              </w:rPr>
              <w:t xml:space="preserve"> Ajustado</w:t>
            </w:r>
          </w:p>
        </w:tc>
        <w:tc>
          <w:tcPr>
            <w:tcW w:w="1251" w:type="dxa"/>
            <w:tcBorders>
              <w:top w:val="nil"/>
              <w:left w:val="nil"/>
              <w:bottom w:val="nil"/>
              <w:right w:val="nil"/>
            </w:tcBorders>
            <w:shd w:val="clear" w:color="auto" w:fill="auto"/>
            <w:noWrap/>
            <w:vAlign w:val="bottom"/>
            <w:hideMark/>
          </w:tcPr>
          <w:p w14:paraId="2A7C3EBC" w14:textId="77777777" w:rsidR="00D40091" w:rsidRPr="00D40091" w:rsidRDefault="00D40091" w:rsidP="00AA502F">
            <w:pPr>
              <w:spacing w:line="240" w:lineRule="auto"/>
              <w:rPr>
                <w:rFonts w:ascii="Arial" w:hAnsi="Arial" w:cs="Arial"/>
                <w:b/>
                <w:bCs/>
                <w:sz w:val="18"/>
                <w:szCs w:val="18"/>
              </w:rPr>
            </w:pPr>
          </w:p>
        </w:tc>
        <w:tc>
          <w:tcPr>
            <w:tcW w:w="2021" w:type="dxa"/>
            <w:tcBorders>
              <w:top w:val="nil"/>
              <w:left w:val="nil"/>
              <w:bottom w:val="single" w:sz="4" w:space="0" w:color="auto"/>
              <w:right w:val="nil"/>
            </w:tcBorders>
            <w:shd w:val="clear" w:color="auto" w:fill="auto"/>
            <w:noWrap/>
            <w:vAlign w:val="bottom"/>
            <w:hideMark/>
          </w:tcPr>
          <w:p w14:paraId="7B7F8278" w14:textId="34C7E16C" w:rsidR="00D40091" w:rsidRPr="00D40091" w:rsidRDefault="00D40091" w:rsidP="009A6FBD">
            <w:pPr>
              <w:spacing w:line="240" w:lineRule="auto"/>
              <w:jc w:val="right"/>
              <w:rPr>
                <w:rFonts w:ascii="Arial" w:hAnsi="Arial" w:cs="Arial"/>
                <w:b/>
                <w:bCs/>
                <w:sz w:val="18"/>
                <w:szCs w:val="18"/>
              </w:rPr>
            </w:pPr>
            <w:r w:rsidRPr="00D40091">
              <w:rPr>
                <w:rFonts w:ascii="Arial" w:hAnsi="Arial" w:cs="Arial"/>
                <w:b/>
                <w:bCs/>
                <w:sz w:val="18"/>
                <w:szCs w:val="18"/>
              </w:rPr>
              <w:t>(3.700.144)</w:t>
            </w:r>
          </w:p>
        </w:tc>
        <w:tc>
          <w:tcPr>
            <w:tcW w:w="1843" w:type="dxa"/>
            <w:tcBorders>
              <w:top w:val="nil"/>
              <w:left w:val="nil"/>
              <w:bottom w:val="single" w:sz="4" w:space="0" w:color="auto"/>
              <w:right w:val="nil"/>
            </w:tcBorders>
            <w:shd w:val="clear" w:color="auto" w:fill="auto"/>
            <w:noWrap/>
            <w:vAlign w:val="bottom"/>
            <w:hideMark/>
          </w:tcPr>
          <w:p w14:paraId="65BD1D11" w14:textId="77777777" w:rsidR="00D40091" w:rsidRPr="00D40091" w:rsidRDefault="00D40091" w:rsidP="009A6FBD">
            <w:pPr>
              <w:spacing w:line="240" w:lineRule="auto"/>
              <w:jc w:val="right"/>
              <w:rPr>
                <w:rFonts w:ascii="Arial" w:hAnsi="Arial" w:cs="Arial"/>
                <w:b/>
                <w:bCs/>
                <w:sz w:val="18"/>
                <w:szCs w:val="18"/>
              </w:rPr>
            </w:pPr>
            <w:r w:rsidRPr="00D40091">
              <w:rPr>
                <w:rFonts w:ascii="Arial" w:hAnsi="Arial" w:cs="Arial"/>
                <w:b/>
                <w:bCs/>
                <w:sz w:val="18"/>
                <w:szCs w:val="18"/>
              </w:rPr>
              <w:t xml:space="preserve">     (2.387.372)</w:t>
            </w:r>
          </w:p>
        </w:tc>
        <w:tc>
          <w:tcPr>
            <w:tcW w:w="2338" w:type="dxa"/>
            <w:tcBorders>
              <w:top w:val="nil"/>
              <w:left w:val="nil"/>
              <w:bottom w:val="nil"/>
              <w:right w:val="nil"/>
            </w:tcBorders>
            <w:shd w:val="clear" w:color="auto" w:fill="auto"/>
            <w:noWrap/>
            <w:vAlign w:val="bottom"/>
            <w:hideMark/>
          </w:tcPr>
          <w:p w14:paraId="23110F89" w14:textId="77777777" w:rsidR="00D40091" w:rsidRPr="00D40091" w:rsidRDefault="00D40091" w:rsidP="00AA502F">
            <w:pPr>
              <w:spacing w:line="240" w:lineRule="auto"/>
              <w:rPr>
                <w:rFonts w:ascii="Arial" w:hAnsi="Arial" w:cs="Arial"/>
                <w:b/>
                <w:bCs/>
                <w:sz w:val="18"/>
                <w:szCs w:val="18"/>
              </w:rPr>
            </w:pPr>
          </w:p>
        </w:tc>
        <w:tc>
          <w:tcPr>
            <w:tcW w:w="160" w:type="dxa"/>
            <w:tcBorders>
              <w:top w:val="nil"/>
              <w:left w:val="nil"/>
              <w:bottom w:val="nil"/>
              <w:right w:val="nil"/>
            </w:tcBorders>
            <w:shd w:val="clear" w:color="auto" w:fill="auto"/>
            <w:noWrap/>
            <w:vAlign w:val="center"/>
            <w:hideMark/>
          </w:tcPr>
          <w:p w14:paraId="608DC5FF" w14:textId="77777777" w:rsidR="00D40091" w:rsidRPr="00D40091" w:rsidRDefault="00D40091" w:rsidP="00AA502F">
            <w:pPr>
              <w:spacing w:line="240" w:lineRule="auto"/>
              <w:rPr>
                <w:rFonts w:ascii="Arial" w:hAnsi="Arial" w:cs="Arial"/>
                <w:sz w:val="18"/>
                <w:szCs w:val="18"/>
              </w:rPr>
            </w:pPr>
          </w:p>
        </w:tc>
      </w:tr>
      <w:tr w:rsidR="00D40091" w:rsidRPr="00D40091" w14:paraId="006079DA" w14:textId="77777777" w:rsidTr="009A6FBD">
        <w:trPr>
          <w:trHeight w:val="255"/>
        </w:trPr>
        <w:tc>
          <w:tcPr>
            <w:tcW w:w="8919" w:type="dxa"/>
            <w:tcBorders>
              <w:top w:val="nil"/>
              <w:left w:val="nil"/>
              <w:bottom w:val="nil"/>
              <w:right w:val="nil"/>
            </w:tcBorders>
            <w:shd w:val="clear" w:color="000000" w:fill="FFFFFF"/>
            <w:noWrap/>
            <w:vAlign w:val="bottom"/>
            <w:hideMark/>
          </w:tcPr>
          <w:p w14:paraId="07E8FEA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251" w:type="dxa"/>
            <w:tcBorders>
              <w:top w:val="nil"/>
              <w:left w:val="nil"/>
              <w:bottom w:val="nil"/>
              <w:right w:val="nil"/>
            </w:tcBorders>
            <w:shd w:val="clear" w:color="000000" w:fill="FFFFFF"/>
            <w:noWrap/>
            <w:vAlign w:val="bottom"/>
            <w:hideMark/>
          </w:tcPr>
          <w:p w14:paraId="107F2B1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79A5991A" w14:textId="731FC95E" w:rsidR="00D40091" w:rsidRPr="00D40091" w:rsidRDefault="00D40091" w:rsidP="009A6FBD">
            <w:pPr>
              <w:spacing w:line="240" w:lineRule="auto"/>
              <w:jc w:val="right"/>
              <w:rPr>
                <w:rFonts w:ascii="Arial" w:hAnsi="Arial" w:cs="Arial"/>
                <w:color w:val="000000"/>
                <w:sz w:val="18"/>
                <w:szCs w:val="18"/>
              </w:rPr>
            </w:pPr>
          </w:p>
        </w:tc>
        <w:tc>
          <w:tcPr>
            <w:tcW w:w="1843" w:type="dxa"/>
            <w:tcBorders>
              <w:top w:val="nil"/>
              <w:left w:val="nil"/>
              <w:bottom w:val="nil"/>
              <w:right w:val="nil"/>
            </w:tcBorders>
            <w:shd w:val="clear" w:color="000000" w:fill="FFFFFF"/>
            <w:noWrap/>
            <w:vAlign w:val="bottom"/>
            <w:hideMark/>
          </w:tcPr>
          <w:p w14:paraId="60EF62AB" w14:textId="77777777" w:rsidR="00D40091" w:rsidRPr="00D40091" w:rsidRDefault="00D40091" w:rsidP="009A6FBD">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2338" w:type="dxa"/>
            <w:tcBorders>
              <w:top w:val="nil"/>
              <w:left w:val="nil"/>
              <w:bottom w:val="nil"/>
              <w:right w:val="nil"/>
            </w:tcBorders>
            <w:shd w:val="clear" w:color="auto" w:fill="auto"/>
            <w:noWrap/>
            <w:vAlign w:val="bottom"/>
            <w:hideMark/>
          </w:tcPr>
          <w:p w14:paraId="5AA92D6F"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2740EA12" w14:textId="77777777" w:rsidR="00D40091" w:rsidRPr="00D40091" w:rsidRDefault="00D40091" w:rsidP="00AA502F">
            <w:pPr>
              <w:spacing w:line="240" w:lineRule="auto"/>
              <w:rPr>
                <w:rFonts w:ascii="Arial" w:hAnsi="Arial" w:cs="Arial"/>
                <w:sz w:val="18"/>
                <w:szCs w:val="18"/>
              </w:rPr>
            </w:pPr>
          </w:p>
        </w:tc>
      </w:tr>
      <w:tr w:rsidR="00D40091" w:rsidRPr="00D40091" w14:paraId="6A5ED855" w14:textId="77777777" w:rsidTr="009A6FBD">
        <w:trPr>
          <w:trHeight w:val="255"/>
        </w:trPr>
        <w:tc>
          <w:tcPr>
            <w:tcW w:w="8919" w:type="dxa"/>
            <w:tcBorders>
              <w:top w:val="nil"/>
              <w:left w:val="nil"/>
              <w:bottom w:val="nil"/>
              <w:right w:val="nil"/>
            </w:tcBorders>
            <w:shd w:val="clear" w:color="auto" w:fill="auto"/>
            <w:noWrap/>
            <w:vAlign w:val="bottom"/>
            <w:hideMark/>
          </w:tcPr>
          <w:p w14:paraId="102F5459"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VARIAÇÕES NOS ATIVOS E PASSIVOS</w:t>
            </w:r>
          </w:p>
        </w:tc>
        <w:tc>
          <w:tcPr>
            <w:tcW w:w="1251" w:type="dxa"/>
            <w:tcBorders>
              <w:top w:val="nil"/>
              <w:left w:val="nil"/>
              <w:bottom w:val="nil"/>
              <w:right w:val="nil"/>
            </w:tcBorders>
            <w:shd w:val="clear" w:color="auto" w:fill="auto"/>
            <w:noWrap/>
            <w:vAlign w:val="bottom"/>
            <w:hideMark/>
          </w:tcPr>
          <w:p w14:paraId="02C39DFF" w14:textId="77777777" w:rsidR="00D40091" w:rsidRPr="00D40091" w:rsidRDefault="00D40091" w:rsidP="00AA502F">
            <w:pPr>
              <w:spacing w:line="240" w:lineRule="auto"/>
              <w:rPr>
                <w:rFonts w:ascii="Arial" w:hAnsi="Arial" w:cs="Arial"/>
                <w:b/>
                <w:bCs/>
                <w:color w:val="000000"/>
                <w:sz w:val="18"/>
                <w:szCs w:val="18"/>
              </w:rPr>
            </w:pPr>
          </w:p>
        </w:tc>
        <w:tc>
          <w:tcPr>
            <w:tcW w:w="2021" w:type="dxa"/>
            <w:tcBorders>
              <w:top w:val="nil"/>
              <w:left w:val="nil"/>
              <w:bottom w:val="nil"/>
              <w:right w:val="nil"/>
            </w:tcBorders>
            <w:shd w:val="clear" w:color="auto" w:fill="auto"/>
            <w:noWrap/>
            <w:vAlign w:val="bottom"/>
            <w:hideMark/>
          </w:tcPr>
          <w:p w14:paraId="2591024E" w14:textId="77777777" w:rsidR="00D40091" w:rsidRPr="00D40091" w:rsidRDefault="00D40091" w:rsidP="009A6FBD">
            <w:pPr>
              <w:spacing w:line="240" w:lineRule="auto"/>
              <w:jc w:val="right"/>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14:paraId="47123EFD" w14:textId="77777777" w:rsidR="00D40091" w:rsidRPr="00D40091" w:rsidRDefault="00D40091" w:rsidP="009A6FBD">
            <w:pPr>
              <w:spacing w:line="240" w:lineRule="auto"/>
              <w:jc w:val="right"/>
              <w:rPr>
                <w:rFonts w:ascii="Arial" w:hAnsi="Arial" w:cs="Arial"/>
                <w:sz w:val="18"/>
                <w:szCs w:val="18"/>
              </w:rPr>
            </w:pPr>
          </w:p>
        </w:tc>
        <w:tc>
          <w:tcPr>
            <w:tcW w:w="2338" w:type="dxa"/>
            <w:tcBorders>
              <w:top w:val="nil"/>
              <w:left w:val="nil"/>
              <w:bottom w:val="nil"/>
              <w:right w:val="nil"/>
            </w:tcBorders>
            <w:shd w:val="clear" w:color="auto" w:fill="auto"/>
            <w:noWrap/>
            <w:vAlign w:val="bottom"/>
            <w:hideMark/>
          </w:tcPr>
          <w:p w14:paraId="22074BF6"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0CF9E8A6" w14:textId="77777777" w:rsidR="00D40091" w:rsidRPr="00D40091" w:rsidRDefault="00D40091" w:rsidP="00AA502F">
            <w:pPr>
              <w:spacing w:line="240" w:lineRule="auto"/>
              <w:rPr>
                <w:rFonts w:ascii="Arial" w:hAnsi="Arial" w:cs="Arial"/>
                <w:sz w:val="18"/>
                <w:szCs w:val="18"/>
              </w:rPr>
            </w:pPr>
          </w:p>
        </w:tc>
      </w:tr>
      <w:tr w:rsidR="00D40091" w:rsidRPr="00D40091" w14:paraId="3D98E4A5" w14:textId="77777777" w:rsidTr="009A6FBD">
        <w:trPr>
          <w:trHeight w:val="255"/>
        </w:trPr>
        <w:tc>
          <w:tcPr>
            <w:tcW w:w="8919" w:type="dxa"/>
            <w:tcBorders>
              <w:top w:val="nil"/>
              <w:left w:val="nil"/>
              <w:bottom w:val="nil"/>
              <w:right w:val="nil"/>
            </w:tcBorders>
            <w:shd w:val="clear" w:color="000000" w:fill="FFFFFF"/>
            <w:noWrap/>
            <w:vAlign w:val="bottom"/>
            <w:hideMark/>
          </w:tcPr>
          <w:p w14:paraId="539E1F4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(Aumento) Diminuição de Outros Créditos </w:t>
            </w:r>
          </w:p>
        </w:tc>
        <w:tc>
          <w:tcPr>
            <w:tcW w:w="1251" w:type="dxa"/>
            <w:tcBorders>
              <w:top w:val="nil"/>
              <w:left w:val="nil"/>
              <w:bottom w:val="nil"/>
              <w:right w:val="nil"/>
            </w:tcBorders>
            <w:shd w:val="clear" w:color="000000" w:fill="FFFFFF"/>
            <w:noWrap/>
            <w:vAlign w:val="bottom"/>
            <w:hideMark/>
          </w:tcPr>
          <w:p w14:paraId="7422BDE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73DD5D2D" w14:textId="257D12E3"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(6.892)</w:t>
            </w:r>
          </w:p>
        </w:tc>
        <w:tc>
          <w:tcPr>
            <w:tcW w:w="1843" w:type="dxa"/>
            <w:tcBorders>
              <w:top w:val="nil"/>
              <w:left w:val="nil"/>
              <w:bottom w:val="nil"/>
              <w:right w:val="nil"/>
            </w:tcBorders>
            <w:shd w:val="clear" w:color="000000" w:fill="FFFFFF"/>
            <w:noWrap/>
            <w:vAlign w:val="bottom"/>
            <w:hideMark/>
          </w:tcPr>
          <w:p w14:paraId="0E4C8229"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23.644 </w:t>
            </w:r>
          </w:p>
        </w:tc>
        <w:tc>
          <w:tcPr>
            <w:tcW w:w="2338" w:type="dxa"/>
            <w:tcBorders>
              <w:top w:val="nil"/>
              <w:left w:val="nil"/>
              <w:bottom w:val="nil"/>
              <w:right w:val="nil"/>
            </w:tcBorders>
            <w:shd w:val="clear" w:color="auto" w:fill="auto"/>
            <w:noWrap/>
            <w:vAlign w:val="bottom"/>
            <w:hideMark/>
          </w:tcPr>
          <w:p w14:paraId="282A0748"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6F662B52" w14:textId="77777777" w:rsidR="00D40091" w:rsidRPr="00D40091" w:rsidRDefault="00D40091" w:rsidP="00AA502F">
            <w:pPr>
              <w:spacing w:line="240" w:lineRule="auto"/>
              <w:rPr>
                <w:rFonts w:ascii="Arial" w:hAnsi="Arial" w:cs="Arial"/>
                <w:sz w:val="18"/>
                <w:szCs w:val="18"/>
              </w:rPr>
            </w:pPr>
          </w:p>
        </w:tc>
      </w:tr>
      <w:tr w:rsidR="00D40091" w:rsidRPr="00D40091" w14:paraId="3DE93EDB" w14:textId="77777777" w:rsidTr="009A6FBD">
        <w:trPr>
          <w:trHeight w:val="255"/>
        </w:trPr>
        <w:tc>
          <w:tcPr>
            <w:tcW w:w="8919" w:type="dxa"/>
            <w:tcBorders>
              <w:top w:val="nil"/>
              <w:left w:val="nil"/>
              <w:bottom w:val="nil"/>
              <w:right w:val="nil"/>
            </w:tcBorders>
            <w:shd w:val="clear" w:color="000000" w:fill="FFFFFF"/>
            <w:noWrap/>
            <w:vAlign w:val="bottom"/>
            <w:hideMark/>
          </w:tcPr>
          <w:p w14:paraId="2D88718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Clientes a Receber</w:t>
            </w:r>
          </w:p>
        </w:tc>
        <w:tc>
          <w:tcPr>
            <w:tcW w:w="1251" w:type="dxa"/>
            <w:tcBorders>
              <w:top w:val="nil"/>
              <w:left w:val="nil"/>
              <w:bottom w:val="nil"/>
              <w:right w:val="nil"/>
            </w:tcBorders>
            <w:shd w:val="clear" w:color="000000" w:fill="FFFFFF"/>
            <w:noWrap/>
            <w:vAlign w:val="bottom"/>
            <w:hideMark/>
          </w:tcPr>
          <w:p w14:paraId="6677E48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208676B2" w14:textId="4A4A4C21"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(321.195)</w:t>
            </w:r>
          </w:p>
        </w:tc>
        <w:tc>
          <w:tcPr>
            <w:tcW w:w="1843" w:type="dxa"/>
            <w:tcBorders>
              <w:top w:val="nil"/>
              <w:left w:val="nil"/>
              <w:bottom w:val="nil"/>
              <w:right w:val="nil"/>
            </w:tcBorders>
            <w:shd w:val="clear" w:color="000000" w:fill="FFFFFF"/>
            <w:noWrap/>
            <w:vAlign w:val="bottom"/>
            <w:hideMark/>
          </w:tcPr>
          <w:p w14:paraId="61843CDD"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5.075.415 </w:t>
            </w:r>
          </w:p>
        </w:tc>
        <w:tc>
          <w:tcPr>
            <w:tcW w:w="2338" w:type="dxa"/>
            <w:tcBorders>
              <w:top w:val="nil"/>
              <w:left w:val="nil"/>
              <w:bottom w:val="nil"/>
              <w:right w:val="nil"/>
            </w:tcBorders>
            <w:shd w:val="clear" w:color="auto" w:fill="auto"/>
            <w:noWrap/>
            <w:vAlign w:val="bottom"/>
            <w:hideMark/>
          </w:tcPr>
          <w:p w14:paraId="291FDEF3"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000000" w:fill="FFFFFF"/>
            <w:noWrap/>
            <w:vAlign w:val="bottom"/>
            <w:hideMark/>
          </w:tcPr>
          <w:p w14:paraId="46B8E300" w14:textId="77777777" w:rsidR="00D40091" w:rsidRPr="00D40091" w:rsidRDefault="00D40091" w:rsidP="00AA502F">
            <w:pPr>
              <w:spacing w:line="240" w:lineRule="auto"/>
              <w:rPr>
                <w:rFonts w:ascii="Arial" w:hAnsi="Arial" w:cs="Arial"/>
                <w:color w:val="FF0000"/>
                <w:sz w:val="18"/>
                <w:szCs w:val="18"/>
              </w:rPr>
            </w:pPr>
            <w:r w:rsidRPr="00D40091">
              <w:rPr>
                <w:rFonts w:ascii="Arial" w:hAnsi="Arial" w:cs="Arial"/>
                <w:color w:val="FF0000"/>
                <w:sz w:val="18"/>
                <w:szCs w:val="18"/>
              </w:rPr>
              <w:t> </w:t>
            </w:r>
          </w:p>
        </w:tc>
      </w:tr>
      <w:tr w:rsidR="00D40091" w:rsidRPr="00D40091" w14:paraId="581A8B64" w14:textId="77777777" w:rsidTr="009A6FBD">
        <w:trPr>
          <w:trHeight w:val="255"/>
        </w:trPr>
        <w:tc>
          <w:tcPr>
            <w:tcW w:w="8919" w:type="dxa"/>
            <w:tcBorders>
              <w:top w:val="nil"/>
              <w:left w:val="nil"/>
              <w:bottom w:val="nil"/>
              <w:right w:val="nil"/>
            </w:tcBorders>
            <w:shd w:val="clear" w:color="000000" w:fill="FFFFFF"/>
            <w:noWrap/>
            <w:vAlign w:val="bottom"/>
            <w:hideMark/>
          </w:tcPr>
          <w:p w14:paraId="381D38D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Impostos a Recuperar</w:t>
            </w:r>
          </w:p>
        </w:tc>
        <w:tc>
          <w:tcPr>
            <w:tcW w:w="1251" w:type="dxa"/>
            <w:tcBorders>
              <w:top w:val="nil"/>
              <w:left w:val="nil"/>
              <w:bottom w:val="nil"/>
              <w:right w:val="nil"/>
            </w:tcBorders>
            <w:shd w:val="clear" w:color="000000" w:fill="FFFFFF"/>
            <w:noWrap/>
            <w:vAlign w:val="bottom"/>
            <w:hideMark/>
          </w:tcPr>
          <w:p w14:paraId="54197AE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708D9722" w14:textId="1F577AA3"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(179.941)</w:t>
            </w:r>
          </w:p>
        </w:tc>
        <w:tc>
          <w:tcPr>
            <w:tcW w:w="1843" w:type="dxa"/>
            <w:tcBorders>
              <w:top w:val="nil"/>
              <w:left w:val="nil"/>
              <w:bottom w:val="nil"/>
              <w:right w:val="nil"/>
            </w:tcBorders>
            <w:shd w:val="clear" w:color="000000" w:fill="FFFFFF"/>
            <w:noWrap/>
            <w:vAlign w:val="bottom"/>
            <w:hideMark/>
          </w:tcPr>
          <w:p w14:paraId="02EBE6AC"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(38.891)</w:t>
            </w:r>
          </w:p>
        </w:tc>
        <w:tc>
          <w:tcPr>
            <w:tcW w:w="2338" w:type="dxa"/>
            <w:tcBorders>
              <w:top w:val="nil"/>
              <w:left w:val="nil"/>
              <w:bottom w:val="nil"/>
              <w:right w:val="nil"/>
            </w:tcBorders>
            <w:shd w:val="clear" w:color="auto" w:fill="auto"/>
            <w:noWrap/>
            <w:vAlign w:val="bottom"/>
            <w:hideMark/>
          </w:tcPr>
          <w:p w14:paraId="2EFCF694"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398C580C" w14:textId="77777777" w:rsidR="00D40091" w:rsidRPr="00D40091" w:rsidRDefault="00D40091" w:rsidP="00AA502F">
            <w:pPr>
              <w:spacing w:line="240" w:lineRule="auto"/>
              <w:rPr>
                <w:rFonts w:ascii="Arial" w:hAnsi="Arial" w:cs="Arial"/>
                <w:sz w:val="18"/>
                <w:szCs w:val="18"/>
              </w:rPr>
            </w:pPr>
          </w:p>
        </w:tc>
      </w:tr>
      <w:tr w:rsidR="00D40091" w:rsidRPr="00D40091" w14:paraId="771538D5" w14:textId="77777777" w:rsidTr="009A6FBD">
        <w:trPr>
          <w:trHeight w:val="255"/>
        </w:trPr>
        <w:tc>
          <w:tcPr>
            <w:tcW w:w="8919" w:type="dxa"/>
            <w:tcBorders>
              <w:top w:val="nil"/>
              <w:left w:val="nil"/>
              <w:bottom w:val="nil"/>
              <w:right w:val="nil"/>
            </w:tcBorders>
            <w:shd w:val="clear" w:color="000000" w:fill="FFFFFF"/>
            <w:noWrap/>
            <w:vAlign w:val="bottom"/>
            <w:hideMark/>
          </w:tcPr>
          <w:p w14:paraId="0D625CA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Despesas Antecipadas</w:t>
            </w:r>
          </w:p>
        </w:tc>
        <w:tc>
          <w:tcPr>
            <w:tcW w:w="1251" w:type="dxa"/>
            <w:tcBorders>
              <w:top w:val="nil"/>
              <w:left w:val="nil"/>
              <w:bottom w:val="nil"/>
              <w:right w:val="nil"/>
            </w:tcBorders>
            <w:shd w:val="clear" w:color="000000" w:fill="FFFFFF"/>
            <w:noWrap/>
            <w:vAlign w:val="bottom"/>
            <w:hideMark/>
          </w:tcPr>
          <w:p w14:paraId="1189975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668087B3" w14:textId="7A088139"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(9.725)</w:t>
            </w:r>
          </w:p>
        </w:tc>
        <w:tc>
          <w:tcPr>
            <w:tcW w:w="1843" w:type="dxa"/>
            <w:tcBorders>
              <w:top w:val="nil"/>
              <w:left w:val="nil"/>
              <w:bottom w:val="nil"/>
              <w:right w:val="nil"/>
            </w:tcBorders>
            <w:shd w:val="clear" w:color="000000" w:fill="FFFFFF"/>
            <w:noWrap/>
            <w:vAlign w:val="bottom"/>
            <w:hideMark/>
          </w:tcPr>
          <w:p w14:paraId="6BE2D1B7"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22.780 </w:t>
            </w:r>
          </w:p>
        </w:tc>
        <w:tc>
          <w:tcPr>
            <w:tcW w:w="2338" w:type="dxa"/>
            <w:tcBorders>
              <w:top w:val="nil"/>
              <w:left w:val="nil"/>
              <w:bottom w:val="nil"/>
              <w:right w:val="nil"/>
            </w:tcBorders>
            <w:shd w:val="clear" w:color="auto" w:fill="auto"/>
            <w:noWrap/>
            <w:vAlign w:val="bottom"/>
            <w:hideMark/>
          </w:tcPr>
          <w:p w14:paraId="779444B3"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E1C8489" w14:textId="77777777" w:rsidR="00D40091" w:rsidRPr="00D40091" w:rsidRDefault="00D40091" w:rsidP="00AA502F">
            <w:pPr>
              <w:spacing w:line="240" w:lineRule="auto"/>
              <w:rPr>
                <w:rFonts w:ascii="Arial" w:hAnsi="Arial" w:cs="Arial"/>
                <w:sz w:val="18"/>
                <w:szCs w:val="18"/>
              </w:rPr>
            </w:pPr>
          </w:p>
        </w:tc>
      </w:tr>
      <w:tr w:rsidR="00D40091" w:rsidRPr="00D40091" w14:paraId="77647A8B" w14:textId="77777777" w:rsidTr="009A6FBD">
        <w:trPr>
          <w:trHeight w:val="255"/>
        </w:trPr>
        <w:tc>
          <w:tcPr>
            <w:tcW w:w="8919" w:type="dxa"/>
            <w:tcBorders>
              <w:top w:val="nil"/>
              <w:left w:val="nil"/>
              <w:bottom w:val="nil"/>
              <w:right w:val="nil"/>
            </w:tcBorders>
            <w:shd w:val="clear" w:color="000000" w:fill="FFFFFF"/>
            <w:noWrap/>
            <w:vAlign w:val="bottom"/>
            <w:hideMark/>
          </w:tcPr>
          <w:p w14:paraId="0432450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Fundo de Investimentos - PPP</w:t>
            </w:r>
          </w:p>
        </w:tc>
        <w:tc>
          <w:tcPr>
            <w:tcW w:w="1251" w:type="dxa"/>
            <w:tcBorders>
              <w:top w:val="nil"/>
              <w:left w:val="nil"/>
              <w:bottom w:val="nil"/>
              <w:right w:val="nil"/>
            </w:tcBorders>
            <w:shd w:val="clear" w:color="000000" w:fill="FFFFFF"/>
            <w:noWrap/>
            <w:vAlign w:val="bottom"/>
            <w:hideMark/>
          </w:tcPr>
          <w:p w14:paraId="178E1A7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419B3987" w14:textId="7B8E85A2"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130.991</w:t>
            </w:r>
          </w:p>
        </w:tc>
        <w:tc>
          <w:tcPr>
            <w:tcW w:w="1843" w:type="dxa"/>
            <w:tcBorders>
              <w:top w:val="nil"/>
              <w:left w:val="nil"/>
              <w:bottom w:val="nil"/>
              <w:right w:val="nil"/>
            </w:tcBorders>
            <w:shd w:val="clear" w:color="000000" w:fill="FFFFFF"/>
            <w:noWrap/>
            <w:vAlign w:val="bottom"/>
            <w:hideMark/>
          </w:tcPr>
          <w:p w14:paraId="7AFABD24"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283.604 </w:t>
            </w:r>
          </w:p>
        </w:tc>
        <w:tc>
          <w:tcPr>
            <w:tcW w:w="2338" w:type="dxa"/>
            <w:tcBorders>
              <w:top w:val="nil"/>
              <w:left w:val="nil"/>
              <w:bottom w:val="nil"/>
              <w:right w:val="nil"/>
            </w:tcBorders>
            <w:shd w:val="clear" w:color="auto" w:fill="auto"/>
            <w:noWrap/>
            <w:vAlign w:val="bottom"/>
            <w:hideMark/>
          </w:tcPr>
          <w:p w14:paraId="00370AC3"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5AA497E8" w14:textId="77777777" w:rsidR="00D40091" w:rsidRPr="00D40091" w:rsidRDefault="00D40091" w:rsidP="00AA502F">
            <w:pPr>
              <w:spacing w:line="240" w:lineRule="auto"/>
              <w:rPr>
                <w:rFonts w:ascii="Arial" w:hAnsi="Arial" w:cs="Arial"/>
                <w:sz w:val="18"/>
                <w:szCs w:val="18"/>
              </w:rPr>
            </w:pPr>
          </w:p>
        </w:tc>
      </w:tr>
      <w:tr w:rsidR="00D40091" w:rsidRPr="00D40091" w14:paraId="572EE40D" w14:textId="77777777" w:rsidTr="009A6FBD">
        <w:trPr>
          <w:trHeight w:val="255"/>
        </w:trPr>
        <w:tc>
          <w:tcPr>
            <w:tcW w:w="8919" w:type="dxa"/>
            <w:tcBorders>
              <w:top w:val="nil"/>
              <w:left w:val="nil"/>
              <w:bottom w:val="nil"/>
              <w:right w:val="nil"/>
            </w:tcBorders>
            <w:shd w:val="clear" w:color="000000" w:fill="FFFFFF"/>
            <w:noWrap/>
            <w:vAlign w:val="bottom"/>
            <w:hideMark/>
          </w:tcPr>
          <w:p w14:paraId="64BE17D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Ativos Financeiros</w:t>
            </w:r>
          </w:p>
        </w:tc>
        <w:tc>
          <w:tcPr>
            <w:tcW w:w="1251" w:type="dxa"/>
            <w:tcBorders>
              <w:top w:val="nil"/>
              <w:left w:val="nil"/>
              <w:bottom w:val="nil"/>
              <w:right w:val="nil"/>
            </w:tcBorders>
            <w:shd w:val="clear" w:color="000000" w:fill="FFFFFF"/>
            <w:noWrap/>
            <w:vAlign w:val="bottom"/>
            <w:hideMark/>
          </w:tcPr>
          <w:p w14:paraId="6BA64C6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xml:space="preserve"> </w:t>
            </w:r>
          </w:p>
        </w:tc>
        <w:tc>
          <w:tcPr>
            <w:tcW w:w="2021" w:type="dxa"/>
            <w:tcBorders>
              <w:top w:val="nil"/>
              <w:left w:val="nil"/>
              <w:bottom w:val="nil"/>
              <w:right w:val="nil"/>
            </w:tcBorders>
            <w:shd w:val="clear" w:color="000000" w:fill="FFFFFF"/>
            <w:noWrap/>
            <w:vAlign w:val="bottom"/>
            <w:hideMark/>
          </w:tcPr>
          <w:p w14:paraId="65CD0FEF" w14:textId="73E25DEF"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7.000.000</w:t>
            </w:r>
          </w:p>
        </w:tc>
        <w:tc>
          <w:tcPr>
            <w:tcW w:w="1843" w:type="dxa"/>
            <w:tcBorders>
              <w:top w:val="nil"/>
              <w:left w:val="nil"/>
              <w:bottom w:val="nil"/>
              <w:right w:val="nil"/>
            </w:tcBorders>
            <w:shd w:val="clear" w:color="000000" w:fill="FFFFFF"/>
            <w:noWrap/>
            <w:vAlign w:val="bottom"/>
            <w:hideMark/>
          </w:tcPr>
          <w:p w14:paraId="06E936D8"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   </w:t>
            </w:r>
          </w:p>
        </w:tc>
        <w:tc>
          <w:tcPr>
            <w:tcW w:w="2338" w:type="dxa"/>
            <w:tcBorders>
              <w:top w:val="nil"/>
              <w:left w:val="nil"/>
              <w:bottom w:val="nil"/>
              <w:right w:val="nil"/>
            </w:tcBorders>
            <w:shd w:val="clear" w:color="auto" w:fill="auto"/>
            <w:noWrap/>
            <w:vAlign w:val="bottom"/>
            <w:hideMark/>
          </w:tcPr>
          <w:p w14:paraId="3BE9A8FA"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E04549E" w14:textId="77777777" w:rsidR="00D40091" w:rsidRPr="00D40091" w:rsidRDefault="00D40091" w:rsidP="00AA502F">
            <w:pPr>
              <w:spacing w:line="240" w:lineRule="auto"/>
              <w:rPr>
                <w:rFonts w:ascii="Arial" w:hAnsi="Arial" w:cs="Arial"/>
                <w:sz w:val="18"/>
                <w:szCs w:val="18"/>
              </w:rPr>
            </w:pPr>
          </w:p>
        </w:tc>
      </w:tr>
      <w:tr w:rsidR="00D40091" w:rsidRPr="00D40091" w14:paraId="0FC08580" w14:textId="77777777" w:rsidTr="009A6FBD">
        <w:trPr>
          <w:trHeight w:val="255"/>
        </w:trPr>
        <w:tc>
          <w:tcPr>
            <w:tcW w:w="8919" w:type="dxa"/>
            <w:tcBorders>
              <w:top w:val="nil"/>
              <w:left w:val="nil"/>
              <w:bottom w:val="nil"/>
              <w:right w:val="nil"/>
            </w:tcBorders>
            <w:shd w:val="clear" w:color="000000" w:fill="FFFFFF"/>
            <w:noWrap/>
            <w:vAlign w:val="bottom"/>
            <w:hideMark/>
          </w:tcPr>
          <w:p w14:paraId="3CEF987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Fornecedores</w:t>
            </w:r>
          </w:p>
        </w:tc>
        <w:tc>
          <w:tcPr>
            <w:tcW w:w="1251" w:type="dxa"/>
            <w:tcBorders>
              <w:top w:val="nil"/>
              <w:left w:val="nil"/>
              <w:bottom w:val="nil"/>
              <w:right w:val="nil"/>
            </w:tcBorders>
            <w:shd w:val="clear" w:color="000000" w:fill="FFFFFF"/>
            <w:noWrap/>
            <w:vAlign w:val="bottom"/>
            <w:hideMark/>
          </w:tcPr>
          <w:p w14:paraId="4EB913F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xml:space="preserve"> </w:t>
            </w:r>
          </w:p>
        </w:tc>
        <w:tc>
          <w:tcPr>
            <w:tcW w:w="2021" w:type="dxa"/>
            <w:tcBorders>
              <w:top w:val="nil"/>
              <w:left w:val="nil"/>
              <w:bottom w:val="nil"/>
              <w:right w:val="nil"/>
            </w:tcBorders>
            <w:shd w:val="clear" w:color="000000" w:fill="FFFFFF"/>
            <w:noWrap/>
            <w:vAlign w:val="bottom"/>
            <w:hideMark/>
          </w:tcPr>
          <w:p w14:paraId="2D3F41BF" w14:textId="38117D6D"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12.137</w:t>
            </w:r>
          </w:p>
        </w:tc>
        <w:tc>
          <w:tcPr>
            <w:tcW w:w="1843" w:type="dxa"/>
            <w:tcBorders>
              <w:top w:val="nil"/>
              <w:left w:val="nil"/>
              <w:bottom w:val="nil"/>
              <w:right w:val="nil"/>
            </w:tcBorders>
            <w:shd w:val="clear" w:color="000000" w:fill="FFFFFF"/>
            <w:noWrap/>
            <w:vAlign w:val="bottom"/>
            <w:hideMark/>
          </w:tcPr>
          <w:p w14:paraId="6ECA0883"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(24.770)</w:t>
            </w:r>
          </w:p>
        </w:tc>
        <w:tc>
          <w:tcPr>
            <w:tcW w:w="2338" w:type="dxa"/>
            <w:tcBorders>
              <w:top w:val="nil"/>
              <w:left w:val="nil"/>
              <w:bottom w:val="nil"/>
              <w:right w:val="nil"/>
            </w:tcBorders>
            <w:shd w:val="clear" w:color="auto" w:fill="auto"/>
            <w:noWrap/>
            <w:vAlign w:val="bottom"/>
            <w:hideMark/>
          </w:tcPr>
          <w:p w14:paraId="57B57868"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67D9207F" w14:textId="77777777" w:rsidR="00D40091" w:rsidRPr="00D40091" w:rsidRDefault="00D40091" w:rsidP="00AA502F">
            <w:pPr>
              <w:spacing w:line="240" w:lineRule="auto"/>
              <w:rPr>
                <w:rFonts w:ascii="Arial" w:hAnsi="Arial" w:cs="Arial"/>
                <w:sz w:val="18"/>
                <w:szCs w:val="18"/>
              </w:rPr>
            </w:pPr>
          </w:p>
        </w:tc>
      </w:tr>
      <w:tr w:rsidR="00D40091" w:rsidRPr="00D40091" w14:paraId="4D4A768B" w14:textId="77777777" w:rsidTr="009A6FBD">
        <w:trPr>
          <w:trHeight w:val="255"/>
        </w:trPr>
        <w:tc>
          <w:tcPr>
            <w:tcW w:w="8919" w:type="dxa"/>
            <w:tcBorders>
              <w:top w:val="nil"/>
              <w:left w:val="nil"/>
              <w:bottom w:val="nil"/>
              <w:right w:val="nil"/>
            </w:tcBorders>
            <w:shd w:val="clear" w:color="000000" w:fill="FFFFFF"/>
            <w:noWrap/>
            <w:vAlign w:val="bottom"/>
            <w:hideMark/>
          </w:tcPr>
          <w:p w14:paraId="67CE3F6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Impostos a Recolher</w:t>
            </w:r>
          </w:p>
        </w:tc>
        <w:tc>
          <w:tcPr>
            <w:tcW w:w="1251" w:type="dxa"/>
            <w:tcBorders>
              <w:top w:val="nil"/>
              <w:left w:val="nil"/>
              <w:bottom w:val="nil"/>
              <w:right w:val="nil"/>
            </w:tcBorders>
            <w:shd w:val="clear" w:color="000000" w:fill="FFFFFF"/>
            <w:noWrap/>
            <w:vAlign w:val="bottom"/>
            <w:hideMark/>
          </w:tcPr>
          <w:p w14:paraId="6E639D0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7E8BCF02" w14:textId="7CDDE509"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227.920</w:t>
            </w:r>
          </w:p>
        </w:tc>
        <w:tc>
          <w:tcPr>
            <w:tcW w:w="1843" w:type="dxa"/>
            <w:tcBorders>
              <w:top w:val="nil"/>
              <w:left w:val="nil"/>
              <w:bottom w:val="nil"/>
              <w:right w:val="nil"/>
            </w:tcBorders>
            <w:shd w:val="clear" w:color="000000" w:fill="FFFFFF"/>
            <w:noWrap/>
            <w:vAlign w:val="bottom"/>
            <w:hideMark/>
          </w:tcPr>
          <w:p w14:paraId="54918C37"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(250)</w:t>
            </w:r>
          </w:p>
        </w:tc>
        <w:tc>
          <w:tcPr>
            <w:tcW w:w="2338" w:type="dxa"/>
            <w:tcBorders>
              <w:top w:val="nil"/>
              <w:left w:val="nil"/>
              <w:bottom w:val="nil"/>
              <w:right w:val="nil"/>
            </w:tcBorders>
            <w:shd w:val="clear" w:color="auto" w:fill="auto"/>
            <w:noWrap/>
            <w:vAlign w:val="bottom"/>
            <w:hideMark/>
          </w:tcPr>
          <w:p w14:paraId="6EBD09FF"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65356AAE" w14:textId="77777777" w:rsidR="00D40091" w:rsidRPr="00D40091" w:rsidRDefault="00D40091" w:rsidP="00AA502F">
            <w:pPr>
              <w:spacing w:line="240" w:lineRule="auto"/>
              <w:rPr>
                <w:rFonts w:ascii="Arial" w:hAnsi="Arial" w:cs="Arial"/>
                <w:sz w:val="18"/>
                <w:szCs w:val="18"/>
              </w:rPr>
            </w:pPr>
          </w:p>
        </w:tc>
      </w:tr>
      <w:tr w:rsidR="00D40091" w:rsidRPr="00D40091" w14:paraId="053642AD" w14:textId="77777777" w:rsidTr="009A6FBD">
        <w:trPr>
          <w:trHeight w:val="255"/>
        </w:trPr>
        <w:tc>
          <w:tcPr>
            <w:tcW w:w="8919" w:type="dxa"/>
            <w:tcBorders>
              <w:top w:val="nil"/>
              <w:left w:val="nil"/>
              <w:bottom w:val="nil"/>
              <w:right w:val="nil"/>
            </w:tcBorders>
            <w:shd w:val="clear" w:color="000000" w:fill="FFFFFF"/>
            <w:noWrap/>
            <w:vAlign w:val="bottom"/>
            <w:hideMark/>
          </w:tcPr>
          <w:p w14:paraId="3CB28A7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Obrigações Trabalhistas e Previdenciárias</w:t>
            </w:r>
          </w:p>
        </w:tc>
        <w:tc>
          <w:tcPr>
            <w:tcW w:w="1251" w:type="dxa"/>
            <w:tcBorders>
              <w:top w:val="nil"/>
              <w:left w:val="nil"/>
              <w:bottom w:val="nil"/>
              <w:right w:val="nil"/>
            </w:tcBorders>
            <w:shd w:val="clear" w:color="000000" w:fill="FFFFFF"/>
            <w:noWrap/>
            <w:vAlign w:val="bottom"/>
            <w:hideMark/>
          </w:tcPr>
          <w:p w14:paraId="2876B42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6CE9E321" w14:textId="4764FAAC"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40.486</w:t>
            </w:r>
          </w:p>
        </w:tc>
        <w:tc>
          <w:tcPr>
            <w:tcW w:w="1843" w:type="dxa"/>
            <w:tcBorders>
              <w:top w:val="nil"/>
              <w:left w:val="nil"/>
              <w:bottom w:val="nil"/>
              <w:right w:val="nil"/>
            </w:tcBorders>
            <w:shd w:val="clear" w:color="000000" w:fill="FFFFFF"/>
            <w:noWrap/>
            <w:vAlign w:val="bottom"/>
            <w:hideMark/>
          </w:tcPr>
          <w:p w14:paraId="63BB5435"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xml:space="preserve">           41.934 </w:t>
            </w:r>
          </w:p>
        </w:tc>
        <w:tc>
          <w:tcPr>
            <w:tcW w:w="2338" w:type="dxa"/>
            <w:tcBorders>
              <w:top w:val="nil"/>
              <w:left w:val="nil"/>
              <w:bottom w:val="nil"/>
              <w:right w:val="nil"/>
            </w:tcBorders>
            <w:shd w:val="clear" w:color="auto" w:fill="auto"/>
            <w:noWrap/>
            <w:vAlign w:val="bottom"/>
            <w:hideMark/>
          </w:tcPr>
          <w:p w14:paraId="249A72C3"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54315FD5" w14:textId="77777777" w:rsidR="00D40091" w:rsidRPr="00D40091" w:rsidRDefault="00D40091" w:rsidP="00AA502F">
            <w:pPr>
              <w:spacing w:line="240" w:lineRule="auto"/>
              <w:rPr>
                <w:rFonts w:ascii="Arial" w:hAnsi="Arial" w:cs="Arial"/>
                <w:sz w:val="18"/>
                <w:szCs w:val="18"/>
              </w:rPr>
            </w:pPr>
          </w:p>
        </w:tc>
      </w:tr>
      <w:tr w:rsidR="00D40091" w:rsidRPr="00D40091" w14:paraId="692565C3" w14:textId="77777777" w:rsidTr="009A6FBD">
        <w:trPr>
          <w:trHeight w:val="255"/>
        </w:trPr>
        <w:tc>
          <w:tcPr>
            <w:tcW w:w="8919" w:type="dxa"/>
            <w:tcBorders>
              <w:top w:val="nil"/>
              <w:left w:val="nil"/>
              <w:bottom w:val="nil"/>
              <w:right w:val="nil"/>
            </w:tcBorders>
            <w:shd w:val="clear" w:color="000000" w:fill="FFFFFF"/>
            <w:noWrap/>
            <w:vAlign w:val="bottom"/>
            <w:hideMark/>
          </w:tcPr>
          <w:p w14:paraId="0DA8A79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Aumento (Diminuição) de Outras Obrigações</w:t>
            </w:r>
          </w:p>
        </w:tc>
        <w:tc>
          <w:tcPr>
            <w:tcW w:w="1251" w:type="dxa"/>
            <w:tcBorders>
              <w:top w:val="nil"/>
              <w:left w:val="nil"/>
              <w:bottom w:val="nil"/>
              <w:right w:val="nil"/>
            </w:tcBorders>
            <w:shd w:val="clear" w:color="000000" w:fill="FFFFFF"/>
            <w:noWrap/>
            <w:vAlign w:val="bottom"/>
            <w:hideMark/>
          </w:tcPr>
          <w:p w14:paraId="1A31FCF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0AC135B1" w14:textId="55C1400E"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w:t>
            </w:r>
          </w:p>
        </w:tc>
        <w:tc>
          <w:tcPr>
            <w:tcW w:w="1843" w:type="dxa"/>
            <w:tcBorders>
              <w:top w:val="nil"/>
              <w:left w:val="nil"/>
              <w:bottom w:val="nil"/>
              <w:right w:val="nil"/>
            </w:tcBorders>
            <w:shd w:val="clear" w:color="000000" w:fill="FFFFFF"/>
            <w:noWrap/>
            <w:vAlign w:val="bottom"/>
            <w:hideMark/>
          </w:tcPr>
          <w:p w14:paraId="31358B1D" w14:textId="77777777" w:rsidR="00D40091" w:rsidRPr="00D40091" w:rsidRDefault="00D40091" w:rsidP="009A6FBD">
            <w:pPr>
              <w:spacing w:line="240" w:lineRule="auto"/>
              <w:jc w:val="right"/>
              <w:rPr>
                <w:rFonts w:ascii="Arial" w:hAnsi="Arial" w:cs="Arial"/>
                <w:sz w:val="18"/>
                <w:szCs w:val="18"/>
              </w:rPr>
            </w:pPr>
            <w:r w:rsidRPr="00D40091">
              <w:rPr>
                <w:rFonts w:ascii="Arial" w:hAnsi="Arial" w:cs="Arial"/>
                <w:sz w:val="18"/>
                <w:szCs w:val="18"/>
              </w:rPr>
              <w:t> </w:t>
            </w:r>
          </w:p>
        </w:tc>
        <w:tc>
          <w:tcPr>
            <w:tcW w:w="2338" w:type="dxa"/>
            <w:tcBorders>
              <w:top w:val="nil"/>
              <w:left w:val="nil"/>
              <w:bottom w:val="nil"/>
              <w:right w:val="nil"/>
            </w:tcBorders>
            <w:shd w:val="clear" w:color="auto" w:fill="auto"/>
            <w:noWrap/>
            <w:vAlign w:val="bottom"/>
            <w:hideMark/>
          </w:tcPr>
          <w:p w14:paraId="6E2699C5"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59E60A49" w14:textId="77777777" w:rsidR="00D40091" w:rsidRPr="00D40091" w:rsidRDefault="00D40091" w:rsidP="00AA502F">
            <w:pPr>
              <w:spacing w:line="240" w:lineRule="auto"/>
              <w:rPr>
                <w:rFonts w:ascii="Arial" w:hAnsi="Arial" w:cs="Arial"/>
                <w:sz w:val="18"/>
                <w:szCs w:val="18"/>
              </w:rPr>
            </w:pPr>
          </w:p>
        </w:tc>
      </w:tr>
      <w:tr w:rsidR="00D40091" w:rsidRPr="00D40091" w14:paraId="230F03B9" w14:textId="77777777" w:rsidTr="009A6FBD">
        <w:trPr>
          <w:trHeight w:val="255"/>
        </w:trPr>
        <w:tc>
          <w:tcPr>
            <w:tcW w:w="8919" w:type="dxa"/>
            <w:tcBorders>
              <w:top w:val="nil"/>
              <w:left w:val="nil"/>
              <w:bottom w:val="nil"/>
              <w:right w:val="nil"/>
            </w:tcBorders>
            <w:shd w:val="clear" w:color="000000" w:fill="FFFFFF"/>
            <w:noWrap/>
            <w:vAlign w:val="bottom"/>
            <w:hideMark/>
          </w:tcPr>
          <w:p w14:paraId="5ABDE27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251" w:type="dxa"/>
            <w:tcBorders>
              <w:top w:val="nil"/>
              <w:left w:val="nil"/>
              <w:bottom w:val="nil"/>
              <w:right w:val="nil"/>
            </w:tcBorders>
            <w:shd w:val="clear" w:color="000000" w:fill="FFFFFF"/>
            <w:noWrap/>
            <w:vAlign w:val="bottom"/>
            <w:hideMark/>
          </w:tcPr>
          <w:p w14:paraId="41A626B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1E28A78E" w14:textId="69BED1AC" w:rsidR="00D40091" w:rsidRPr="00D40091" w:rsidRDefault="00D40091" w:rsidP="009A6FBD">
            <w:pPr>
              <w:spacing w:line="240" w:lineRule="auto"/>
              <w:jc w:val="right"/>
              <w:rPr>
                <w:rFonts w:ascii="Arial" w:hAnsi="Arial" w:cs="Arial"/>
                <w:color w:val="000000"/>
                <w:sz w:val="18"/>
                <w:szCs w:val="18"/>
              </w:rPr>
            </w:pPr>
            <w:r w:rsidRPr="00D40091">
              <w:rPr>
                <w:rFonts w:ascii="Arial" w:hAnsi="Arial" w:cs="Arial"/>
                <w:color w:val="000000"/>
                <w:sz w:val="18"/>
                <w:szCs w:val="18"/>
              </w:rPr>
              <w:t>6.893.781</w:t>
            </w:r>
          </w:p>
        </w:tc>
        <w:tc>
          <w:tcPr>
            <w:tcW w:w="1843" w:type="dxa"/>
            <w:tcBorders>
              <w:top w:val="nil"/>
              <w:left w:val="nil"/>
              <w:bottom w:val="nil"/>
              <w:right w:val="nil"/>
            </w:tcBorders>
            <w:shd w:val="clear" w:color="000000" w:fill="FFFFFF"/>
            <w:noWrap/>
            <w:vAlign w:val="bottom"/>
            <w:hideMark/>
          </w:tcPr>
          <w:p w14:paraId="18B0C157" w14:textId="77777777" w:rsidR="00D40091" w:rsidRPr="00D40091" w:rsidRDefault="00D40091" w:rsidP="009A6FBD">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5.383.465 </w:t>
            </w:r>
          </w:p>
        </w:tc>
        <w:tc>
          <w:tcPr>
            <w:tcW w:w="2338" w:type="dxa"/>
            <w:tcBorders>
              <w:top w:val="nil"/>
              <w:left w:val="nil"/>
              <w:bottom w:val="nil"/>
              <w:right w:val="nil"/>
            </w:tcBorders>
            <w:shd w:val="clear" w:color="auto" w:fill="auto"/>
            <w:noWrap/>
            <w:vAlign w:val="bottom"/>
            <w:hideMark/>
          </w:tcPr>
          <w:p w14:paraId="4FF5D669"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252F4FA4" w14:textId="77777777" w:rsidR="00D40091" w:rsidRPr="00D40091" w:rsidRDefault="00D40091" w:rsidP="00AA502F">
            <w:pPr>
              <w:spacing w:line="240" w:lineRule="auto"/>
              <w:rPr>
                <w:rFonts w:ascii="Arial" w:hAnsi="Arial" w:cs="Arial"/>
                <w:sz w:val="18"/>
                <w:szCs w:val="18"/>
              </w:rPr>
            </w:pPr>
          </w:p>
        </w:tc>
      </w:tr>
      <w:tr w:rsidR="00D40091" w:rsidRPr="00D40091" w14:paraId="713B25A2" w14:textId="77777777" w:rsidTr="009A6FBD">
        <w:trPr>
          <w:trHeight w:val="255"/>
        </w:trPr>
        <w:tc>
          <w:tcPr>
            <w:tcW w:w="8919" w:type="dxa"/>
            <w:tcBorders>
              <w:top w:val="nil"/>
              <w:left w:val="nil"/>
              <w:bottom w:val="nil"/>
              <w:right w:val="nil"/>
            </w:tcBorders>
            <w:shd w:val="clear" w:color="000000" w:fill="FFFFFF"/>
            <w:noWrap/>
            <w:vAlign w:val="bottom"/>
            <w:hideMark/>
          </w:tcPr>
          <w:p w14:paraId="120E8C1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251" w:type="dxa"/>
            <w:tcBorders>
              <w:top w:val="nil"/>
              <w:left w:val="nil"/>
              <w:bottom w:val="nil"/>
              <w:right w:val="nil"/>
            </w:tcBorders>
            <w:shd w:val="clear" w:color="000000" w:fill="FFFFFF"/>
            <w:noWrap/>
            <w:vAlign w:val="bottom"/>
            <w:hideMark/>
          </w:tcPr>
          <w:p w14:paraId="532093C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23D1780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843" w:type="dxa"/>
            <w:tcBorders>
              <w:top w:val="nil"/>
              <w:left w:val="nil"/>
              <w:bottom w:val="nil"/>
              <w:right w:val="nil"/>
            </w:tcBorders>
            <w:shd w:val="clear" w:color="000000" w:fill="FFFFFF"/>
            <w:noWrap/>
            <w:vAlign w:val="bottom"/>
            <w:hideMark/>
          </w:tcPr>
          <w:p w14:paraId="35F69CB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2338" w:type="dxa"/>
            <w:tcBorders>
              <w:top w:val="nil"/>
              <w:left w:val="nil"/>
              <w:bottom w:val="nil"/>
              <w:right w:val="nil"/>
            </w:tcBorders>
            <w:shd w:val="clear" w:color="auto" w:fill="auto"/>
            <w:noWrap/>
            <w:vAlign w:val="bottom"/>
            <w:hideMark/>
          </w:tcPr>
          <w:p w14:paraId="50E772E5"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5A2FA789" w14:textId="77777777" w:rsidR="00D40091" w:rsidRPr="00D40091" w:rsidRDefault="00D40091" w:rsidP="00AA502F">
            <w:pPr>
              <w:spacing w:line="240" w:lineRule="auto"/>
              <w:rPr>
                <w:rFonts w:ascii="Arial" w:hAnsi="Arial" w:cs="Arial"/>
                <w:sz w:val="18"/>
                <w:szCs w:val="18"/>
              </w:rPr>
            </w:pPr>
          </w:p>
        </w:tc>
      </w:tr>
      <w:tr w:rsidR="00D40091" w:rsidRPr="00D40091" w14:paraId="151FF686" w14:textId="77777777" w:rsidTr="009A6FBD">
        <w:trPr>
          <w:trHeight w:val="315"/>
        </w:trPr>
        <w:tc>
          <w:tcPr>
            <w:tcW w:w="8919" w:type="dxa"/>
            <w:tcBorders>
              <w:top w:val="nil"/>
              <w:left w:val="nil"/>
              <w:bottom w:val="nil"/>
              <w:right w:val="nil"/>
            </w:tcBorders>
            <w:shd w:val="clear" w:color="000000" w:fill="F8F8F8"/>
            <w:noWrap/>
            <w:vAlign w:val="bottom"/>
            <w:hideMark/>
          </w:tcPr>
          <w:p w14:paraId="051FA327"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lastRenderedPageBreak/>
              <w:t>CAIXA LÍQUIDO GERADO PELAS ATIVIDADES OPERACIONAIS</w:t>
            </w:r>
          </w:p>
        </w:tc>
        <w:tc>
          <w:tcPr>
            <w:tcW w:w="1251" w:type="dxa"/>
            <w:tcBorders>
              <w:top w:val="nil"/>
              <w:left w:val="nil"/>
              <w:bottom w:val="nil"/>
              <w:right w:val="nil"/>
            </w:tcBorders>
            <w:shd w:val="clear" w:color="000000" w:fill="F8F8F8"/>
            <w:noWrap/>
            <w:vAlign w:val="bottom"/>
            <w:hideMark/>
          </w:tcPr>
          <w:p w14:paraId="29C2C6D7"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8F8F8"/>
            <w:noWrap/>
            <w:vAlign w:val="bottom"/>
            <w:hideMark/>
          </w:tcPr>
          <w:p w14:paraId="3052FE5F"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 xml:space="preserve">            3.193.637 </w:t>
            </w:r>
          </w:p>
        </w:tc>
        <w:tc>
          <w:tcPr>
            <w:tcW w:w="1843" w:type="dxa"/>
            <w:tcBorders>
              <w:top w:val="nil"/>
              <w:left w:val="nil"/>
              <w:bottom w:val="nil"/>
              <w:right w:val="nil"/>
            </w:tcBorders>
            <w:shd w:val="clear" w:color="000000" w:fill="F8F8F8"/>
            <w:noWrap/>
            <w:vAlign w:val="bottom"/>
            <w:hideMark/>
          </w:tcPr>
          <w:p w14:paraId="7AF55B4C"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 xml:space="preserve">      2.996.093 </w:t>
            </w:r>
          </w:p>
        </w:tc>
        <w:tc>
          <w:tcPr>
            <w:tcW w:w="2338" w:type="dxa"/>
            <w:tcBorders>
              <w:top w:val="nil"/>
              <w:left w:val="nil"/>
              <w:bottom w:val="nil"/>
              <w:right w:val="nil"/>
            </w:tcBorders>
            <w:shd w:val="clear" w:color="auto" w:fill="auto"/>
            <w:noWrap/>
            <w:vAlign w:val="bottom"/>
            <w:hideMark/>
          </w:tcPr>
          <w:p w14:paraId="31BC7C2E" w14:textId="77777777" w:rsidR="00D40091" w:rsidRPr="00D40091" w:rsidRDefault="00D40091" w:rsidP="00AA502F">
            <w:pPr>
              <w:spacing w:line="240" w:lineRule="auto"/>
              <w:rPr>
                <w:rFonts w:ascii="Arial" w:hAnsi="Arial" w:cs="Arial"/>
                <w:b/>
                <w:bCs/>
                <w:sz w:val="18"/>
                <w:szCs w:val="18"/>
                <w:u w:val="single"/>
              </w:rPr>
            </w:pPr>
          </w:p>
        </w:tc>
        <w:tc>
          <w:tcPr>
            <w:tcW w:w="160" w:type="dxa"/>
            <w:tcBorders>
              <w:top w:val="nil"/>
              <w:left w:val="nil"/>
              <w:bottom w:val="nil"/>
              <w:right w:val="nil"/>
            </w:tcBorders>
            <w:shd w:val="clear" w:color="auto" w:fill="auto"/>
            <w:noWrap/>
            <w:vAlign w:val="bottom"/>
            <w:hideMark/>
          </w:tcPr>
          <w:p w14:paraId="26F4B712" w14:textId="77777777" w:rsidR="00D40091" w:rsidRPr="00D40091" w:rsidRDefault="00D40091" w:rsidP="00AA502F">
            <w:pPr>
              <w:spacing w:line="240" w:lineRule="auto"/>
              <w:rPr>
                <w:rFonts w:ascii="Arial" w:hAnsi="Arial" w:cs="Arial"/>
                <w:sz w:val="18"/>
                <w:szCs w:val="18"/>
              </w:rPr>
            </w:pPr>
          </w:p>
        </w:tc>
      </w:tr>
      <w:tr w:rsidR="00D40091" w:rsidRPr="00D40091" w14:paraId="3A49F7DA" w14:textId="77777777" w:rsidTr="009A6FBD">
        <w:trPr>
          <w:trHeight w:val="315"/>
        </w:trPr>
        <w:tc>
          <w:tcPr>
            <w:tcW w:w="8919" w:type="dxa"/>
            <w:tcBorders>
              <w:top w:val="nil"/>
              <w:left w:val="nil"/>
              <w:bottom w:val="nil"/>
              <w:right w:val="nil"/>
            </w:tcBorders>
            <w:shd w:val="clear" w:color="000000" w:fill="FFFFFF"/>
            <w:noWrap/>
            <w:vAlign w:val="bottom"/>
            <w:hideMark/>
          </w:tcPr>
          <w:p w14:paraId="0641230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251" w:type="dxa"/>
            <w:tcBorders>
              <w:top w:val="nil"/>
              <w:left w:val="nil"/>
              <w:bottom w:val="nil"/>
              <w:right w:val="nil"/>
            </w:tcBorders>
            <w:shd w:val="clear" w:color="000000" w:fill="FFFFFF"/>
            <w:noWrap/>
            <w:vAlign w:val="bottom"/>
            <w:hideMark/>
          </w:tcPr>
          <w:p w14:paraId="0BE8E3A3"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FFFFF"/>
            <w:noWrap/>
            <w:vAlign w:val="bottom"/>
            <w:hideMark/>
          </w:tcPr>
          <w:p w14:paraId="0071AAE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843" w:type="dxa"/>
            <w:tcBorders>
              <w:top w:val="nil"/>
              <w:left w:val="nil"/>
              <w:bottom w:val="nil"/>
              <w:right w:val="nil"/>
            </w:tcBorders>
            <w:shd w:val="clear" w:color="000000" w:fill="FFFFFF"/>
            <w:noWrap/>
            <w:vAlign w:val="bottom"/>
            <w:hideMark/>
          </w:tcPr>
          <w:p w14:paraId="23B511D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2338" w:type="dxa"/>
            <w:tcBorders>
              <w:top w:val="nil"/>
              <w:left w:val="nil"/>
              <w:bottom w:val="nil"/>
              <w:right w:val="nil"/>
            </w:tcBorders>
            <w:shd w:val="clear" w:color="auto" w:fill="auto"/>
            <w:noWrap/>
            <w:vAlign w:val="bottom"/>
            <w:hideMark/>
          </w:tcPr>
          <w:p w14:paraId="747B37DB" w14:textId="77777777" w:rsidR="00D40091" w:rsidRPr="00D40091" w:rsidRDefault="00D40091" w:rsidP="00AA502F">
            <w:pPr>
              <w:spacing w:line="240" w:lineRule="auto"/>
              <w:rPr>
                <w:rFonts w:ascii="Arial" w:hAnsi="Arial" w:cs="Arial"/>
                <w:b/>
                <w:bCs/>
                <w:color w:val="000000"/>
                <w:sz w:val="18"/>
                <w:szCs w:val="18"/>
              </w:rPr>
            </w:pPr>
          </w:p>
        </w:tc>
        <w:tc>
          <w:tcPr>
            <w:tcW w:w="160" w:type="dxa"/>
            <w:tcBorders>
              <w:top w:val="nil"/>
              <w:left w:val="nil"/>
              <w:bottom w:val="nil"/>
              <w:right w:val="nil"/>
            </w:tcBorders>
            <w:shd w:val="clear" w:color="auto" w:fill="auto"/>
            <w:noWrap/>
            <w:vAlign w:val="center"/>
            <w:hideMark/>
          </w:tcPr>
          <w:p w14:paraId="361AB978" w14:textId="77777777" w:rsidR="00D40091" w:rsidRPr="00D40091" w:rsidRDefault="00D40091" w:rsidP="00AA502F">
            <w:pPr>
              <w:spacing w:line="240" w:lineRule="auto"/>
              <w:rPr>
                <w:rFonts w:ascii="Arial" w:hAnsi="Arial" w:cs="Arial"/>
                <w:sz w:val="18"/>
                <w:szCs w:val="18"/>
              </w:rPr>
            </w:pPr>
          </w:p>
        </w:tc>
      </w:tr>
      <w:tr w:rsidR="00D40091" w:rsidRPr="00D40091" w14:paraId="30D2457A" w14:textId="77777777" w:rsidTr="009A6FBD">
        <w:trPr>
          <w:trHeight w:val="315"/>
        </w:trPr>
        <w:tc>
          <w:tcPr>
            <w:tcW w:w="8919" w:type="dxa"/>
            <w:tcBorders>
              <w:top w:val="nil"/>
              <w:left w:val="nil"/>
              <w:bottom w:val="nil"/>
              <w:right w:val="nil"/>
            </w:tcBorders>
            <w:shd w:val="clear" w:color="auto" w:fill="auto"/>
            <w:noWrap/>
            <w:vAlign w:val="bottom"/>
            <w:hideMark/>
          </w:tcPr>
          <w:p w14:paraId="42B63612"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FLUXO DE CAIXA DAS ATIVIDADES DE INVESTIMENTOS</w:t>
            </w:r>
          </w:p>
        </w:tc>
        <w:tc>
          <w:tcPr>
            <w:tcW w:w="1251" w:type="dxa"/>
            <w:tcBorders>
              <w:top w:val="nil"/>
              <w:left w:val="nil"/>
              <w:bottom w:val="nil"/>
              <w:right w:val="nil"/>
            </w:tcBorders>
            <w:shd w:val="clear" w:color="auto" w:fill="auto"/>
            <w:noWrap/>
            <w:vAlign w:val="bottom"/>
            <w:hideMark/>
          </w:tcPr>
          <w:p w14:paraId="63451C24" w14:textId="77777777" w:rsidR="00D40091" w:rsidRPr="00D40091" w:rsidRDefault="00D40091" w:rsidP="00AA502F">
            <w:pPr>
              <w:spacing w:line="240" w:lineRule="auto"/>
              <w:rPr>
                <w:rFonts w:ascii="Arial" w:hAnsi="Arial" w:cs="Arial"/>
                <w:b/>
                <w:bCs/>
                <w:color w:val="000000"/>
                <w:sz w:val="18"/>
                <w:szCs w:val="18"/>
              </w:rPr>
            </w:pPr>
          </w:p>
        </w:tc>
        <w:tc>
          <w:tcPr>
            <w:tcW w:w="2021" w:type="dxa"/>
            <w:tcBorders>
              <w:top w:val="nil"/>
              <w:left w:val="nil"/>
              <w:bottom w:val="nil"/>
              <w:right w:val="nil"/>
            </w:tcBorders>
            <w:shd w:val="clear" w:color="auto" w:fill="auto"/>
            <w:noWrap/>
            <w:vAlign w:val="bottom"/>
            <w:hideMark/>
          </w:tcPr>
          <w:p w14:paraId="6D55757B"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14:paraId="0288D8D0"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bottom"/>
            <w:hideMark/>
          </w:tcPr>
          <w:p w14:paraId="56F2510B"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291BF6A8" w14:textId="77777777" w:rsidR="00D40091" w:rsidRPr="00D40091" w:rsidRDefault="00D40091" w:rsidP="00AA502F">
            <w:pPr>
              <w:spacing w:line="240" w:lineRule="auto"/>
              <w:rPr>
                <w:rFonts w:ascii="Arial" w:hAnsi="Arial" w:cs="Arial"/>
                <w:sz w:val="18"/>
                <w:szCs w:val="18"/>
              </w:rPr>
            </w:pPr>
          </w:p>
        </w:tc>
      </w:tr>
      <w:tr w:rsidR="00D40091" w:rsidRPr="00D40091" w14:paraId="142B3DEC" w14:textId="77777777" w:rsidTr="009A6FBD">
        <w:trPr>
          <w:trHeight w:val="315"/>
        </w:trPr>
        <w:tc>
          <w:tcPr>
            <w:tcW w:w="8919" w:type="dxa"/>
            <w:tcBorders>
              <w:top w:val="nil"/>
              <w:left w:val="nil"/>
              <w:bottom w:val="nil"/>
              <w:right w:val="nil"/>
            </w:tcBorders>
            <w:shd w:val="clear" w:color="auto" w:fill="auto"/>
            <w:noWrap/>
            <w:vAlign w:val="bottom"/>
            <w:hideMark/>
          </w:tcPr>
          <w:p w14:paraId="0DC026E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Fundo de Investimentos em PPP</w:t>
            </w:r>
          </w:p>
        </w:tc>
        <w:tc>
          <w:tcPr>
            <w:tcW w:w="1251" w:type="dxa"/>
            <w:tcBorders>
              <w:top w:val="nil"/>
              <w:left w:val="nil"/>
              <w:bottom w:val="nil"/>
              <w:right w:val="nil"/>
            </w:tcBorders>
            <w:shd w:val="clear" w:color="auto" w:fill="auto"/>
            <w:noWrap/>
            <w:vAlign w:val="bottom"/>
            <w:hideMark/>
          </w:tcPr>
          <w:p w14:paraId="1FA012C7" w14:textId="77777777" w:rsidR="00D40091" w:rsidRPr="00D40091" w:rsidRDefault="00D40091" w:rsidP="00AA502F">
            <w:pPr>
              <w:spacing w:line="240" w:lineRule="auto"/>
              <w:rPr>
                <w:rFonts w:ascii="Arial" w:hAnsi="Arial" w:cs="Arial"/>
                <w:color w:val="000000"/>
                <w:sz w:val="18"/>
                <w:szCs w:val="18"/>
              </w:rPr>
            </w:pPr>
          </w:p>
        </w:tc>
        <w:tc>
          <w:tcPr>
            <w:tcW w:w="2021" w:type="dxa"/>
            <w:tcBorders>
              <w:top w:val="nil"/>
              <w:left w:val="nil"/>
              <w:bottom w:val="nil"/>
              <w:right w:val="nil"/>
            </w:tcBorders>
            <w:shd w:val="clear" w:color="000000" w:fill="FFFFFF"/>
            <w:noWrap/>
            <w:vAlign w:val="bottom"/>
            <w:hideMark/>
          </w:tcPr>
          <w:p w14:paraId="5AFD26F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   </w:t>
            </w:r>
          </w:p>
        </w:tc>
        <w:tc>
          <w:tcPr>
            <w:tcW w:w="1843" w:type="dxa"/>
            <w:tcBorders>
              <w:top w:val="nil"/>
              <w:left w:val="nil"/>
              <w:bottom w:val="nil"/>
              <w:right w:val="nil"/>
            </w:tcBorders>
            <w:shd w:val="clear" w:color="auto" w:fill="auto"/>
            <w:noWrap/>
            <w:vAlign w:val="bottom"/>
            <w:hideMark/>
          </w:tcPr>
          <w:p w14:paraId="3CCDE22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                  -   </w:t>
            </w:r>
          </w:p>
        </w:tc>
        <w:tc>
          <w:tcPr>
            <w:tcW w:w="2338" w:type="dxa"/>
            <w:tcBorders>
              <w:top w:val="nil"/>
              <w:left w:val="nil"/>
              <w:bottom w:val="nil"/>
              <w:right w:val="nil"/>
            </w:tcBorders>
            <w:shd w:val="clear" w:color="auto" w:fill="auto"/>
            <w:noWrap/>
            <w:vAlign w:val="bottom"/>
            <w:hideMark/>
          </w:tcPr>
          <w:p w14:paraId="416999A8"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bottom"/>
            <w:hideMark/>
          </w:tcPr>
          <w:p w14:paraId="0B38914F" w14:textId="77777777" w:rsidR="00D40091" w:rsidRPr="00D40091" w:rsidRDefault="00D40091" w:rsidP="00AA502F">
            <w:pPr>
              <w:spacing w:line="240" w:lineRule="auto"/>
              <w:rPr>
                <w:rFonts w:ascii="Arial" w:hAnsi="Arial" w:cs="Arial"/>
                <w:sz w:val="18"/>
                <w:szCs w:val="18"/>
              </w:rPr>
            </w:pPr>
          </w:p>
        </w:tc>
      </w:tr>
      <w:tr w:rsidR="00D40091" w:rsidRPr="00D40091" w14:paraId="0685622E" w14:textId="77777777" w:rsidTr="009A6FBD">
        <w:trPr>
          <w:trHeight w:val="315"/>
        </w:trPr>
        <w:tc>
          <w:tcPr>
            <w:tcW w:w="8919" w:type="dxa"/>
            <w:tcBorders>
              <w:top w:val="nil"/>
              <w:left w:val="nil"/>
              <w:bottom w:val="nil"/>
              <w:right w:val="nil"/>
            </w:tcBorders>
            <w:shd w:val="clear" w:color="000000" w:fill="FFFFFF"/>
            <w:noWrap/>
            <w:vAlign w:val="bottom"/>
            <w:hideMark/>
          </w:tcPr>
          <w:p w14:paraId="59F33F6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(Aquisição)Venda de </w:t>
            </w:r>
            <w:proofErr w:type="spellStart"/>
            <w:r w:rsidRPr="00D40091">
              <w:rPr>
                <w:rFonts w:ascii="Arial" w:hAnsi="Arial" w:cs="Arial"/>
                <w:color w:val="000000"/>
                <w:sz w:val="18"/>
                <w:szCs w:val="18"/>
              </w:rPr>
              <w:t>intangivel</w:t>
            </w:r>
            <w:proofErr w:type="spellEnd"/>
            <w:r w:rsidRPr="00D40091">
              <w:rPr>
                <w:rFonts w:ascii="Arial" w:hAnsi="Arial" w:cs="Arial"/>
                <w:color w:val="000000"/>
                <w:sz w:val="18"/>
                <w:szCs w:val="18"/>
              </w:rPr>
              <w:t xml:space="preserve"> </w:t>
            </w:r>
          </w:p>
        </w:tc>
        <w:tc>
          <w:tcPr>
            <w:tcW w:w="1251" w:type="dxa"/>
            <w:tcBorders>
              <w:top w:val="nil"/>
              <w:left w:val="nil"/>
              <w:bottom w:val="nil"/>
              <w:right w:val="nil"/>
            </w:tcBorders>
            <w:shd w:val="clear" w:color="000000" w:fill="FFFFFF"/>
            <w:noWrap/>
            <w:vAlign w:val="bottom"/>
            <w:hideMark/>
          </w:tcPr>
          <w:p w14:paraId="63D3525D"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12</w:t>
            </w:r>
          </w:p>
        </w:tc>
        <w:tc>
          <w:tcPr>
            <w:tcW w:w="2021" w:type="dxa"/>
            <w:tcBorders>
              <w:top w:val="nil"/>
              <w:left w:val="nil"/>
              <w:bottom w:val="nil"/>
              <w:right w:val="nil"/>
            </w:tcBorders>
            <w:shd w:val="clear" w:color="000000" w:fill="FFFFFF"/>
            <w:noWrap/>
            <w:vAlign w:val="bottom"/>
            <w:hideMark/>
          </w:tcPr>
          <w:p w14:paraId="3D0BA9B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(5.157)</w:t>
            </w:r>
          </w:p>
        </w:tc>
        <w:tc>
          <w:tcPr>
            <w:tcW w:w="1843" w:type="dxa"/>
            <w:tcBorders>
              <w:top w:val="nil"/>
              <w:left w:val="nil"/>
              <w:bottom w:val="nil"/>
              <w:right w:val="nil"/>
            </w:tcBorders>
            <w:shd w:val="clear" w:color="000000" w:fill="FFFFFF"/>
            <w:noWrap/>
            <w:vAlign w:val="bottom"/>
            <w:hideMark/>
          </w:tcPr>
          <w:p w14:paraId="037B2CA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          47.567 </w:t>
            </w:r>
          </w:p>
        </w:tc>
        <w:tc>
          <w:tcPr>
            <w:tcW w:w="2338" w:type="dxa"/>
            <w:tcBorders>
              <w:top w:val="nil"/>
              <w:left w:val="nil"/>
              <w:bottom w:val="nil"/>
              <w:right w:val="nil"/>
            </w:tcBorders>
            <w:shd w:val="clear" w:color="auto" w:fill="auto"/>
            <w:noWrap/>
            <w:vAlign w:val="bottom"/>
            <w:hideMark/>
          </w:tcPr>
          <w:p w14:paraId="276C9B3F"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0C8C898B" w14:textId="77777777" w:rsidR="00D40091" w:rsidRPr="00D40091" w:rsidRDefault="00D40091" w:rsidP="00AA502F">
            <w:pPr>
              <w:spacing w:line="240" w:lineRule="auto"/>
              <w:rPr>
                <w:rFonts w:ascii="Arial" w:hAnsi="Arial" w:cs="Arial"/>
                <w:sz w:val="18"/>
                <w:szCs w:val="18"/>
              </w:rPr>
            </w:pPr>
          </w:p>
        </w:tc>
      </w:tr>
      <w:tr w:rsidR="00D40091" w:rsidRPr="00D40091" w14:paraId="5D747E12" w14:textId="77777777" w:rsidTr="009A6FBD">
        <w:trPr>
          <w:trHeight w:val="315"/>
        </w:trPr>
        <w:tc>
          <w:tcPr>
            <w:tcW w:w="8919" w:type="dxa"/>
            <w:tcBorders>
              <w:top w:val="nil"/>
              <w:left w:val="nil"/>
              <w:bottom w:val="nil"/>
              <w:right w:val="nil"/>
            </w:tcBorders>
            <w:shd w:val="clear" w:color="000000" w:fill="F8F8F8"/>
            <w:noWrap/>
            <w:vAlign w:val="bottom"/>
            <w:hideMark/>
          </w:tcPr>
          <w:p w14:paraId="4614398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CAIXA UTILIZADO NAS ATIVIDADES DE INVESTIMENTOS</w:t>
            </w:r>
          </w:p>
        </w:tc>
        <w:tc>
          <w:tcPr>
            <w:tcW w:w="1251" w:type="dxa"/>
            <w:tcBorders>
              <w:top w:val="nil"/>
              <w:left w:val="nil"/>
              <w:bottom w:val="nil"/>
              <w:right w:val="nil"/>
            </w:tcBorders>
            <w:shd w:val="clear" w:color="000000" w:fill="F8F8F8"/>
            <w:noWrap/>
            <w:vAlign w:val="bottom"/>
            <w:hideMark/>
          </w:tcPr>
          <w:p w14:paraId="10EFE070"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8F8F8"/>
            <w:noWrap/>
            <w:vAlign w:val="bottom"/>
            <w:hideMark/>
          </w:tcPr>
          <w:p w14:paraId="5D81EDD8"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 xml:space="preserve">                 (5.157)</w:t>
            </w:r>
          </w:p>
        </w:tc>
        <w:tc>
          <w:tcPr>
            <w:tcW w:w="1843" w:type="dxa"/>
            <w:tcBorders>
              <w:top w:val="nil"/>
              <w:left w:val="nil"/>
              <w:bottom w:val="nil"/>
              <w:right w:val="nil"/>
            </w:tcBorders>
            <w:shd w:val="clear" w:color="000000" w:fill="F8F8F8"/>
            <w:noWrap/>
            <w:vAlign w:val="bottom"/>
            <w:hideMark/>
          </w:tcPr>
          <w:p w14:paraId="5C8E6A68"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 xml:space="preserve">          (47.567)</w:t>
            </w:r>
          </w:p>
        </w:tc>
        <w:tc>
          <w:tcPr>
            <w:tcW w:w="2338" w:type="dxa"/>
            <w:tcBorders>
              <w:top w:val="nil"/>
              <w:left w:val="nil"/>
              <w:bottom w:val="nil"/>
              <w:right w:val="nil"/>
            </w:tcBorders>
            <w:shd w:val="clear" w:color="auto" w:fill="auto"/>
            <w:noWrap/>
            <w:vAlign w:val="bottom"/>
            <w:hideMark/>
          </w:tcPr>
          <w:p w14:paraId="5E950A0C" w14:textId="77777777" w:rsidR="00D40091" w:rsidRPr="00D40091" w:rsidRDefault="00D40091" w:rsidP="00AA502F">
            <w:pPr>
              <w:spacing w:line="240" w:lineRule="auto"/>
              <w:rPr>
                <w:rFonts w:ascii="Arial" w:hAnsi="Arial" w:cs="Arial"/>
                <w:b/>
                <w:bCs/>
                <w:sz w:val="18"/>
                <w:szCs w:val="18"/>
                <w:u w:val="single"/>
              </w:rPr>
            </w:pPr>
          </w:p>
        </w:tc>
        <w:tc>
          <w:tcPr>
            <w:tcW w:w="160" w:type="dxa"/>
            <w:tcBorders>
              <w:top w:val="nil"/>
              <w:left w:val="nil"/>
              <w:bottom w:val="nil"/>
              <w:right w:val="nil"/>
            </w:tcBorders>
            <w:shd w:val="clear" w:color="auto" w:fill="auto"/>
            <w:noWrap/>
            <w:vAlign w:val="bottom"/>
            <w:hideMark/>
          </w:tcPr>
          <w:p w14:paraId="16AF4847" w14:textId="77777777" w:rsidR="00D40091" w:rsidRPr="00D40091" w:rsidRDefault="00D40091" w:rsidP="00AA502F">
            <w:pPr>
              <w:spacing w:line="240" w:lineRule="auto"/>
              <w:rPr>
                <w:rFonts w:ascii="Arial" w:hAnsi="Arial" w:cs="Arial"/>
                <w:sz w:val="18"/>
                <w:szCs w:val="18"/>
              </w:rPr>
            </w:pPr>
          </w:p>
        </w:tc>
      </w:tr>
      <w:tr w:rsidR="00D40091" w:rsidRPr="00D40091" w14:paraId="764A1A5E" w14:textId="77777777" w:rsidTr="009A6FBD">
        <w:trPr>
          <w:trHeight w:val="315"/>
        </w:trPr>
        <w:tc>
          <w:tcPr>
            <w:tcW w:w="8919" w:type="dxa"/>
            <w:tcBorders>
              <w:top w:val="nil"/>
              <w:left w:val="nil"/>
              <w:bottom w:val="nil"/>
              <w:right w:val="nil"/>
            </w:tcBorders>
            <w:shd w:val="clear" w:color="000000" w:fill="FFFFFF"/>
            <w:noWrap/>
            <w:vAlign w:val="bottom"/>
            <w:hideMark/>
          </w:tcPr>
          <w:p w14:paraId="59154DC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251" w:type="dxa"/>
            <w:tcBorders>
              <w:top w:val="nil"/>
              <w:left w:val="nil"/>
              <w:bottom w:val="nil"/>
              <w:right w:val="nil"/>
            </w:tcBorders>
            <w:shd w:val="clear" w:color="000000" w:fill="FFFFFF"/>
            <w:noWrap/>
            <w:vAlign w:val="bottom"/>
            <w:hideMark/>
          </w:tcPr>
          <w:p w14:paraId="2156CCCD"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FFFFF"/>
            <w:noWrap/>
            <w:vAlign w:val="bottom"/>
            <w:hideMark/>
          </w:tcPr>
          <w:p w14:paraId="19FB9CB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843" w:type="dxa"/>
            <w:tcBorders>
              <w:top w:val="nil"/>
              <w:left w:val="nil"/>
              <w:bottom w:val="nil"/>
              <w:right w:val="nil"/>
            </w:tcBorders>
            <w:shd w:val="clear" w:color="000000" w:fill="FFFFFF"/>
            <w:noWrap/>
            <w:vAlign w:val="bottom"/>
            <w:hideMark/>
          </w:tcPr>
          <w:p w14:paraId="64B7832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2338" w:type="dxa"/>
            <w:tcBorders>
              <w:top w:val="nil"/>
              <w:left w:val="nil"/>
              <w:bottom w:val="nil"/>
              <w:right w:val="nil"/>
            </w:tcBorders>
            <w:shd w:val="clear" w:color="auto" w:fill="auto"/>
            <w:noWrap/>
            <w:vAlign w:val="bottom"/>
            <w:hideMark/>
          </w:tcPr>
          <w:p w14:paraId="6F2E4561" w14:textId="77777777" w:rsidR="00D40091" w:rsidRPr="00D40091" w:rsidRDefault="00D40091" w:rsidP="00AA502F">
            <w:pPr>
              <w:spacing w:line="240" w:lineRule="auto"/>
              <w:rPr>
                <w:rFonts w:ascii="Arial" w:hAnsi="Arial" w:cs="Arial"/>
                <w:b/>
                <w:bCs/>
                <w:color w:val="000000"/>
                <w:sz w:val="18"/>
                <w:szCs w:val="18"/>
              </w:rPr>
            </w:pPr>
          </w:p>
        </w:tc>
        <w:tc>
          <w:tcPr>
            <w:tcW w:w="160" w:type="dxa"/>
            <w:tcBorders>
              <w:top w:val="nil"/>
              <w:left w:val="nil"/>
              <w:bottom w:val="nil"/>
              <w:right w:val="nil"/>
            </w:tcBorders>
            <w:shd w:val="clear" w:color="auto" w:fill="auto"/>
            <w:noWrap/>
            <w:vAlign w:val="center"/>
            <w:hideMark/>
          </w:tcPr>
          <w:p w14:paraId="5D288383" w14:textId="77777777" w:rsidR="00D40091" w:rsidRPr="00D40091" w:rsidRDefault="00D40091" w:rsidP="00AA502F">
            <w:pPr>
              <w:spacing w:line="240" w:lineRule="auto"/>
              <w:rPr>
                <w:rFonts w:ascii="Arial" w:hAnsi="Arial" w:cs="Arial"/>
                <w:sz w:val="18"/>
                <w:szCs w:val="18"/>
              </w:rPr>
            </w:pPr>
          </w:p>
        </w:tc>
      </w:tr>
      <w:tr w:rsidR="00D40091" w:rsidRPr="00D40091" w14:paraId="59C9DCAF" w14:textId="77777777" w:rsidTr="009A6FBD">
        <w:trPr>
          <w:trHeight w:val="315"/>
        </w:trPr>
        <w:tc>
          <w:tcPr>
            <w:tcW w:w="8919" w:type="dxa"/>
            <w:tcBorders>
              <w:top w:val="nil"/>
              <w:left w:val="nil"/>
              <w:bottom w:val="nil"/>
              <w:right w:val="nil"/>
            </w:tcBorders>
            <w:shd w:val="clear" w:color="000000" w:fill="F2F2F2"/>
            <w:noWrap/>
            <w:vAlign w:val="bottom"/>
            <w:hideMark/>
          </w:tcPr>
          <w:p w14:paraId="13E289ED"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FLUXO DE CAIXA DAS ATIVIDADES DE FINANCIAMENTO</w:t>
            </w:r>
          </w:p>
        </w:tc>
        <w:tc>
          <w:tcPr>
            <w:tcW w:w="1251" w:type="dxa"/>
            <w:tcBorders>
              <w:top w:val="nil"/>
              <w:left w:val="nil"/>
              <w:bottom w:val="nil"/>
              <w:right w:val="nil"/>
            </w:tcBorders>
            <w:shd w:val="clear" w:color="000000" w:fill="F2F2F2"/>
            <w:noWrap/>
            <w:vAlign w:val="bottom"/>
            <w:hideMark/>
          </w:tcPr>
          <w:p w14:paraId="74D213A6"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2F2F2"/>
            <w:noWrap/>
            <w:vAlign w:val="bottom"/>
            <w:hideMark/>
          </w:tcPr>
          <w:p w14:paraId="3A48BD3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843" w:type="dxa"/>
            <w:tcBorders>
              <w:top w:val="nil"/>
              <w:left w:val="nil"/>
              <w:bottom w:val="nil"/>
              <w:right w:val="nil"/>
            </w:tcBorders>
            <w:shd w:val="clear" w:color="000000" w:fill="F2F2F2"/>
            <w:noWrap/>
            <w:vAlign w:val="bottom"/>
            <w:hideMark/>
          </w:tcPr>
          <w:p w14:paraId="1390C9C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2338" w:type="dxa"/>
            <w:tcBorders>
              <w:top w:val="nil"/>
              <w:left w:val="nil"/>
              <w:bottom w:val="nil"/>
              <w:right w:val="nil"/>
            </w:tcBorders>
            <w:shd w:val="clear" w:color="auto" w:fill="auto"/>
            <w:noWrap/>
            <w:vAlign w:val="bottom"/>
            <w:hideMark/>
          </w:tcPr>
          <w:p w14:paraId="349940AA" w14:textId="77777777" w:rsidR="00D40091" w:rsidRPr="00D40091" w:rsidRDefault="00D40091" w:rsidP="00AA502F">
            <w:pPr>
              <w:spacing w:line="240" w:lineRule="auto"/>
              <w:rPr>
                <w:rFonts w:ascii="Arial" w:hAnsi="Arial" w:cs="Arial"/>
                <w:b/>
                <w:bCs/>
                <w:color w:val="000000"/>
                <w:sz w:val="18"/>
                <w:szCs w:val="18"/>
              </w:rPr>
            </w:pPr>
          </w:p>
        </w:tc>
        <w:tc>
          <w:tcPr>
            <w:tcW w:w="160" w:type="dxa"/>
            <w:tcBorders>
              <w:top w:val="nil"/>
              <w:left w:val="nil"/>
              <w:bottom w:val="nil"/>
              <w:right w:val="nil"/>
            </w:tcBorders>
            <w:shd w:val="clear" w:color="auto" w:fill="auto"/>
            <w:noWrap/>
            <w:vAlign w:val="center"/>
            <w:hideMark/>
          </w:tcPr>
          <w:p w14:paraId="76529923" w14:textId="77777777" w:rsidR="00D40091" w:rsidRPr="00D40091" w:rsidRDefault="00D40091" w:rsidP="00AA502F">
            <w:pPr>
              <w:spacing w:line="240" w:lineRule="auto"/>
              <w:rPr>
                <w:rFonts w:ascii="Arial" w:hAnsi="Arial" w:cs="Arial"/>
                <w:sz w:val="18"/>
                <w:szCs w:val="18"/>
              </w:rPr>
            </w:pPr>
          </w:p>
        </w:tc>
      </w:tr>
      <w:tr w:rsidR="00D40091" w:rsidRPr="00D40091" w14:paraId="5820D6C8" w14:textId="77777777" w:rsidTr="009A6FBD">
        <w:trPr>
          <w:trHeight w:val="315"/>
        </w:trPr>
        <w:tc>
          <w:tcPr>
            <w:tcW w:w="8919" w:type="dxa"/>
            <w:tcBorders>
              <w:top w:val="nil"/>
              <w:left w:val="nil"/>
              <w:bottom w:val="nil"/>
              <w:right w:val="nil"/>
            </w:tcBorders>
            <w:shd w:val="clear" w:color="000000" w:fill="FFFFFF"/>
            <w:noWrap/>
            <w:vAlign w:val="bottom"/>
            <w:hideMark/>
          </w:tcPr>
          <w:p w14:paraId="302400E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xml:space="preserve">Dividendos </w:t>
            </w:r>
            <w:proofErr w:type="spellStart"/>
            <w:r w:rsidRPr="00D40091">
              <w:rPr>
                <w:rFonts w:ascii="Arial" w:hAnsi="Arial" w:cs="Arial"/>
                <w:color w:val="000000"/>
                <w:sz w:val="18"/>
                <w:szCs w:val="18"/>
              </w:rPr>
              <w:t>Distribuidos</w:t>
            </w:r>
            <w:proofErr w:type="spellEnd"/>
          </w:p>
        </w:tc>
        <w:tc>
          <w:tcPr>
            <w:tcW w:w="1251" w:type="dxa"/>
            <w:tcBorders>
              <w:top w:val="nil"/>
              <w:left w:val="nil"/>
              <w:bottom w:val="nil"/>
              <w:right w:val="nil"/>
            </w:tcBorders>
            <w:shd w:val="clear" w:color="000000" w:fill="FFFFFF"/>
            <w:noWrap/>
            <w:vAlign w:val="bottom"/>
            <w:hideMark/>
          </w:tcPr>
          <w:p w14:paraId="7043D49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753F9EE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   </w:t>
            </w:r>
          </w:p>
        </w:tc>
        <w:tc>
          <w:tcPr>
            <w:tcW w:w="1843" w:type="dxa"/>
            <w:tcBorders>
              <w:top w:val="nil"/>
              <w:left w:val="nil"/>
              <w:bottom w:val="nil"/>
              <w:right w:val="nil"/>
            </w:tcBorders>
            <w:shd w:val="clear" w:color="000000" w:fill="FFFFFF"/>
            <w:noWrap/>
            <w:vAlign w:val="bottom"/>
            <w:hideMark/>
          </w:tcPr>
          <w:p w14:paraId="24C04CC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(6.714.588)</w:t>
            </w:r>
          </w:p>
        </w:tc>
        <w:tc>
          <w:tcPr>
            <w:tcW w:w="2338" w:type="dxa"/>
            <w:tcBorders>
              <w:top w:val="nil"/>
              <w:left w:val="nil"/>
              <w:bottom w:val="nil"/>
              <w:right w:val="nil"/>
            </w:tcBorders>
            <w:shd w:val="clear" w:color="auto" w:fill="auto"/>
            <w:noWrap/>
            <w:vAlign w:val="bottom"/>
            <w:hideMark/>
          </w:tcPr>
          <w:p w14:paraId="004F2D91"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7893C606" w14:textId="77777777" w:rsidR="00D40091" w:rsidRPr="00D40091" w:rsidRDefault="00D40091" w:rsidP="00AA502F">
            <w:pPr>
              <w:spacing w:line="240" w:lineRule="auto"/>
              <w:rPr>
                <w:rFonts w:ascii="Arial" w:hAnsi="Arial" w:cs="Arial"/>
                <w:sz w:val="18"/>
                <w:szCs w:val="18"/>
              </w:rPr>
            </w:pPr>
          </w:p>
        </w:tc>
      </w:tr>
      <w:tr w:rsidR="00D40091" w:rsidRPr="00D40091" w14:paraId="565451BC" w14:textId="77777777" w:rsidTr="009A6FBD">
        <w:trPr>
          <w:trHeight w:val="315"/>
        </w:trPr>
        <w:tc>
          <w:tcPr>
            <w:tcW w:w="8919" w:type="dxa"/>
            <w:tcBorders>
              <w:top w:val="nil"/>
              <w:left w:val="nil"/>
              <w:bottom w:val="nil"/>
              <w:right w:val="nil"/>
            </w:tcBorders>
            <w:shd w:val="clear" w:color="000000" w:fill="F8F8F8"/>
            <w:noWrap/>
            <w:vAlign w:val="bottom"/>
            <w:hideMark/>
          </w:tcPr>
          <w:p w14:paraId="7EDC8F9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CAIXA LÍQUIDO UTILIZADO NAS ATIVIDADES DE FINANCIAMENTO</w:t>
            </w:r>
          </w:p>
        </w:tc>
        <w:tc>
          <w:tcPr>
            <w:tcW w:w="1251" w:type="dxa"/>
            <w:tcBorders>
              <w:top w:val="nil"/>
              <w:left w:val="nil"/>
              <w:bottom w:val="nil"/>
              <w:right w:val="nil"/>
            </w:tcBorders>
            <w:shd w:val="clear" w:color="000000" w:fill="F8F8F8"/>
            <w:noWrap/>
            <w:vAlign w:val="bottom"/>
            <w:hideMark/>
          </w:tcPr>
          <w:p w14:paraId="6E7DAB5C"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8F8F8"/>
            <w:noWrap/>
            <w:vAlign w:val="bottom"/>
            <w:hideMark/>
          </w:tcPr>
          <w:p w14:paraId="6623CD0C"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 xml:space="preserve">                       -   </w:t>
            </w:r>
          </w:p>
        </w:tc>
        <w:tc>
          <w:tcPr>
            <w:tcW w:w="1843" w:type="dxa"/>
            <w:tcBorders>
              <w:top w:val="nil"/>
              <w:left w:val="nil"/>
              <w:bottom w:val="nil"/>
              <w:right w:val="nil"/>
            </w:tcBorders>
            <w:shd w:val="clear" w:color="000000" w:fill="F8F8F8"/>
            <w:noWrap/>
            <w:vAlign w:val="bottom"/>
            <w:hideMark/>
          </w:tcPr>
          <w:p w14:paraId="067E4378" w14:textId="77777777" w:rsidR="00D40091" w:rsidRPr="00D40091" w:rsidRDefault="00D40091" w:rsidP="00AA502F">
            <w:pPr>
              <w:spacing w:line="240" w:lineRule="auto"/>
              <w:rPr>
                <w:rFonts w:ascii="Arial" w:hAnsi="Arial" w:cs="Arial"/>
                <w:b/>
                <w:bCs/>
                <w:sz w:val="18"/>
                <w:szCs w:val="18"/>
                <w:u w:val="single"/>
              </w:rPr>
            </w:pPr>
            <w:r w:rsidRPr="00D40091">
              <w:rPr>
                <w:rFonts w:ascii="Arial" w:hAnsi="Arial" w:cs="Arial"/>
                <w:b/>
                <w:bCs/>
                <w:sz w:val="18"/>
                <w:szCs w:val="18"/>
                <w:u w:val="single"/>
              </w:rPr>
              <w:t xml:space="preserve">     (6.714.588)</w:t>
            </w:r>
          </w:p>
        </w:tc>
        <w:tc>
          <w:tcPr>
            <w:tcW w:w="2338" w:type="dxa"/>
            <w:tcBorders>
              <w:top w:val="nil"/>
              <w:left w:val="nil"/>
              <w:bottom w:val="nil"/>
              <w:right w:val="nil"/>
            </w:tcBorders>
            <w:shd w:val="clear" w:color="auto" w:fill="auto"/>
            <w:noWrap/>
            <w:vAlign w:val="bottom"/>
            <w:hideMark/>
          </w:tcPr>
          <w:p w14:paraId="34EEFA9B" w14:textId="77777777" w:rsidR="00D40091" w:rsidRPr="00D40091" w:rsidRDefault="00D40091" w:rsidP="00AA502F">
            <w:pPr>
              <w:spacing w:line="240" w:lineRule="auto"/>
              <w:rPr>
                <w:rFonts w:ascii="Arial" w:hAnsi="Arial" w:cs="Arial"/>
                <w:b/>
                <w:bCs/>
                <w:sz w:val="18"/>
                <w:szCs w:val="18"/>
                <w:u w:val="single"/>
              </w:rPr>
            </w:pPr>
          </w:p>
        </w:tc>
        <w:tc>
          <w:tcPr>
            <w:tcW w:w="160" w:type="dxa"/>
            <w:tcBorders>
              <w:top w:val="nil"/>
              <w:left w:val="nil"/>
              <w:bottom w:val="nil"/>
              <w:right w:val="nil"/>
            </w:tcBorders>
            <w:shd w:val="clear" w:color="auto" w:fill="auto"/>
            <w:noWrap/>
            <w:vAlign w:val="bottom"/>
            <w:hideMark/>
          </w:tcPr>
          <w:p w14:paraId="4F10E5FF" w14:textId="77777777" w:rsidR="00D40091" w:rsidRPr="00D40091" w:rsidRDefault="00D40091" w:rsidP="00AA502F">
            <w:pPr>
              <w:spacing w:line="240" w:lineRule="auto"/>
              <w:rPr>
                <w:rFonts w:ascii="Arial" w:hAnsi="Arial" w:cs="Arial"/>
                <w:sz w:val="18"/>
                <w:szCs w:val="18"/>
              </w:rPr>
            </w:pPr>
          </w:p>
        </w:tc>
      </w:tr>
      <w:tr w:rsidR="00D40091" w:rsidRPr="00D40091" w14:paraId="639C5555" w14:textId="77777777" w:rsidTr="009A6FBD">
        <w:trPr>
          <w:trHeight w:val="315"/>
        </w:trPr>
        <w:tc>
          <w:tcPr>
            <w:tcW w:w="8919" w:type="dxa"/>
            <w:tcBorders>
              <w:top w:val="nil"/>
              <w:left w:val="nil"/>
              <w:bottom w:val="nil"/>
              <w:right w:val="nil"/>
            </w:tcBorders>
            <w:shd w:val="clear" w:color="000000" w:fill="FFFFFF"/>
            <w:noWrap/>
            <w:vAlign w:val="bottom"/>
            <w:hideMark/>
          </w:tcPr>
          <w:p w14:paraId="7BD07AE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251" w:type="dxa"/>
            <w:tcBorders>
              <w:top w:val="nil"/>
              <w:left w:val="nil"/>
              <w:bottom w:val="nil"/>
              <w:right w:val="nil"/>
            </w:tcBorders>
            <w:shd w:val="clear" w:color="000000" w:fill="FFFFFF"/>
            <w:noWrap/>
            <w:vAlign w:val="bottom"/>
            <w:hideMark/>
          </w:tcPr>
          <w:p w14:paraId="0808C9F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2021" w:type="dxa"/>
            <w:tcBorders>
              <w:top w:val="nil"/>
              <w:left w:val="nil"/>
              <w:bottom w:val="nil"/>
              <w:right w:val="nil"/>
            </w:tcBorders>
            <w:shd w:val="clear" w:color="000000" w:fill="FFFFFF"/>
            <w:noWrap/>
            <w:vAlign w:val="bottom"/>
            <w:hideMark/>
          </w:tcPr>
          <w:p w14:paraId="5437CF2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843" w:type="dxa"/>
            <w:tcBorders>
              <w:top w:val="nil"/>
              <w:left w:val="nil"/>
              <w:bottom w:val="nil"/>
              <w:right w:val="nil"/>
            </w:tcBorders>
            <w:shd w:val="clear" w:color="000000" w:fill="FFFFFF"/>
            <w:noWrap/>
            <w:vAlign w:val="bottom"/>
            <w:hideMark/>
          </w:tcPr>
          <w:p w14:paraId="7C12281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2338" w:type="dxa"/>
            <w:tcBorders>
              <w:top w:val="nil"/>
              <w:left w:val="nil"/>
              <w:bottom w:val="nil"/>
              <w:right w:val="nil"/>
            </w:tcBorders>
            <w:shd w:val="clear" w:color="auto" w:fill="auto"/>
            <w:noWrap/>
            <w:vAlign w:val="bottom"/>
            <w:hideMark/>
          </w:tcPr>
          <w:p w14:paraId="5F99B56D" w14:textId="77777777" w:rsidR="00D40091" w:rsidRPr="00D40091" w:rsidRDefault="00D40091" w:rsidP="00AA502F">
            <w:pPr>
              <w:spacing w:line="240" w:lineRule="auto"/>
              <w:rPr>
                <w:rFonts w:ascii="Arial" w:hAnsi="Arial" w:cs="Arial"/>
                <w:color w:val="000000"/>
                <w:sz w:val="18"/>
                <w:szCs w:val="18"/>
              </w:rPr>
            </w:pPr>
          </w:p>
        </w:tc>
        <w:tc>
          <w:tcPr>
            <w:tcW w:w="160" w:type="dxa"/>
            <w:tcBorders>
              <w:top w:val="nil"/>
              <w:left w:val="nil"/>
              <w:bottom w:val="nil"/>
              <w:right w:val="nil"/>
            </w:tcBorders>
            <w:shd w:val="clear" w:color="auto" w:fill="auto"/>
            <w:noWrap/>
            <w:vAlign w:val="center"/>
            <w:hideMark/>
          </w:tcPr>
          <w:p w14:paraId="26D20F29" w14:textId="77777777" w:rsidR="00D40091" w:rsidRPr="00D40091" w:rsidRDefault="00D40091" w:rsidP="00AA502F">
            <w:pPr>
              <w:spacing w:line="240" w:lineRule="auto"/>
              <w:rPr>
                <w:rFonts w:ascii="Arial" w:hAnsi="Arial" w:cs="Arial"/>
                <w:sz w:val="18"/>
                <w:szCs w:val="18"/>
              </w:rPr>
            </w:pPr>
          </w:p>
        </w:tc>
      </w:tr>
      <w:tr w:rsidR="00D40091" w:rsidRPr="00D40091" w14:paraId="33EB32B6" w14:textId="77777777" w:rsidTr="009A6FBD">
        <w:trPr>
          <w:trHeight w:val="315"/>
        </w:trPr>
        <w:tc>
          <w:tcPr>
            <w:tcW w:w="8919" w:type="dxa"/>
            <w:tcBorders>
              <w:top w:val="nil"/>
              <w:left w:val="nil"/>
              <w:bottom w:val="nil"/>
              <w:right w:val="nil"/>
            </w:tcBorders>
            <w:shd w:val="clear" w:color="000000" w:fill="F8F8F8"/>
            <w:noWrap/>
            <w:vAlign w:val="bottom"/>
            <w:hideMark/>
          </w:tcPr>
          <w:p w14:paraId="7F829BFB"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AUMENTO/REDUÇÃO DE CAIXA E EQUIVALENTES DE CAIXA</w:t>
            </w:r>
          </w:p>
        </w:tc>
        <w:tc>
          <w:tcPr>
            <w:tcW w:w="1251" w:type="dxa"/>
            <w:tcBorders>
              <w:top w:val="nil"/>
              <w:left w:val="nil"/>
              <w:bottom w:val="nil"/>
              <w:right w:val="nil"/>
            </w:tcBorders>
            <w:shd w:val="clear" w:color="000000" w:fill="F8F8F8"/>
            <w:noWrap/>
            <w:vAlign w:val="bottom"/>
            <w:hideMark/>
          </w:tcPr>
          <w:p w14:paraId="50A6E0EC"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8F8F8"/>
            <w:noWrap/>
            <w:vAlign w:val="bottom"/>
            <w:hideMark/>
          </w:tcPr>
          <w:p w14:paraId="2D0F9793" w14:textId="77777777" w:rsidR="00D40091" w:rsidRPr="00D40091" w:rsidRDefault="00D40091" w:rsidP="00AA502F">
            <w:pPr>
              <w:spacing w:line="240" w:lineRule="auto"/>
              <w:rPr>
                <w:rFonts w:ascii="Arial" w:hAnsi="Arial" w:cs="Arial"/>
                <w:sz w:val="18"/>
                <w:szCs w:val="18"/>
                <w:u w:val="single"/>
              </w:rPr>
            </w:pPr>
            <w:r w:rsidRPr="00D40091">
              <w:rPr>
                <w:rFonts w:ascii="Arial" w:hAnsi="Arial" w:cs="Arial"/>
                <w:sz w:val="18"/>
                <w:szCs w:val="18"/>
                <w:u w:val="single"/>
              </w:rPr>
              <w:t xml:space="preserve">            3.188.479 </w:t>
            </w:r>
          </w:p>
        </w:tc>
        <w:tc>
          <w:tcPr>
            <w:tcW w:w="1843" w:type="dxa"/>
            <w:tcBorders>
              <w:top w:val="nil"/>
              <w:left w:val="nil"/>
              <w:bottom w:val="nil"/>
              <w:right w:val="nil"/>
            </w:tcBorders>
            <w:shd w:val="clear" w:color="000000" w:fill="F8F8F8"/>
            <w:noWrap/>
            <w:vAlign w:val="bottom"/>
            <w:hideMark/>
          </w:tcPr>
          <w:p w14:paraId="4A36B413" w14:textId="77777777" w:rsidR="00D40091" w:rsidRPr="00D40091" w:rsidRDefault="00D40091" w:rsidP="00AA502F">
            <w:pPr>
              <w:spacing w:line="240" w:lineRule="auto"/>
              <w:rPr>
                <w:rFonts w:ascii="Arial" w:hAnsi="Arial" w:cs="Arial"/>
                <w:sz w:val="18"/>
                <w:szCs w:val="18"/>
                <w:u w:val="single"/>
              </w:rPr>
            </w:pPr>
            <w:r w:rsidRPr="00D40091">
              <w:rPr>
                <w:rFonts w:ascii="Arial" w:hAnsi="Arial" w:cs="Arial"/>
                <w:sz w:val="18"/>
                <w:szCs w:val="18"/>
                <w:u w:val="single"/>
              </w:rPr>
              <w:t xml:space="preserve">     (3.766.062)</w:t>
            </w:r>
          </w:p>
        </w:tc>
        <w:tc>
          <w:tcPr>
            <w:tcW w:w="2338" w:type="dxa"/>
            <w:tcBorders>
              <w:top w:val="nil"/>
              <w:left w:val="nil"/>
              <w:bottom w:val="nil"/>
              <w:right w:val="nil"/>
            </w:tcBorders>
            <w:shd w:val="clear" w:color="auto" w:fill="auto"/>
            <w:noWrap/>
            <w:vAlign w:val="bottom"/>
            <w:hideMark/>
          </w:tcPr>
          <w:p w14:paraId="2FA7164B" w14:textId="77777777" w:rsidR="00D40091" w:rsidRPr="00D40091" w:rsidRDefault="00D40091" w:rsidP="00AA502F">
            <w:pPr>
              <w:spacing w:line="240" w:lineRule="auto"/>
              <w:rPr>
                <w:rFonts w:ascii="Arial" w:hAnsi="Arial" w:cs="Arial"/>
                <w:sz w:val="18"/>
                <w:szCs w:val="18"/>
                <w:u w:val="single"/>
              </w:rPr>
            </w:pPr>
          </w:p>
        </w:tc>
        <w:tc>
          <w:tcPr>
            <w:tcW w:w="160" w:type="dxa"/>
            <w:tcBorders>
              <w:top w:val="nil"/>
              <w:left w:val="nil"/>
              <w:bottom w:val="nil"/>
              <w:right w:val="nil"/>
            </w:tcBorders>
            <w:shd w:val="clear" w:color="auto" w:fill="auto"/>
            <w:noWrap/>
            <w:vAlign w:val="center"/>
            <w:hideMark/>
          </w:tcPr>
          <w:p w14:paraId="380F0979" w14:textId="77777777" w:rsidR="00D40091" w:rsidRPr="00D40091" w:rsidRDefault="00D40091" w:rsidP="00AA502F">
            <w:pPr>
              <w:spacing w:line="240" w:lineRule="auto"/>
              <w:rPr>
                <w:rFonts w:ascii="Arial" w:hAnsi="Arial" w:cs="Arial"/>
                <w:sz w:val="18"/>
                <w:szCs w:val="18"/>
              </w:rPr>
            </w:pPr>
          </w:p>
        </w:tc>
      </w:tr>
      <w:tr w:rsidR="00D40091" w:rsidRPr="00D40091" w14:paraId="27BE3457" w14:textId="77777777" w:rsidTr="009A6FBD">
        <w:trPr>
          <w:trHeight w:val="255"/>
        </w:trPr>
        <w:tc>
          <w:tcPr>
            <w:tcW w:w="8919" w:type="dxa"/>
            <w:tcBorders>
              <w:top w:val="nil"/>
              <w:left w:val="nil"/>
              <w:bottom w:val="nil"/>
              <w:right w:val="nil"/>
            </w:tcBorders>
            <w:shd w:val="clear" w:color="000000" w:fill="FFFFFF"/>
            <w:noWrap/>
            <w:vAlign w:val="bottom"/>
            <w:hideMark/>
          </w:tcPr>
          <w:p w14:paraId="61053C1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251" w:type="dxa"/>
            <w:tcBorders>
              <w:top w:val="nil"/>
              <w:left w:val="nil"/>
              <w:bottom w:val="nil"/>
              <w:right w:val="nil"/>
            </w:tcBorders>
            <w:shd w:val="clear" w:color="000000" w:fill="FFFFFF"/>
            <w:noWrap/>
            <w:vAlign w:val="bottom"/>
            <w:hideMark/>
          </w:tcPr>
          <w:p w14:paraId="20DF459A"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FFFFF"/>
            <w:noWrap/>
            <w:vAlign w:val="bottom"/>
            <w:hideMark/>
          </w:tcPr>
          <w:p w14:paraId="307DF977"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843" w:type="dxa"/>
            <w:tcBorders>
              <w:top w:val="nil"/>
              <w:left w:val="nil"/>
              <w:bottom w:val="nil"/>
              <w:right w:val="nil"/>
            </w:tcBorders>
            <w:shd w:val="clear" w:color="000000" w:fill="FFFFFF"/>
            <w:noWrap/>
            <w:vAlign w:val="bottom"/>
            <w:hideMark/>
          </w:tcPr>
          <w:p w14:paraId="6BD81FDF"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2338" w:type="dxa"/>
            <w:tcBorders>
              <w:top w:val="nil"/>
              <w:left w:val="nil"/>
              <w:bottom w:val="nil"/>
              <w:right w:val="nil"/>
            </w:tcBorders>
            <w:shd w:val="clear" w:color="auto" w:fill="auto"/>
            <w:noWrap/>
            <w:vAlign w:val="bottom"/>
            <w:hideMark/>
          </w:tcPr>
          <w:p w14:paraId="5D4B9F74" w14:textId="77777777" w:rsidR="00D40091" w:rsidRPr="00D40091" w:rsidRDefault="00D40091" w:rsidP="00AA502F">
            <w:pPr>
              <w:spacing w:line="240" w:lineRule="auto"/>
              <w:rPr>
                <w:rFonts w:ascii="Arial" w:hAnsi="Arial" w:cs="Arial"/>
                <w:b/>
                <w:bCs/>
                <w:color w:val="000000"/>
                <w:sz w:val="18"/>
                <w:szCs w:val="18"/>
              </w:rPr>
            </w:pPr>
          </w:p>
        </w:tc>
        <w:tc>
          <w:tcPr>
            <w:tcW w:w="160" w:type="dxa"/>
            <w:tcBorders>
              <w:top w:val="nil"/>
              <w:left w:val="nil"/>
              <w:bottom w:val="nil"/>
              <w:right w:val="nil"/>
            </w:tcBorders>
            <w:shd w:val="clear" w:color="auto" w:fill="auto"/>
            <w:noWrap/>
            <w:vAlign w:val="center"/>
            <w:hideMark/>
          </w:tcPr>
          <w:p w14:paraId="3930FF48" w14:textId="77777777" w:rsidR="00D40091" w:rsidRPr="00D40091" w:rsidRDefault="00D40091" w:rsidP="00AA502F">
            <w:pPr>
              <w:spacing w:line="240" w:lineRule="auto"/>
              <w:rPr>
                <w:rFonts w:ascii="Arial" w:hAnsi="Arial" w:cs="Arial"/>
                <w:sz w:val="18"/>
                <w:szCs w:val="18"/>
              </w:rPr>
            </w:pPr>
          </w:p>
        </w:tc>
      </w:tr>
      <w:tr w:rsidR="00D40091" w:rsidRPr="00D40091" w14:paraId="28B85F6B" w14:textId="77777777" w:rsidTr="009A6FBD">
        <w:trPr>
          <w:trHeight w:val="255"/>
        </w:trPr>
        <w:tc>
          <w:tcPr>
            <w:tcW w:w="8919" w:type="dxa"/>
            <w:tcBorders>
              <w:top w:val="nil"/>
              <w:left w:val="nil"/>
              <w:bottom w:val="nil"/>
              <w:right w:val="nil"/>
            </w:tcBorders>
            <w:shd w:val="clear" w:color="000000" w:fill="FFFFFF"/>
            <w:noWrap/>
            <w:vAlign w:val="bottom"/>
            <w:hideMark/>
          </w:tcPr>
          <w:p w14:paraId="46EAB68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CAIXA E EQUIVALENTES DE CAIXA NO INÍCIO DO PERÍODO</w:t>
            </w:r>
          </w:p>
        </w:tc>
        <w:tc>
          <w:tcPr>
            <w:tcW w:w="1251" w:type="dxa"/>
            <w:tcBorders>
              <w:top w:val="nil"/>
              <w:left w:val="nil"/>
              <w:bottom w:val="nil"/>
              <w:right w:val="nil"/>
            </w:tcBorders>
            <w:shd w:val="clear" w:color="000000" w:fill="FFFFFF"/>
            <w:noWrap/>
            <w:vAlign w:val="bottom"/>
            <w:hideMark/>
          </w:tcPr>
          <w:p w14:paraId="35688F51"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FFFFF"/>
            <w:noWrap/>
            <w:vAlign w:val="bottom"/>
            <w:hideMark/>
          </w:tcPr>
          <w:p w14:paraId="074ED41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4.174.397 </w:t>
            </w:r>
          </w:p>
        </w:tc>
        <w:tc>
          <w:tcPr>
            <w:tcW w:w="1843" w:type="dxa"/>
            <w:tcBorders>
              <w:top w:val="nil"/>
              <w:left w:val="nil"/>
              <w:bottom w:val="nil"/>
              <w:right w:val="nil"/>
            </w:tcBorders>
            <w:shd w:val="clear" w:color="000000" w:fill="FFFFFF"/>
            <w:noWrap/>
            <w:vAlign w:val="bottom"/>
            <w:hideMark/>
          </w:tcPr>
          <w:p w14:paraId="762B630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7.940.459 </w:t>
            </w:r>
          </w:p>
        </w:tc>
        <w:tc>
          <w:tcPr>
            <w:tcW w:w="2338" w:type="dxa"/>
            <w:tcBorders>
              <w:top w:val="nil"/>
              <w:left w:val="nil"/>
              <w:bottom w:val="nil"/>
              <w:right w:val="nil"/>
            </w:tcBorders>
            <w:shd w:val="clear" w:color="auto" w:fill="auto"/>
            <w:noWrap/>
            <w:vAlign w:val="bottom"/>
            <w:hideMark/>
          </w:tcPr>
          <w:p w14:paraId="7981DF5F"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66340C4" w14:textId="77777777" w:rsidR="00D40091" w:rsidRPr="00D40091" w:rsidRDefault="00D40091" w:rsidP="00AA502F">
            <w:pPr>
              <w:spacing w:line="240" w:lineRule="auto"/>
              <w:rPr>
                <w:rFonts w:ascii="Arial" w:hAnsi="Arial" w:cs="Arial"/>
                <w:sz w:val="18"/>
                <w:szCs w:val="18"/>
              </w:rPr>
            </w:pPr>
          </w:p>
        </w:tc>
      </w:tr>
      <w:tr w:rsidR="00D40091" w:rsidRPr="00D40091" w14:paraId="1FFB7C9C" w14:textId="77777777" w:rsidTr="009A6FBD">
        <w:trPr>
          <w:trHeight w:val="255"/>
        </w:trPr>
        <w:tc>
          <w:tcPr>
            <w:tcW w:w="8919" w:type="dxa"/>
            <w:tcBorders>
              <w:top w:val="nil"/>
              <w:left w:val="nil"/>
              <w:bottom w:val="nil"/>
              <w:right w:val="nil"/>
            </w:tcBorders>
            <w:shd w:val="clear" w:color="000000" w:fill="FFFFFF"/>
            <w:noWrap/>
            <w:vAlign w:val="bottom"/>
            <w:hideMark/>
          </w:tcPr>
          <w:p w14:paraId="443158E6"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CAIXA E EQUIVALENTES DE CAIXA NO FINAL DO PERÍODO</w:t>
            </w:r>
          </w:p>
        </w:tc>
        <w:tc>
          <w:tcPr>
            <w:tcW w:w="1251" w:type="dxa"/>
            <w:tcBorders>
              <w:top w:val="nil"/>
              <w:left w:val="nil"/>
              <w:bottom w:val="nil"/>
              <w:right w:val="nil"/>
            </w:tcBorders>
            <w:shd w:val="clear" w:color="000000" w:fill="FFFFFF"/>
            <w:noWrap/>
            <w:vAlign w:val="bottom"/>
            <w:hideMark/>
          </w:tcPr>
          <w:p w14:paraId="342C3EE8"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FFFFF"/>
            <w:noWrap/>
            <w:vAlign w:val="bottom"/>
            <w:hideMark/>
          </w:tcPr>
          <w:p w14:paraId="20760B7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7.362.876 </w:t>
            </w:r>
          </w:p>
        </w:tc>
        <w:tc>
          <w:tcPr>
            <w:tcW w:w="1843" w:type="dxa"/>
            <w:tcBorders>
              <w:top w:val="nil"/>
              <w:left w:val="nil"/>
              <w:bottom w:val="nil"/>
              <w:right w:val="nil"/>
            </w:tcBorders>
            <w:shd w:val="clear" w:color="000000" w:fill="FFFFFF"/>
            <w:noWrap/>
            <w:vAlign w:val="bottom"/>
            <w:hideMark/>
          </w:tcPr>
          <w:p w14:paraId="6BA2D57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      4.174.397 </w:t>
            </w:r>
          </w:p>
        </w:tc>
        <w:tc>
          <w:tcPr>
            <w:tcW w:w="2338" w:type="dxa"/>
            <w:tcBorders>
              <w:top w:val="nil"/>
              <w:left w:val="nil"/>
              <w:bottom w:val="nil"/>
              <w:right w:val="nil"/>
            </w:tcBorders>
            <w:shd w:val="clear" w:color="auto" w:fill="auto"/>
            <w:noWrap/>
            <w:vAlign w:val="bottom"/>
            <w:hideMark/>
          </w:tcPr>
          <w:p w14:paraId="60E4B62F"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412E157F" w14:textId="77777777" w:rsidR="00D40091" w:rsidRPr="00D40091" w:rsidRDefault="00D40091" w:rsidP="00AA502F">
            <w:pPr>
              <w:spacing w:line="240" w:lineRule="auto"/>
              <w:rPr>
                <w:rFonts w:ascii="Arial" w:hAnsi="Arial" w:cs="Arial"/>
                <w:sz w:val="18"/>
                <w:szCs w:val="18"/>
              </w:rPr>
            </w:pPr>
          </w:p>
        </w:tc>
      </w:tr>
      <w:tr w:rsidR="00D40091" w:rsidRPr="00D40091" w14:paraId="31C8A773" w14:textId="77777777" w:rsidTr="009A6FBD">
        <w:trPr>
          <w:trHeight w:val="255"/>
        </w:trPr>
        <w:tc>
          <w:tcPr>
            <w:tcW w:w="8919" w:type="dxa"/>
            <w:tcBorders>
              <w:top w:val="nil"/>
              <w:left w:val="nil"/>
              <w:bottom w:val="nil"/>
              <w:right w:val="nil"/>
            </w:tcBorders>
            <w:shd w:val="clear" w:color="000000" w:fill="F8F8F8"/>
            <w:noWrap/>
            <w:vAlign w:val="bottom"/>
            <w:hideMark/>
          </w:tcPr>
          <w:p w14:paraId="0DE82D7D"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xml:space="preserve">AUMENTO/(REDUÇÃO) DE CAIXA E EQUIVALENTES DE CAIXA </w:t>
            </w:r>
          </w:p>
        </w:tc>
        <w:tc>
          <w:tcPr>
            <w:tcW w:w="1251" w:type="dxa"/>
            <w:tcBorders>
              <w:top w:val="nil"/>
              <w:left w:val="nil"/>
              <w:bottom w:val="nil"/>
              <w:right w:val="nil"/>
            </w:tcBorders>
            <w:shd w:val="clear" w:color="000000" w:fill="F8F8F8"/>
            <w:noWrap/>
            <w:vAlign w:val="bottom"/>
            <w:hideMark/>
          </w:tcPr>
          <w:p w14:paraId="1F25CC75"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2021" w:type="dxa"/>
            <w:tcBorders>
              <w:top w:val="nil"/>
              <w:left w:val="nil"/>
              <w:bottom w:val="nil"/>
              <w:right w:val="nil"/>
            </w:tcBorders>
            <w:shd w:val="clear" w:color="000000" w:fill="F8F8F8"/>
            <w:noWrap/>
            <w:vAlign w:val="bottom"/>
            <w:hideMark/>
          </w:tcPr>
          <w:p w14:paraId="08217940"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xml:space="preserve">            3.188.479 </w:t>
            </w:r>
          </w:p>
        </w:tc>
        <w:tc>
          <w:tcPr>
            <w:tcW w:w="1843" w:type="dxa"/>
            <w:tcBorders>
              <w:top w:val="nil"/>
              <w:left w:val="nil"/>
              <w:bottom w:val="nil"/>
              <w:right w:val="nil"/>
            </w:tcBorders>
            <w:shd w:val="clear" w:color="000000" w:fill="F8F8F8"/>
            <w:noWrap/>
            <w:vAlign w:val="bottom"/>
            <w:hideMark/>
          </w:tcPr>
          <w:p w14:paraId="07355070"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xml:space="preserve">     (3.766.062)</w:t>
            </w:r>
          </w:p>
        </w:tc>
        <w:tc>
          <w:tcPr>
            <w:tcW w:w="2338" w:type="dxa"/>
            <w:tcBorders>
              <w:top w:val="nil"/>
              <w:left w:val="nil"/>
              <w:bottom w:val="nil"/>
              <w:right w:val="nil"/>
            </w:tcBorders>
            <w:shd w:val="clear" w:color="auto" w:fill="auto"/>
            <w:noWrap/>
            <w:vAlign w:val="bottom"/>
            <w:hideMark/>
          </w:tcPr>
          <w:p w14:paraId="235B9768" w14:textId="77777777" w:rsidR="00D40091" w:rsidRPr="00D40091" w:rsidRDefault="00D40091" w:rsidP="00AA502F">
            <w:pPr>
              <w:spacing w:line="240" w:lineRule="auto"/>
              <w:rPr>
                <w:rFonts w:ascii="Arial" w:hAnsi="Arial" w:cs="Arial"/>
                <w:b/>
                <w:bCs/>
                <w:sz w:val="18"/>
                <w:szCs w:val="18"/>
              </w:rPr>
            </w:pPr>
          </w:p>
        </w:tc>
        <w:tc>
          <w:tcPr>
            <w:tcW w:w="160" w:type="dxa"/>
            <w:tcBorders>
              <w:top w:val="nil"/>
              <w:left w:val="nil"/>
              <w:bottom w:val="nil"/>
              <w:right w:val="nil"/>
            </w:tcBorders>
            <w:shd w:val="clear" w:color="auto" w:fill="auto"/>
            <w:noWrap/>
            <w:vAlign w:val="bottom"/>
            <w:hideMark/>
          </w:tcPr>
          <w:p w14:paraId="0BCC2589" w14:textId="77777777" w:rsidR="00D40091" w:rsidRPr="00D40091" w:rsidRDefault="00D40091" w:rsidP="00AA502F">
            <w:pPr>
              <w:spacing w:line="240" w:lineRule="auto"/>
              <w:rPr>
                <w:rFonts w:ascii="Arial" w:hAnsi="Arial" w:cs="Arial"/>
                <w:sz w:val="18"/>
                <w:szCs w:val="18"/>
              </w:rPr>
            </w:pPr>
          </w:p>
        </w:tc>
      </w:tr>
      <w:tr w:rsidR="00D40091" w:rsidRPr="00D40091" w14:paraId="55C35BDD" w14:textId="77777777" w:rsidTr="009A6FBD">
        <w:trPr>
          <w:trHeight w:val="255"/>
        </w:trPr>
        <w:tc>
          <w:tcPr>
            <w:tcW w:w="8919" w:type="dxa"/>
            <w:tcBorders>
              <w:top w:val="nil"/>
              <w:left w:val="nil"/>
              <w:bottom w:val="nil"/>
              <w:right w:val="nil"/>
            </w:tcBorders>
            <w:shd w:val="clear" w:color="auto" w:fill="auto"/>
            <w:noWrap/>
            <w:vAlign w:val="center"/>
            <w:hideMark/>
          </w:tcPr>
          <w:p w14:paraId="79CCC6D5"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3FF4D456"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2E82C3EE"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69A34F62"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39295F35"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33650B8" w14:textId="77777777" w:rsidR="00D40091" w:rsidRPr="00D40091" w:rsidRDefault="00D40091" w:rsidP="00AA502F">
            <w:pPr>
              <w:spacing w:line="240" w:lineRule="auto"/>
              <w:rPr>
                <w:rFonts w:ascii="Arial" w:hAnsi="Arial" w:cs="Arial"/>
                <w:sz w:val="18"/>
                <w:szCs w:val="18"/>
              </w:rPr>
            </w:pPr>
          </w:p>
        </w:tc>
      </w:tr>
      <w:tr w:rsidR="00D40091" w:rsidRPr="00D40091" w14:paraId="7AC3C8B7" w14:textId="77777777" w:rsidTr="009A6FBD">
        <w:trPr>
          <w:trHeight w:val="255"/>
        </w:trPr>
        <w:tc>
          <w:tcPr>
            <w:tcW w:w="8919" w:type="dxa"/>
            <w:tcBorders>
              <w:top w:val="nil"/>
              <w:left w:val="nil"/>
              <w:bottom w:val="nil"/>
              <w:right w:val="nil"/>
            </w:tcBorders>
            <w:shd w:val="clear" w:color="auto" w:fill="auto"/>
            <w:noWrap/>
            <w:vAlign w:val="center"/>
            <w:hideMark/>
          </w:tcPr>
          <w:p w14:paraId="42A80FE5"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4476902B"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1385A282" w14:textId="77777777" w:rsidR="00D40091" w:rsidRPr="00D40091" w:rsidRDefault="00D40091" w:rsidP="00AA502F">
            <w:pPr>
              <w:spacing w:line="240" w:lineRule="auto"/>
              <w:rPr>
                <w:rFonts w:ascii="Arial" w:hAnsi="Arial" w:cs="Arial"/>
                <w:color w:val="0070C0"/>
                <w:sz w:val="18"/>
                <w:szCs w:val="18"/>
              </w:rPr>
            </w:pPr>
            <w:r w:rsidRPr="00D40091">
              <w:rPr>
                <w:rFonts w:ascii="Arial" w:hAnsi="Arial" w:cs="Arial"/>
                <w:color w:val="0070C0"/>
                <w:sz w:val="18"/>
                <w:szCs w:val="18"/>
              </w:rPr>
              <w:t xml:space="preserve">   </w:t>
            </w:r>
          </w:p>
        </w:tc>
        <w:tc>
          <w:tcPr>
            <w:tcW w:w="1843" w:type="dxa"/>
            <w:tcBorders>
              <w:top w:val="nil"/>
              <w:left w:val="nil"/>
              <w:bottom w:val="nil"/>
              <w:right w:val="nil"/>
            </w:tcBorders>
            <w:shd w:val="clear" w:color="auto" w:fill="auto"/>
            <w:noWrap/>
            <w:vAlign w:val="center"/>
            <w:hideMark/>
          </w:tcPr>
          <w:p w14:paraId="08B80363" w14:textId="77777777" w:rsidR="00D40091" w:rsidRPr="00D40091" w:rsidRDefault="00D40091" w:rsidP="00AA502F">
            <w:pPr>
              <w:spacing w:line="240" w:lineRule="auto"/>
              <w:rPr>
                <w:rFonts w:ascii="Arial" w:hAnsi="Arial" w:cs="Arial"/>
                <w:color w:val="D9D9D9"/>
                <w:sz w:val="18"/>
                <w:szCs w:val="18"/>
              </w:rPr>
            </w:pPr>
            <w:r w:rsidRPr="00D40091">
              <w:rPr>
                <w:rFonts w:ascii="Arial" w:hAnsi="Arial" w:cs="Arial"/>
                <w:color w:val="D9D9D9"/>
                <w:sz w:val="18"/>
                <w:szCs w:val="18"/>
              </w:rPr>
              <w:t xml:space="preserve">                  (0)</w:t>
            </w:r>
          </w:p>
        </w:tc>
        <w:tc>
          <w:tcPr>
            <w:tcW w:w="2338" w:type="dxa"/>
            <w:tcBorders>
              <w:top w:val="nil"/>
              <w:left w:val="nil"/>
              <w:bottom w:val="nil"/>
              <w:right w:val="nil"/>
            </w:tcBorders>
            <w:shd w:val="clear" w:color="auto" w:fill="auto"/>
            <w:noWrap/>
            <w:vAlign w:val="center"/>
            <w:hideMark/>
          </w:tcPr>
          <w:p w14:paraId="16669C3F" w14:textId="77777777" w:rsidR="00D40091" w:rsidRPr="00D40091" w:rsidRDefault="00D40091" w:rsidP="00AA502F">
            <w:pPr>
              <w:spacing w:line="240" w:lineRule="auto"/>
              <w:rPr>
                <w:rFonts w:ascii="Arial" w:hAnsi="Arial" w:cs="Arial"/>
                <w:color w:val="D9D9D9"/>
                <w:sz w:val="18"/>
                <w:szCs w:val="18"/>
              </w:rPr>
            </w:pPr>
          </w:p>
        </w:tc>
        <w:tc>
          <w:tcPr>
            <w:tcW w:w="160" w:type="dxa"/>
            <w:tcBorders>
              <w:top w:val="nil"/>
              <w:left w:val="nil"/>
              <w:bottom w:val="nil"/>
              <w:right w:val="nil"/>
            </w:tcBorders>
            <w:shd w:val="clear" w:color="auto" w:fill="auto"/>
            <w:noWrap/>
            <w:vAlign w:val="center"/>
            <w:hideMark/>
          </w:tcPr>
          <w:p w14:paraId="7984E7F6" w14:textId="77777777" w:rsidR="00D40091" w:rsidRPr="00D40091" w:rsidRDefault="00D40091" w:rsidP="00AA502F">
            <w:pPr>
              <w:spacing w:line="240" w:lineRule="auto"/>
              <w:rPr>
                <w:rFonts w:ascii="Arial" w:hAnsi="Arial" w:cs="Arial"/>
                <w:sz w:val="18"/>
                <w:szCs w:val="18"/>
              </w:rPr>
            </w:pPr>
          </w:p>
        </w:tc>
      </w:tr>
      <w:tr w:rsidR="00D40091" w:rsidRPr="00D40091" w14:paraId="5B7F0C4A" w14:textId="77777777" w:rsidTr="009A6FBD">
        <w:trPr>
          <w:trHeight w:val="255"/>
        </w:trPr>
        <w:tc>
          <w:tcPr>
            <w:tcW w:w="8919" w:type="dxa"/>
            <w:tcBorders>
              <w:top w:val="nil"/>
              <w:left w:val="nil"/>
              <w:bottom w:val="nil"/>
              <w:right w:val="nil"/>
            </w:tcBorders>
            <w:shd w:val="clear" w:color="auto" w:fill="auto"/>
            <w:noWrap/>
            <w:vAlign w:val="center"/>
            <w:hideMark/>
          </w:tcPr>
          <w:p w14:paraId="43F81A87"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201E853C"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4DEA209E"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29F234BA"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4BDD898E"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0CF2D917" w14:textId="77777777" w:rsidR="00D40091" w:rsidRPr="00D40091" w:rsidRDefault="00D40091" w:rsidP="00AA502F">
            <w:pPr>
              <w:spacing w:line="240" w:lineRule="auto"/>
              <w:rPr>
                <w:rFonts w:ascii="Arial" w:hAnsi="Arial" w:cs="Arial"/>
                <w:sz w:val="18"/>
                <w:szCs w:val="18"/>
              </w:rPr>
            </w:pPr>
          </w:p>
        </w:tc>
      </w:tr>
      <w:tr w:rsidR="00D40091" w:rsidRPr="00D40091" w14:paraId="6386DEF6" w14:textId="77777777" w:rsidTr="009A6FBD">
        <w:trPr>
          <w:trHeight w:val="255"/>
        </w:trPr>
        <w:tc>
          <w:tcPr>
            <w:tcW w:w="8919" w:type="dxa"/>
            <w:tcBorders>
              <w:top w:val="nil"/>
              <w:left w:val="nil"/>
              <w:bottom w:val="single" w:sz="4" w:space="0" w:color="auto"/>
              <w:right w:val="nil"/>
            </w:tcBorders>
            <w:shd w:val="clear" w:color="000000" w:fill="FFFFFF"/>
            <w:noWrap/>
            <w:vAlign w:val="bottom"/>
            <w:hideMark/>
          </w:tcPr>
          <w:p w14:paraId="340750E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As notas explicativas são parte integrante das demonstrações contábeis  </w:t>
            </w:r>
          </w:p>
        </w:tc>
        <w:tc>
          <w:tcPr>
            <w:tcW w:w="1251" w:type="dxa"/>
            <w:tcBorders>
              <w:top w:val="nil"/>
              <w:left w:val="nil"/>
              <w:bottom w:val="single" w:sz="4" w:space="0" w:color="auto"/>
              <w:right w:val="nil"/>
            </w:tcBorders>
            <w:shd w:val="clear" w:color="auto" w:fill="auto"/>
            <w:noWrap/>
            <w:vAlign w:val="center"/>
            <w:hideMark/>
          </w:tcPr>
          <w:p w14:paraId="17B81FA4" w14:textId="77777777" w:rsidR="00D40091" w:rsidRPr="00D40091" w:rsidRDefault="00D40091" w:rsidP="00AA502F">
            <w:pPr>
              <w:spacing w:line="240" w:lineRule="auto"/>
              <w:jc w:val="center"/>
              <w:rPr>
                <w:rFonts w:ascii="Arial" w:hAnsi="Arial" w:cs="Arial"/>
                <w:sz w:val="18"/>
                <w:szCs w:val="18"/>
                <w:u w:val="single"/>
              </w:rPr>
            </w:pPr>
            <w:r w:rsidRPr="00D40091">
              <w:rPr>
                <w:rFonts w:ascii="Arial" w:hAnsi="Arial" w:cs="Arial"/>
                <w:sz w:val="18"/>
                <w:szCs w:val="18"/>
                <w:u w:val="single"/>
              </w:rPr>
              <w:t> </w:t>
            </w:r>
          </w:p>
        </w:tc>
        <w:tc>
          <w:tcPr>
            <w:tcW w:w="2021" w:type="dxa"/>
            <w:tcBorders>
              <w:top w:val="nil"/>
              <w:left w:val="nil"/>
              <w:bottom w:val="single" w:sz="4" w:space="0" w:color="auto"/>
              <w:right w:val="nil"/>
            </w:tcBorders>
            <w:shd w:val="clear" w:color="auto" w:fill="auto"/>
            <w:noWrap/>
            <w:vAlign w:val="center"/>
            <w:hideMark/>
          </w:tcPr>
          <w:p w14:paraId="0DA28902" w14:textId="77777777" w:rsidR="00D40091" w:rsidRPr="00D40091" w:rsidRDefault="00D40091" w:rsidP="00AA502F">
            <w:pPr>
              <w:spacing w:line="240" w:lineRule="auto"/>
              <w:rPr>
                <w:rFonts w:ascii="Arial" w:hAnsi="Arial" w:cs="Arial"/>
                <w:sz w:val="18"/>
                <w:szCs w:val="18"/>
                <w:u w:val="single"/>
              </w:rPr>
            </w:pPr>
            <w:r w:rsidRPr="00D40091">
              <w:rPr>
                <w:rFonts w:ascii="Arial" w:hAnsi="Arial" w:cs="Arial"/>
                <w:sz w:val="18"/>
                <w:szCs w:val="18"/>
                <w:u w:val="single"/>
              </w:rPr>
              <w:t> </w:t>
            </w:r>
          </w:p>
        </w:tc>
        <w:tc>
          <w:tcPr>
            <w:tcW w:w="1843" w:type="dxa"/>
            <w:tcBorders>
              <w:top w:val="nil"/>
              <w:left w:val="nil"/>
              <w:bottom w:val="single" w:sz="4" w:space="0" w:color="auto"/>
              <w:right w:val="nil"/>
            </w:tcBorders>
            <w:shd w:val="clear" w:color="auto" w:fill="auto"/>
            <w:noWrap/>
            <w:vAlign w:val="center"/>
            <w:hideMark/>
          </w:tcPr>
          <w:p w14:paraId="2F6ECE92" w14:textId="77777777" w:rsidR="00D40091" w:rsidRPr="00D40091" w:rsidRDefault="00D40091" w:rsidP="00AA502F">
            <w:pPr>
              <w:spacing w:line="240" w:lineRule="auto"/>
              <w:rPr>
                <w:rFonts w:ascii="Arial" w:hAnsi="Arial" w:cs="Arial"/>
                <w:sz w:val="18"/>
                <w:szCs w:val="18"/>
                <w:u w:val="single"/>
              </w:rPr>
            </w:pPr>
            <w:r w:rsidRPr="00D40091">
              <w:rPr>
                <w:rFonts w:ascii="Arial" w:hAnsi="Arial" w:cs="Arial"/>
                <w:sz w:val="18"/>
                <w:szCs w:val="18"/>
                <w:u w:val="single"/>
              </w:rPr>
              <w:t> </w:t>
            </w:r>
          </w:p>
        </w:tc>
        <w:tc>
          <w:tcPr>
            <w:tcW w:w="2338" w:type="dxa"/>
            <w:tcBorders>
              <w:top w:val="nil"/>
              <w:left w:val="nil"/>
              <w:bottom w:val="nil"/>
              <w:right w:val="nil"/>
            </w:tcBorders>
            <w:shd w:val="clear" w:color="auto" w:fill="auto"/>
            <w:noWrap/>
            <w:vAlign w:val="center"/>
            <w:hideMark/>
          </w:tcPr>
          <w:p w14:paraId="48F77D66" w14:textId="77777777" w:rsidR="00D40091" w:rsidRPr="00D40091" w:rsidRDefault="00D40091" w:rsidP="00AA502F">
            <w:pPr>
              <w:spacing w:line="240" w:lineRule="auto"/>
              <w:rPr>
                <w:rFonts w:ascii="Arial" w:hAnsi="Arial" w:cs="Arial"/>
                <w:sz w:val="18"/>
                <w:szCs w:val="18"/>
                <w:u w:val="single"/>
              </w:rPr>
            </w:pPr>
          </w:p>
        </w:tc>
        <w:tc>
          <w:tcPr>
            <w:tcW w:w="160" w:type="dxa"/>
            <w:tcBorders>
              <w:top w:val="nil"/>
              <w:left w:val="nil"/>
              <w:bottom w:val="nil"/>
              <w:right w:val="nil"/>
            </w:tcBorders>
            <w:shd w:val="clear" w:color="auto" w:fill="auto"/>
            <w:noWrap/>
            <w:vAlign w:val="center"/>
            <w:hideMark/>
          </w:tcPr>
          <w:p w14:paraId="59927B09" w14:textId="77777777" w:rsidR="00D40091" w:rsidRPr="00D40091" w:rsidRDefault="00D40091" w:rsidP="00AA502F">
            <w:pPr>
              <w:spacing w:line="240" w:lineRule="auto"/>
              <w:rPr>
                <w:rFonts w:ascii="Arial" w:hAnsi="Arial" w:cs="Arial"/>
                <w:sz w:val="18"/>
                <w:szCs w:val="18"/>
              </w:rPr>
            </w:pPr>
          </w:p>
        </w:tc>
      </w:tr>
      <w:tr w:rsidR="00D40091" w:rsidRPr="00D40091" w14:paraId="5D350A8B" w14:textId="77777777" w:rsidTr="009A6FBD">
        <w:trPr>
          <w:trHeight w:val="255"/>
        </w:trPr>
        <w:tc>
          <w:tcPr>
            <w:tcW w:w="8919" w:type="dxa"/>
            <w:tcBorders>
              <w:top w:val="nil"/>
              <w:left w:val="nil"/>
              <w:bottom w:val="nil"/>
              <w:right w:val="nil"/>
            </w:tcBorders>
            <w:shd w:val="clear" w:color="auto" w:fill="auto"/>
            <w:noWrap/>
            <w:vAlign w:val="center"/>
            <w:hideMark/>
          </w:tcPr>
          <w:p w14:paraId="48246346"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37016174"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4B045DA1"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0188D610"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7988DEDA"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12DA567F" w14:textId="77777777" w:rsidR="00D40091" w:rsidRPr="00D40091" w:rsidRDefault="00D40091" w:rsidP="00AA502F">
            <w:pPr>
              <w:spacing w:line="240" w:lineRule="auto"/>
              <w:rPr>
                <w:rFonts w:ascii="Arial" w:hAnsi="Arial" w:cs="Arial"/>
                <w:sz w:val="18"/>
                <w:szCs w:val="18"/>
              </w:rPr>
            </w:pPr>
          </w:p>
        </w:tc>
      </w:tr>
      <w:tr w:rsidR="00D40091" w:rsidRPr="00D40091" w14:paraId="0FA6C2FC" w14:textId="77777777" w:rsidTr="009A6FBD">
        <w:trPr>
          <w:trHeight w:val="255"/>
        </w:trPr>
        <w:tc>
          <w:tcPr>
            <w:tcW w:w="8919" w:type="dxa"/>
            <w:tcBorders>
              <w:top w:val="nil"/>
              <w:left w:val="nil"/>
              <w:bottom w:val="nil"/>
              <w:right w:val="nil"/>
            </w:tcBorders>
            <w:shd w:val="clear" w:color="auto" w:fill="auto"/>
            <w:noWrap/>
            <w:vAlign w:val="center"/>
            <w:hideMark/>
          </w:tcPr>
          <w:p w14:paraId="56E2707A"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4801ED6F"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0CFE917F"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1D206445"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7EB36834"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43B19B7C" w14:textId="77777777" w:rsidR="00D40091" w:rsidRPr="00D40091" w:rsidRDefault="00D40091" w:rsidP="00AA502F">
            <w:pPr>
              <w:spacing w:line="240" w:lineRule="auto"/>
              <w:rPr>
                <w:rFonts w:ascii="Arial" w:hAnsi="Arial" w:cs="Arial"/>
                <w:sz w:val="18"/>
                <w:szCs w:val="18"/>
              </w:rPr>
            </w:pPr>
          </w:p>
        </w:tc>
      </w:tr>
      <w:tr w:rsidR="00D40091" w:rsidRPr="00D40091" w14:paraId="422726B0" w14:textId="77777777" w:rsidTr="009A6FBD">
        <w:trPr>
          <w:trHeight w:val="255"/>
        </w:trPr>
        <w:tc>
          <w:tcPr>
            <w:tcW w:w="8919" w:type="dxa"/>
            <w:tcBorders>
              <w:top w:val="nil"/>
              <w:left w:val="nil"/>
              <w:bottom w:val="nil"/>
              <w:right w:val="nil"/>
            </w:tcBorders>
            <w:shd w:val="clear" w:color="auto" w:fill="auto"/>
            <w:noWrap/>
            <w:vAlign w:val="center"/>
            <w:hideMark/>
          </w:tcPr>
          <w:p w14:paraId="0B92F659"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20015BAC"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6F2696D2"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3674DF1D"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3CA039DF"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69D8EDC9" w14:textId="77777777" w:rsidR="00D40091" w:rsidRPr="00D40091" w:rsidRDefault="00D40091" w:rsidP="00AA502F">
            <w:pPr>
              <w:spacing w:line="240" w:lineRule="auto"/>
              <w:rPr>
                <w:rFonts w:ascii="Arial" w:hAnsi="Arial" w:cs="Arial"/>
                <w:sz w:val="18"/>
                <w:szCs w:val="18"/>
              </w:rPr>
            </w:pPr>
          </w:p>
        </w:tc>
      </w:tr>
      <w:tr w:rsidR="00D40091" w:rsidRPr="00D40091" w14:paraId="0C9A78A7" w14:textId="77777777" w:rsidTr="009A6FBD">
        <w:trPr>
          <w:trHeight w:val="255"/>
        </w:trPr>
        <w:tc>
          <w:tcPr>
            <w:tcW w:w="8919" w:type="dxa"/>
            <w:tcBorders>
              <w:top w:val="nil"/>
              <w:left w:val="nil"/>
              <w:bottom w:val="nil"/>
              <w:right w:val="nil"/>
            </w:tcBorders>
            <w:shd w:val="clear" w:color="auto" w:fill="auto"/>
            <w:noWrap/>
            <w:vAlign w:val="center"/>
            <w:hideMark/>
          </w:tcPr>
          <w:p w14:paraId="730412A3"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7E4BFC36"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44178D57"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569627D5"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5982FF6D"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118DEBC4" w14:textId="77777777" w:rsidR="00D40091" w:rsidRPr="00D40091" w:rsidRDefault="00D40091" w:rsidP="00AA502F">
            <w:pPr>
              <w:spacing w:line="240" w:lineRule="auto"/>
              <w:rPr>
                <w:rFonts w:ascii="Arial" w:hAnsi="Arial" w:cs="Arial"/>
                <w:sz w:val="18"/>
                <w:szCs w:val="18"/>
              </w:rPr>
            </w:pPr>
          </w:p>
        </w:tc>
      </w:tr>
      <w:tr w:rsidR="00D40091" w:rsidRPr="00D40091" w14:paraId="05620488" w14:textId="77777777" w:rsidTr="009A6FBD">
        <w:trPr>
          <w:trHeight w:val="255"/>
        </w:trPr>
        <w:tc>
          <w:tcPr>
            <w:tcW w:w="8919" w:type="dxa"/>
            <w:tcBorders>
              <w:top w:val="nil"/>
              <w:left w:val="nil"/>
              <w:bottom w:val="nil"/>
              <w:right w:val="nil"/>
            </w:tcBorders>
            <w:shd w:val="clear" w:color="auto" w:fill="auto"/>
            <w:noWrap/>
            <w:vAlign w:val="center"/>
            <w:hideMark/>
          </w:tcPr>
          <w:p w14:paraId="1D1345DC"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076BBC54"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4B2486DB"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53565D11"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333D4964"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5135509A" w14:textId="77777777" w:rsidR="00D40091" w:rsidRPr="00D40091" w:rsidRDefault="00D40091" w:rsidP="00AA502F">
            <w:pPr>
              <w:spacing w:line="240" w:lineRule="auto"/>
              <w:rPr>
                <w:rFonts w:ascii="Arial" w:hAnsi="Arial" w:cs="Arial"/>
                <w:sz w:val="18"/>
                <w:szCs w:val="18"/>
              </w:rPr>
            </w:pPr>
          </w:p>
        </w:tc>
      </w:tr>
      <w:tr w:rsidR="00D40091" w:rsidRPr="00D40091" w14:paraId="07E67162" w14:textId="77777777" w:rsidTr="009A6FBD">
        <w:trPr>
          <w:trHeight w:val="255"/>
        </w:trPr>
        <w:tc>
          <w:tcPr>
            <w:tcW w:w="8919" w:type="dxa"/>
            <w:tcBorders>
              <w:top w:val="nil"/>
              <w:left w:val="nil"/>
              <w:bottom w:val="nil"/>
              <w:right w:val="nil"/>
            </w:tcBorders>
            <w:shd w:val="clear" w:color="auto" w:fill="auto"/>
            <w:noWrap/>
            <w:vAlign w:val="center"/>
            <w:hideMark/>
          </w:tcPr>
          <w:p w14:paraId="1C548E0E"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72DA6ED9"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40DB6AC6"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3C9C1628"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4B0AC968"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77DD828E" w14:textId="77777777" w:rsidR="00D40091" w:rsidRPr="00D40091" w:rsidRDefault="00D40091" w:rsidP="00AA502F">
            <w:pPr>
              <w:spacing w:line="240" w:lineRule="auto"/>
              <w:rPr>
                <w:rFonts w:ascii="Arial" w:hAnsi="Arial" w:cs="Arial"/>
                <w:sz w:val="18"/>
                <w:szCs w:val="18"/>
              </w:rPr>
            </w:pPr>
          </w:p>
        </w:tc>
      </w:tr>
      <w:tr w:rsidR="00D40091" w:rsidRPr="00D40091" w14:paraId="2A7D3AD1" w14:textId="77777777" w:rsidTr="009A6FBD">
        <w:trPr>
          <w:trHeight w:val="255"/>
        </w:trPr>
        <w:tc>
          <w:tcPr>
            <w:tcW w:w="8919" w:type="dxa"/>
            <w:tcBorders>
              <w:top w:val="nil"/>
              <w:left w:val="nil"/>
              <w:bottom w:val="nil"/>
              <w:right w:val="nil"/>
            </w:tcBorders>
            <w:shd w:val="clear" w:color="auto" w:fill="auto"/>
            <w:noWrap/>
            <w:vAlign w:val="center"/>
            <w:hideMark/>
          </w:tcPr>
          <w:p w14:paraId="2E987061" w14:textId="77777777" w:rsidR="00D40091" w:rsidRPr="00D40091" w:rsidRDefault="00D40091" w:rsidP="00AA502F">
            <w:pPr>
              <w:spacing w:line="240" w:lineRule="auto"/>
              <w:rPr>
                <w:rFonts w:ascii="Arial" w:hAnsi="Arial" w:cs="Arial"/>
                <w:sz w:val="18"/>
                <w:szCs w:val="18"/>
              </w:rPr>
            </w:pPr>
          </w:p>
        </w:tc>
        <w:tc>
          <w:tcPr>
            <w:tcW w:w="1251" w:type="dxa"/>
            <w:tcBorders>
              <w:top w:val="nil"/>
              <w:left w:val="nil"/>
              <w:bottom w:val="nil"/>
              <w:right w:val="nil"/>
            </w:tcBorders>
            <w:shd w:val="clear" w:color="auto" w:fill="auto"/>
            <w:noWrap/>
            <w:vAlign w:val="center"/>
            <w:hideMark/>
          </w:tcPr>
          <w:p w14:paraId="291C006C" w14:textId="77777777" w:rsidR="00D40091" w:rsidRPr="00D40091" w:rsidRDefault="00D40091" w:rsidP="00AA502F">
            <w:pPr>
              <w:spacing w:line="240" w:lineRule="auto"/>
              <w:rPr>
                <w:rFonts w:ascii="Arial" w:hAnsi="Arial" w:cs="Arial"/>
                <w:sz w:val="18"/>
                <w:szCs w:val="18"/>
              </w:rPr>
            </w:pPr>
          </w:p>
        </w:tc>
        <w:tc>
          <w:tcPr>
            <w:tcW w:w="2021" w:type="dxa"/>
            <w:tcBorders>
              <w:top w:val="nil"/>
              <w:left w:val="nil"/>
              <w:bottom w:val="nil"/>
              <w:right w:val="nil"/>
            </w:tcBorders>
            <w:shd w:val="clear" w:color="auto" w:fill="auto"/>
            <w:noWrap/>
            <w:vAlign w:val="center"/>
            <w:hideMark/>
          </w:tcPr>
          <w:p w14:paraId="3248F824" w14:textId="77777777" w:rsidR="00D40091" w:rsidRPr="00D40091" w:rsidRDefault="00D40091" w:rsidP="00AA502F">
            <w:pPr>
              <w:spacing w:line="240" w:lineRule="auto"/>
              <w:jc w:val="center"/>
              <w:rPr>
                <w:rFonts w:ascii="Arial" w:hAnsi="Arial" w:cs="Arial"/>
                <w:sz w:val="18"/>
                <w:szCs w:val="18"/>
              </w:rPr>
            </w:pPr>
          </w:p>
        </w:tc>
        <w:tc>
          <w:tcPr>
            <w:tcW w:w="1843" w:type="dxa"/>
            <w:tcBorders>
              <w:top w:val="nil"/>
              <w:left w:val="nil"/>
              <w:bottom w:val="nil"/>
              <w:right w:val="nil"/>
            </w:tcBorders>
            <w:shd w:val="clear" w:color="auto" w:fill="auto"/>
            <w:noWrap/>
            <w:vAlign w:val="center"/>
            <w:hideMark/>
          </w:tcPr>
          <w:p w14:paraId="34644CCE" w14:textId="77777777" w:rsidR="00D40091" w:rsidRPr="00D40091" w:rsidRDefault="00D40091" w:rsidP="00AA502F">
            <w:pPr>
              <w:spacing w:line="240" w:lineRule="auto"/>
              <w:rPr>
                <w:rFonts w:ascii="Arial" w:hAnsi="Arial" w:cs="Arial"/>
                <w:sz w:val="18"/>
                <w:szCs w:val="18"/>
              </w:rPr>
            </w:pPr>
          </w:p>
        </w:tc>
        <w:tc>
          <w:tcPr>
            <w:tcW w:w="2338" w:type="dxa"/>
            <w:tcBorders>
              <w:top w:val="nil"/>
              <w:left w:val="nil"/>
              <w:bottom w:val="nil"/>
              <w:right w:val="nil"/>
            </w:tcBorders>
            <w:shd w:val="clear" w:color="auto" w:fill="auto"/>
            <w:noWrap/>
            <w:vAlign w:val="center"/>
            <w:hideMark/>
          </w:tcPr>
          <w:p w14:paraId="06E33881" w14:textId="77777777" w:rsidR="00D40091" w:rsidRPr="00D40091" w:rsidRDefault="00D40091" w:rsidP="00AA502F">
            <w:pPr>
              <w:spacing w:line="240" w:lineRule="auto"/>
              <w:rPr>
                <w:rFonts w:ascii="Arial" w:hAnsi="Arial" w:cs="Arial"/>
                <w:sz w:val="18"/>
                <w:szCs w:val="18"/>
              </w:rPr>
            </w:pPr>
          </w:p>
        </w:tc>
        <w:tc>
          <w:tcPr>
            <w:tcW w:w="160" w:type="dxa"/>
            <w:tcBorders>
              <w:top w:val="nil"/>
              <w:left w:val="nil"/>
              <w:bottom w:val="nil"/>
              <w:right w:val="nil"/>
            </w:tcBorders>
            <w:shd w:val="clear" w:color="auto" w:fill="auto"/>
            <w:noWrap/>
            <w:vAlign w:val="center"/>
            <w:hideMark/>
          </w:tcPr>
          <w:p w14:paraId="55FB7325" w14:textId="77777777" w:rsidR="00D40091" w:rsidRPr="00D40091" w:rsidRDefault="00D40091" w:rsidP="00AA502F">
            <w:pPr>
              <w:spacing w:line="240" w:lineRule="auto"/>
              <w:rPr>
                <w:rFonts w:ascii="Arial" w:hAnsi="Arial" w:cs="Arial"/>
                <w:sz w:val="18"/>
                <w:szCs w:val="18"/>
              </w:rPr>
            </w:pPr>
          </w:p>
        </w:tc>
      </w:tr>
      <w:tr w:rsidR="00D40091" w:rsidRPr="00D40091" w14:paraId="2039A311" w14:textId="77777777" w:rsidTr="009A6FBD">
        <w:trPr>
          <w:gridAfter w:val="2"/>
          <w:wAfter w:w="2498" w:type="dxa"/>
          <w:trHeight w:val="315"/>
        </w:trPr>
        <w:tc>
          <w:tcPr>
            <w:tcW w:w="8919" w:type="dxa"/>
            <w:tcBorders>
              <w:top w:val="nil"/>
              <w:left w:val="nil"/>
              <w:bottom w:val="nil"/>
              <w:right w:val="nil"/>
            </w:tcBorders>
            <w:shd w:val="clear" w:color="FFFFCC" w:fill="FFFFFF"/>
            <w:noWrap/>
            <w:vAlign w:val="center"/>
            <w:hideMark/>
          </w:tcPr>
          <w:p w14:paraId="21463EBE"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RENATO VIEIRA PITA</w:t>
            </w:r>
          </w:p>
        </w:tc>
        <w:tc>
          <w:tcPr>
            <w:tcW w:w="1251" w:type="dxa"/>
            <w:tcBorders>
              <w:top w:val="nil"/>
              <w:left w:val="nil"/>
              <w:bottom w:val="nil"/>
              <w:right w:val="nil"/>
            </w:tcBorders>
            <w:shd w:val="clear" w:color="FFFFCC" w:fill="FFFFFF"/>
            <w:noWrap/>
            <w:vAlign w:val="center"/>
            <w:hideMark/>
          </w:tcPr>
          <w:p w14:paraId="1EE1B832"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3864" w:type="dxa"/>
            <w:gridSpan w:val="2"/>
            <w:tcBorders>
              <w:top w:val="nil"/>
              <w:left w:val="nil"/>
              <w:bottom w:val="nil"/>
              <w:right w:val="nil"/>
            </w:tcBorders>
            <w:shd w:val="clear" w:color="FFFFCC" w:fill="FFFFFF"/>
            <w:noWrap/>
            <w:vAlign w:val="center"/>
            <w:hideMark/>
          </w:tcPr>
          <w:p w14:paraId="54642058"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MAURICIO AKIHIRO MAKI</w:t>
            </w:r>
          </w:p>
        </w:tc>
      </w:tr>
      <w:tr w:rsidR="00D40091" w:rsidRPr="00D40091" w14:paraId="578E827C" w14:textId="77777777" w:rsidTr="009A6FBD">
        <w:trPr>
          <w:gridAfter w:val="2"/>
          <w:wAfter w:w="2498" w:type="dxa"/>
          <w:trHeight w:val="300"/>
        </w:trPr>
        <w:tc>
          <w:tcPr>
            <w:tcW w:w="8919" w:type="dxa"/>
            <w:tcBorders>
              <w:top w:val="nil"/>
              <w:left w:val="nil"/>
              <w:bottom w:val="nil"/>
              <w:right w:val="nil"/>
            </w:tcBorders>
            <w:shd w:val="clear" w:color="FFFFCC" w:fill="FFFFFF"/>
            <w:noWrap/>
            <w:vAlign w:val="center"/>
            <w:hideMark/>
          </w:tcPr>
          <w:p w14:paraId="5E318782"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CONTADOR</w:t>
            </w:r>
          </w:p>
        </w:tc>
        <w:tc>
          <w:tcPr>
            <w:tcW w:w="1251" w:type="dxa"/>
            <w:tcBorders>
              <w:top w:val="nil"/>
              <w:left w:val="nil"/>
              <w:bottom w:val="nil"/>
              <w:right w:val="nil"/>
            </w:tcBorders>
            <w:shd w:val="clear" w:color="FFFFCC" w:fill="FFFFFF"/>
            <w:noWrap/>
            <w:vAlign w:val="center"/>
            <w:hideMark/>
          </w:tcPr>
          <w:p w14:paraId="2D28793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864" w:type="dxa"/>
            <w:gridSpan w:val="2"/>
            <w:tcBorders>
              <w:top w:val="nil"/>
              <w:left w:val="nil"/>
              <w:bottom w:val="nil"/>
              <w:right w:val="nil"/>
            </w:tcBorders>
            <w:shd w:val="clear" w:color="FFFFCC" w:fill="FFFFFF"/>
            <w:noWrap/>
            <w:vAlign w:val="center"/>
            <w:hideMark/>
          </w:tcPr>
          <w:p w14:paraId="04C0126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DIRETOR ADMINISTRATIVO FINANCEIRO</w:t>
            </w:r>
          </w:p>
        </w:tc>
      </w:tr>
      <w:tr w:rsidR="00D40091" w:rsidRPr="00D40091" w14:paraId="62E36DCD" w14:textId="77777777" w:rsidTr="009A6FBD">
        <w:trPr>
          <w:gridAfter w:val="2"/>
          <w:wAfter w:w="2498" w:type="dxa"/>
          <w:trHeight w:val="300"/>
        </w:trPr>
        <w:tc>
          <w:tcPr>
            <w:tcW w:w="8919" w:type="dxa"/>
            <w:tcBorders>
              <w:top w:val="nil"/>
              <w:left w:val="nil"/>
              <w:bottom w:val="nil"/>
              <w:right w:val="nil"/>
            </w:tcBorders>
            <w:shd w:val="clear" w:color="FFFFCC" w:fill="FFFFFF"/>
            <w:noWrap/>
            <w:vAlign w:val="center"/>
            <w:hideMark/>
          </w:tcPr>
          <w:p w14:paraId="1130A811"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CRC 1SP215876/O-8/SP</w:t>
            </w:r>
          </w:p>
        </w:tc>
        <w:tc>
          <w:tcPr>
            <w:tcW w:w="1251" w:type="dxa"/>
            <w:tcBorders>
              <w:top w:val="nil"/>
              <w:left w:val="nil"/>
              <w:bottom w:val="nil"/>
              <w:right w:val="nil"/>
            </w:tcBorders>
            <w:shd w:val="clear" w:color="FFFFCC" w:fill="FFFFFF"/>
            <w:noWrap/>
            <w:vAlign w:val="center"/>
            <w:hideMark/>
          </w:tcPr>
          <w:p w14:paraId="12AC3F90"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3864" w:type="dxa"/>
            <w:gridSpan w:val="2"/>
            <w:tcBorders>
              <w:top w:val="nil"/>
              <w:left w:val="nil"/>
              <w:bottom w:val="nil"/>
              <w:right w:val="nil"/>
            </w:tcBorders>
            <w:shd w:val="clear" w:color="FFFFCC" w:fill="FFFFFF"/>
            <w:noWrap/>
            <w:vAlign w:val="center"/>
            <w:hideMark/>
          </w:tcPr>
          <w:p w14:paraId="750F314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CPF: 219.593.858-79</w:t>
            </w:r>
          </w:p>
        </w:tc>
      </w:tr>
    </w:tbl>
    <w:p w14:paraId="49F8440A" w14:textId="77777777" w:rsidR="00D40091" w:rsidRPr="00D40091" w:rsidRDefault="00D40091" w:rsidP="00D40091">
      <w:pPr>
        <w:rPr>
          <w:rFonts w:ascii="Arial" w:hAnsi="Arial" w:cs="Arial"/>
          <w:sz w:val="18"/>
          <w:szCs w:val="18"/>
        </w:rPr>
      </w:pPr>
    </w:p>
    <w:p w14:paraId="5457030E" w14:textId="77777777" w:rsidR="00D40091" w:rsidRPr="00D40091" w:rsidRDefault="00D40091" w:rsidP="00D40091">
      <w:pPr>
        <w:rPr>
          <w:rFonts w:ascii="Arial" w:hAnsi="Arial" w:cs="Arial"/>
          <w:sz w:val="18"/>
          <w:szCs w:val="18"/>
        </w:rPr>
      </w:pPr>
      <w:r w:rsidRPr="00D40091">
        <w:rPr>
          <w:rFonts w:ascii="Arial" w:hAnsi="Arial" w:cs="Arial"/>
          <w:sz w:val="18"/>
          <w:szCs w:val="18"/>
        </w:rPr>
        <w:br w:type="page"/>
      </w:r>
    </w:p>
    <w:tbl>
      <w:tblPr>
        <w:tblW w:w="0" w:type="auto"/>
        <w:tblCellMar>
          <w:left w:w="70" w:type="dxa"/>
          <w:right w:w="70" w:type="dxa"/>
        </w:tblCellMar>
        <w:tblLook w:val="04A0" w:firstRow="1" w:lastRow="0" w:firstColumn="1" w:lastColumn="0" w:noHBand="0" w:noVBand="1"/>
      </w:tblPr>
      <w:tblGrid>
        <w:gridCol w:w="3683"/>
        <w:gridCol w:w="1572"/>
        <w:gridCol w:w="200"/>
        <w:gridCol w:w="1786"/>
        <w:gridCol w:w="185"/>
        <w:gridCol w:w="1289"/>
        <w:gridCol w:w="185"/>
        <w:gridCol w:w="1510"/>
        <w:gridCol w:w="185"/>
        <w:gridCol w:w="1527"/>
        <w:gridCol w:w="185"/>
        <w:gridCol w:w="1616"/>
        <w:gridCol w:w="185"/>
        <w:gridCol w:w="1290"/>
      </w:tblGrid>
      <w:tr w:rsidR="00B9414F" w:rsidRPr="00D40091" w14:paraId="52DADB63" w14:textId="77777777" w:rsidTr="00AA502F">
        <w:trPr>
          <w:trHeight w:val="315"/>
        </w:trPr>
        <w:tc>
          <w:tcPr>
            <w:tcW w:w="0" w:type="auto"/>
            <w:gridSpan w:val="4"/>
            <w:tcBorders>
              <w:top w:val="nil"/>
              <w:left w:val="nil"/>
              <w:bottom w:val="nil"/>
              <w:right w:val="nil"/>
            </w:tcBorders>
            <w:shd w:val="clear" w:color="000000" w:fill="FFFFFF"/>
            <w:noWrap/>
            <w:vAlign w:val="center"/>
            <w:hideMark/>
          </w:tcPr>
          <w:p w14:paraId="291D1E9B"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lastRenderedPageBreak/>
              <w:t>COMPANHIA SÃO PAULO DE DESENVOLVIMENTO E MOBILIZAÇÃO DE ATIVOS - SPDA</w:t>
            </w:r>
          </w:p>
        </w:tc>
        <w:tc>
          <w:tcPr>
            <w:tcW w:w="0" w:type="auto"/>
            <w:tcBorders>
              <w:top w:val="nil"/>
              <w:left w:val="nil"/>
              <w:bottom w:val="nil"/>
              <w:right w:val="nil"/>
            </w:tcBorders>
            <w:shd w:val="clear" w:color="000000" w:fill="FFFFFF"/>
            <w:noWrap/>
            <w:vAlign w:val="center"/>
            <w:hideMark/>
          </w:tcPr>
          <w:p w14:paraId="5D2BF713"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7AB27AC7"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2C1D0D32"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718FF607"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3ADE5398"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7E39BB2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7CE4F5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0C78E9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2B6B8C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6DACC4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6C09C1D7" w14:textId="77777777" w:rsidTr="00AA502F">
        <w:trPr>
          <w:trHeight w:val="315"/>
        </w:trPr>
        <w:tc>
          <w:tcPr>
            <w:tcW w:w="0" w:type="auto"/>
            <w:tcBorders>
              <w:top w:val="nil"/>
              <w:left w:val="nil"/>
              <w:bottom w:val="nil"/>
              <w:right w:val="nil"/>
            </w:tcBorders>
            <w:shd w:val="clear" w:color="000000" w:fill="FFFFFF"/>
            <w:noWrap/>
            <w:vAlign w:val="center"/>
            <w:hideMark/>
          </w:tcPr>
          <w:p w14:paraId="311F55E2" w14:textId="77777777" w:rsidR="00D40091" w:rsidRPr="00D40091" w:rsidRDefault="00D40091" w:rsidP="00AA502F">
            <w:pPr>
              <w:spacing w:line="240" w:lineRule="auto"/>
              <w:jc w:val="center"/>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1A2E8EA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72458F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74E41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5E948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274E0E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8E4B9F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BDF29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7118DB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77651B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128AD3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08A26D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F00FCB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3EBE6F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B9414F" w:rsidRPr="00D40091" w14:paraId="05B20442" w14:textId="77777777" w:rsidTr="00AA502F">
        <w:trPr>
          <w:trHeight w:val="315"/>
        </w:trPr>
        <w:tc>
          <w:tcPr>
            <w:tcW w:w="0" w:type="auto"/>
            <w:gridSpan w:val="4"/>
            <w:tcBorders>
              <w:top w:val="nil"/>
              <w:left w:val="nil"/>
              <w:bottom w:val="nil"/>
              <w:right w:val="nil"/>
            </w:tcBorders>
            <w:shd w:val="clear" w:color="000000" w:fill="FFFFFF"/>
            <w:noWrap/>
            <w:vAlign w:val="center"/>
            <w:hideMark/>
          </w:tcPr>
          <w:p w14:paraId="4D5E42F3" w14:textId="716FBEEF" w:rsidR="00D40091" w:rsidRPr="00D40091" w:rsidRDefault="00D40091" w:rsidP="007D6D88">
            <w:pPr>
              <w:pStyle w:val="Ttulo1"/>
              <w:rPr>
                <w:rFonts w:ascii="Arial" w:eastAsia="Times New Roman" w:hAnsi="Arial" w:cs="Arial"/>
                <w:color w:val="000000"/>
                <w:sz w:val="18"/>
                <w:szCs w:val="18"/>
              </w:rPr>
            </w:pPr>
            <w:bookmarkStart w:id="5" w:name="_Toc81581293"/>
            <w:r w:rsidRPr="00D40091">
              <w:rPr>
                <w:rFonts w:ascii="Arial" w:eastAsia="Times New Roman" w:hAnsi="Arial" w:cs="Arial"/>
                <w:color w:val="000000"/>
                <w:sz w:val="18"/>
                <w:szCs w:val="18"/>
              </w:rPr>
              <w:t xml:space="preserve">DEMONSTRAÇÕES DAS MUTAÇÕES DO PATRIMÔNIO </w:t>
            </w:r>
            <w:proofErr w:type="gramStart"/>
            <w:r w:rsidRPr="00D40091">
              <w:rPr>
                <w:rFonts w:ascii="Arial" w:eastAsia="Times New Roman" w:hAnsi="Arial" w:cs="Arial"/>
                <w:color w:val="000000"/>
                <w:sz w:val="18"/>
                <w:szCs w:val="18"/>
              </w:rPr>
              <w:t>LIQUIDO</w:t>
            </w:r>
            <w:proofErr w:type="gramEnd"/>
            <w:r w:rsidRPr="00D40091">
              <w:rPr>
                <w:rFonts w:ascii="Arial" w:eastAsia="Times New Roman" w:hAnsi="Arial" w:cs="Arial"/>
                <w:color w:val="000000"/>
                <w:sz w:val="18"/>
                <w:szCs w:val="18"/>
              </w:rPr>
              <w:t xml:space="preserve"> REFERENTES</w:t>
            </w:r>
            <w:bookmarkEnd w:id="5"/>
          </w:p>
        </w:tc>
        <w:tc>
          <w:tcPr>
            <w:tcW w:w="0" w:type="auto"/>
            <w:tcBorders>
              <w:top w:val="nil"/>
              <w:left w:val="nil"/>
              <w:bottom w:val="nil"/>
              <w:right w:val="nil"/>
            </w:tcBorders>
            <w:shd w:val="clear" w:color="000000" w:fill="FFFFFF"/>
            <w:noWrap/>
            <w:vAlign w:val="center"/>
            <w:hideMark/>
          </w:tcPr>
          <w:p w14:paraId="343B4935"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174436E"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44BB03F"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6B54033"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26C99CE"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B552CEE"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DA99009"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D078090"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3DBDF3E"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101993"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r>
      <w:tr w:rsidR="00CF2DD3" w:rsidRPr="00D40091" w14:paraId="5CAF1A48" w14:textId="77777777" w:rsidTr="00AA502F">
        <w:trPr>
          <w:trHeight w:val="315"/>
        </w:trPr>
        <w:tc>
          <w:tcPr>
            <w:tcW w:w="0" w:type="auto"/>
            <w:tcBorders>
              <w:top w:val="nil"/>
              <w:left w:val="nil"/>
              <w:bottom w:val="nil"/>
              <w:right w:val="nil"/>
            </w:tcBorders>
            <w:shd w:val="clear" w:color="000000" w:fill="FFFFFF"/>
            <w:noWrap/>
            <w:vAlign w:val="bottom"/>
            <w:hideMark/>
          </w:tcPr>
          <w:p w14:paraId="195A022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EM 31 de DEZEMBRO DE 2020 e 2019</w:t>
            </w:r>
          </w:p>
        </w:tc>
        <w:tc>
          <w:tcPr>
            <w:tcW w:w="0" w:type="auto"/>
            <w:tcBorders>
              <w:top w:val="nil"/>
              <w:left w:val="nil"/>
              <w:bottom w:val="nil"/>
              <w:right w:val="nil"/>
            </w:tcBorders>
            <w:shd w:val="clear" w:color="000000" w:fill="FFFFFF"/>
            <w:noWrap/>
            <w:vAlign w:val="center"/>
            <w:hideMark/>
          </w:tcPr>
          <w:p w14:paraId="2D11C2DA"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D6CE48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873BB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00B02A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171571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426334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8A915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6F6D9A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70898B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FD83F8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60B33E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6D4094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F74BE2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02F9AFCB" w14:textId="77777777" w:rsidTr="00AA502F">
        <w:trPr>
          <w:trHeight w:val="315"/>
        </w:trPr>
        <w:tc>
          <w:tcPr>
            <w:tcW w:w="0" w:type="auto"/>
            <w:tcBorders>
              <w:top w:val="nil"/>
              <w:left w:val="nil"/>
              <w:bottom w:val="nil"/>
              <w:right w:val="nil"/>
            </w:tcBorders>
            <w:shd w:val="clear" w:color="000000" w:fill="FFFFFF"/>
            <w:noWrap/>
            <w:vAlign w:val="center"/>
            <w:hideMark/>
          </w:tcPr>
          <w:p w14:paraId="449026A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926CC9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083E8D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F876E9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9AAA0C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1E79B5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D3E007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A3A14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66E08E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658CBB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78C8CC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60202A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62C1E9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59DD4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572636EA" w14:textId="77777777" w:rsidTr="00AA502F">
        <w:trPr>
          <w:trHeight w:val="315"/>
        </w:trPr>
        <w:tc>
          <w:tcPr>
            <w:tcW w:w="0" w:type="auto"/>
            <w:tcBorders>
              <w:top w:val="nil"/>
              <w:left w:val="nil"/>
              <w:bottom w:val="single" w:sz="4" w:space="0" w:color="auto"/>
              <w:right w:val="nil"/>
            </w:tcBorders>
            <w:shd w:val="clear" w:color="000000" w:fill="FFFFFF"/>
            <w:noWrap/>
            <w:vAlign w:val="center"/>
            <w:hideMark/>
          </w:tcPr>
          <w:p w14:paraId="3FD9A0C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(Valores expressos em reais R$)</w:t>
            </w:r>
          </w:p>
        </w:tc>
        <w:tc>
          <w:tcPr>
            <w:tcW w:w="0" w:type="auto"/>
            <w:tcBorders>
              <w:top w:val="nil"/>
              <w:left w:val="nil"/>
              <w:bottom w:val="single" w:sz="4" w:space="0" w:color="auto"/>
              <w:right w:val="nil"/>
            </w:tcBorders>
            <w:shd w:val="clear" w:color="000000" w:fill="FFFFFF"/>
            <w:noWrap/>
            <w:vAlign w:val="center"/>
            <w:hideMark/>
          </w:tcPr>
          <w:p w14:paraId="1AF9448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67C6471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3CA2B7C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970B5B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03F718D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80221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03A93C4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E7A3AC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022E772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B9D10B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6397339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AA41DE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center"/>
            <w:hideMark/>
          </w:tcPr>
          <w:p w14:paraId="451BD0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6D19E5A7" w14:textId="77777777" w:rsidTr="00AA502F">
        <w:trPr>
          <w:trHeight w:val="315"/>
        </w:trPr>
        <w:tc>
          <w:tcPr>
            <w:tcW w:w="0" w:type="auto"/>
            <w:tcBorders>
              <w:top w:val="nil"/>
              <w:left w:val="nil"/>
              <w:bottom w:val="nil"/>
              <w:right w:val="nil"/>
            </w:tcBorders>
            <w:shd w:val="clear" w:color="000000" w:fill="FFFFFF"/>
            <w:noWrap/>
            <w:vAlign w:val="center"/>
            <w:hideMark/>
          </w:tcPr>
          <w:p w14:paraId="7015A52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96E4D9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7A48EE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F0BDC7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16585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47CC8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7E6FD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394B33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AAC1C5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7C8543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B54235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5DD8F0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FC432F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4E4158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B9414F" w:rsidRPr="00D40091" w14:paraId="0F1E21DC" w14:textId="77777777" w:rsidTr="00AA502F">
        <w:trPr>
          <w:trHeight w:val="315"/>
        </w:trPr>
        <w:tc>
          <w:tcPr>
            <w:tcW w:w="0" w:type="auto"/>
            <w:tcBorders>
              <w:top w:val="nil"/>
              <w:left w:val="nil"/>
              <w:bottom w:val="nil"/>
              <w:right w:val="nil"/>
            </w:tcBorders>
            <w:shd w:val="clear" w:color="000000" w:fill="FFFFFF"/>
            <w:noWrap/>
            <w:vAlign w:val="center"/>
            <w:hideMark/>
          </w:tcPr>
          <w:p w14:paraId="158C382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F53B73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9A9956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gridSpan w:val="2"/>
            <w:tcBorders>
              <w:top w:val="nil"/>
              <w:left w:val="nil"/>
              <w:bottom w:val="nil"/>
              <w:right w:val="nil"/>
            </w:tcBorders>
            <w:shd w:val="clear" w:color="000000" w:fill="FFFFFF"/>
            <w:noWrap/>
            <w:vAlign w:val="center"/>
            <w:hideMark/>
          </w:tcPr>
          <w:p w14:paraId="49D535A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gridSpan w:val="3"/>
            <w:tcBorders>
              <w:top w:val="nil"/>
              <w:left w:val="nil"/>
              <w:bottom w:val="single" w:sz="4" w:space="0" w:color="auto"/>
              <w:right w:val="nil"/>
            </w:tcBorders>
            <w:shd w:val="clear" w:color="000000" w:fill="FFFFFF"/>
            <w:noWrap/>
            <w:vAlign w:val="center"/>
            <w:hideMark/>
          </w:tcPr>
          <w:p w14:paraId="1378527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Reservas de Lucros</w:t>
            </w:r>
          </w:p>
        </w:tc>
        <w:tc>
          <w:tcPr>
            <w:tcW w:w="0" w:type="auto"/>
            <w:tcBorders>
              <w:top w:val="nil"/>
              <w:left w:val="nil"/>
              <w:bottom w:val="nil"/>
              <w:right w:val="nil"/>
            </w:tcBorders>
            <w:shd w:val="clear" w:color="000000" w:fill="FFFFFF"/>
            <w:noWrap/>
            <w:vAlign w:val="center"/>
            <w:hideMark/>
          </w:tcPr>
          <w:p w14:paraId="09FF557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37DF08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182078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46853C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1631C4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4012C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0610278A" w14:textId="77777777" w:rsidTr="00AA502F">
        <w:trPr>
          <w:trHeight w:val="315"/>
        </w:trPr>
        <w:tc>
          <w:tcPr>
            <w:tcW w:w="0" w:type="auto"/>
            <w:tcBorders>
              <w:top w:val="nil"/>
              <w:left w:val="nil"/>
              <w:bottom w:val="nil"/>
              <w:right w:val="nil"/>
            </w:tcBorders>
            <w:shd w:val="clear" w:color="000000" w:fill="FFFFFF"/>
            <w:noWrap/>
            <w:vAlign w:val="center"/>
            <w:hideMark/>
          </w:tcPr>
          <w:p w14:paraId="1205B12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vMerge w:val="restart"/>
            <w:tcBorders>
              <w:top w:val="single" w:sz="4" w:space="0" w:color="auto"/>
              <w:left w:val="nil"/>
              <w:bottom w:val="single" w:sz="8" w:space="0" w:color="000000"/>
              <w:right w:val="nil"/>
            </w:tcBorders>
            <w:shd w:val="clear" w:color="000000" w:fill="FFFFFF"/>
            <w:vAlign w:val="center"/>
            <w:hideMark/>
          </w:tcPr>
          <w:p w14:paraId="7F6A7398"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Notas Explicativas</w:t>
            </w:r>
          </w:p>
        </w:tc>
        <w:tc>
          <w:tcPr>
            <w:tcW w:w="0" w:type="auto"/>
            <w:tcBorders>
              <w:top w:val="nil"/>
              <w:left w:val="nil"/>
              <w:bottom w:val="nil"/>
              <w:right w:val="nil"/>
            </w:tcBorders>
            <w:shd w:val="clear" w:color="000000" w:fill="FFFFFF"/>
            <w:noWrap/>
            <w:vAlign w:val="center"/>
            <w:hideMark/>
          </w:tcPr>
          <w:p w14:paraId="31E1782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1CBDD78"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Capital</w:t>
            </w:r>
          </w:p>
        </w:tc>
        <w:tc>
          <w:tcPr>
            <w:tcW w:w="0" w:type="auto"/>
            <w:tcBorders>
              <w:top w:val="nil"/>
              <w:left w:val="nil"/>
              <w:bottom w:val="nil"/>
              <w:right w:val="nil"/>
            </w:tcBorders>
            <w:shd w:val="clear" w:color="000000" w:fill="FFFFFF"/>
            <w:noWrap/>
            <w:vAlign w:val="center"/>
            <w:hideMark/>
          </w:tcPr>
          <w:p w14:paraId="74FC01E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E12B46"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Reserva Legal</w:t>
            </w:r>
          </w:p>
        </w:tc>
        <w:tc>
          <w:tcPr>
            <w:tcW w:w="0" w:type="auto"/>
            <w:tcBorders>
              <w:top w:val="nil"/>
              <w:left w:val="nil"/>
              <w:bottom w:val="nil"/>
              <w:right w:val="nil"/>
            </w:tcBorders>
            <w:shd w:val="clear" w:color="000000" w:fill="FFFFFF"/>
            <w:noWrap/>
            <w:vAlign w:val="center"/>
            <w:hideMark/>
          </w:tcPr>
          <w:p w14:paraId="1345CCC3"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77CD0E62"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Reserva de Lucros</w:t>
            </w:r>
          </w:p>
        </w:tc>
        <w:tc>
          <w:tcPr>
            <w:tcW w:w="0" w:type="auto"/>
            <w:tcBorders>
              <w:top w:val="nil"/>
              <w:left w:val="nil"/>
              <w:bottom w:val="nil"/>
              <w:right w:val="nil"/>
            </w:tcBorders>
            <w:shd w:val="clear" w:color="000000" w:fill="FFFFFF"/>
            <w:noWrap/>
            <w:vAlign w:val="center"/>
            <w:hideMark/>
          </w:tcPr>
          <w:p w14:paraId="10ADC9A1"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761CDB0F"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Lucros (Prejuízos)</w:t>
            </w:r>
          </w:p>
        </w:tc>
        <w:tc>
          <w:tcPr>
            <w:tcW w:w="0" w:type="auto"/>
            <w:tcBorders>
              <w:top w:val="nil"/>
              <w:left w:val="nil"/>
              <w:bottom w:val="nil"/>
              <w:right w:val="nil"/>
            </w:tcBorders>
            <w:shd w:val="clear" w:color="000000" w:fill="FFFFFF"/>
            <w:noWrap/>
            <w:vAlign w:val="center"/>
            <w:hideMark/>
          </w:tcPr>
          <w:p w14:paraId="4C0CC9C8"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21A5D6E6"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Ajustes de Avaliação</w:t>
            </w:r>
          </w:p>
        </w:tc>
        <w:tc>
          <w:tcPr>
            <w:tcW w:w="0" w:type="auto"/>
            <w:tcBorders>
              <w:top w:val="nil"/>
              <w:left w:val="nil"/>
              <w:bottom w:val="nil"/>
              <w:right w:val="nil"/>
            </w:tcBorders>
            <w:shd w:val="clear" w:color="000000" w:fill="FFFFFF"/>
            <w:noWrap/>
            <w:vAlign w:val="center"/>
            <w:hideMark/>
          </w:tcPr>
          <w:p w14:paraId="7231F5D7"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01B13378"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r>
      <w:tr w:rsidR="00CF2DD3" w:rsidRPr="00D40091" w14:paraId="505C64A3" w14:textId="77777777" w:rsidTr="00AA502F">
        <w:trPr>
          <w:trHeight w:val="315"/>
        </w:trPr>
        <w:tc>
          <w:tcPr>
            <w:tcW w:w="0" w:type="auto"/>
            <w:tcBorders>
              <w:top w:val="nil"/>
              <w:left w:val="nil"/>
              <w:bottom w:val="single" w:sz="8" w:space="0" w:color="auto"/>
              <w:right w:val="nil"/>
            </w:tcBorders>
            <w:shd w:val="clear" w:color="000000" w:fill="FFFFFF"/>
            <w:noWrap/>
            <w:vAlign w:val="center"/>
            <w:hideMark/>
          </w:tcPr>
          <w:p w14:paraId="34C97B4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vMerge/>
            <w:tcBorders>
              <w:top w:val="single" w:sz="4" w:space="0" w:color="auto"/>
              <w:left w:val="nil"/>
              <w:bottom w:val="single" w:sz="8" w:space="0" w:color="000000"/>
              <w:right w:val="nil"/>
            </w:tcBorders>
            <w:vAlign w:val="center"/>
            <w:hideMark/>
          </w:tcPr>
          <w:p w14:paraId="308C2336" w14:textId="77777777" w:rsidR="00D40091" w:rsidRPr="00D40091" w:rsidRDefault="00D40091" w:rsidP="00AA502F">
            <w:pPr>
              <w:spacing w:line="240" w:lineRule="auto"/>
              <w:rPr>
                <w:rFonts w:ascii="Arial" w:hAnsi="Arial" w:cs="Arial"/>
                <w:b/>
                <w:bCs/>
                <w:color w:val="000000"/>
                <w:sz w:val="18"/>
                <w:szCs w:val="18"/>
              </w:rPr>
            </w:pPr>
          </w:p>
        </w:tc>
        <w:tc>
          <w:tcPr>
            <w:tcW w:w="0" w:type="auto"/>
            <w:tcBorders>
              <w:top w:val="nil"/>
              <w:left w:val="nil"/>
              <w:bottom w:val="single" w:sz="8" w:space="0" w:color="auto"/>
              <w:right w:val="nil"/>
            </w:tcBorders>
            <w:shd w:val="clear" w:color="000000" w:fill="FFFFFF"/>
            <w:noWrap/>
            <w:vAlign w:val="center"/>
            <w:hideMark/>
          </w:tcPr>
          <w:p w14:paraId="0B2FAEF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8" w:space="0" w:color="auto"/>
              <w:right w:val="nil"/>
            </w:tcBorders>
            <w:shd w:val="clear" w:color="000000" w:fill="FFFFFF"/>
            <w:noWrap/>
            <w:vAlign w:val="center"/>
            <w:hideMark/>
          </w:tcPr>
          <w:p w14:paraId="3F5706FD"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Integralizado</w:t>
            </w:r>
          </w:p>
        </w:tc>
        <w:tc>
          <w:tcPr>
            <w:tcW w:w="0" w:type="auto"/>
            <w:tcBorders>
              <w:top w:val="nil"/>
              <w:left w:val="nil"/>
              <w:bottom w:val="nil"/>
              <w:right w:val="nil"/>
            </w:tcBorders>
            <w:shd w:val="clear" w:color="000000" w:fill="FFFFFF"/>
            <w:noWrap/>
            <w:vAlign w:val="center"/>
            <w:hideMark/>
          </w:tcPr>
          <w:p w14:paraId="08B3F948"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single" w:sz="8" w:space="0" w:color="auto"/>
              <w:right w:val="nil"/>
            </w:tcBorders>
            <w:shd w:val="clear" w:color="000000" w:fill="FFFFFF"/>
            <w:noWrap/>
            <w:vAlign w:val="center"/>
            <w:hideMark/>
          </w:tcPr>
          <w:p w14:paraId="7B6F0762"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6D7B3EB3"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single" w:sz="8" w:space="0" w:color="auto"/>
              <w:right w:val="nil"/>
            </w:tcBorders>
            <w:shd w:val="clear" w:color="000000" w:fill="FFFFFF"/>
            <w:noWrap/>
            <w:vAlign w:val="center"/>
            <w:hideMark/>
          </w:tcPr>
          <w:p w14:paraId="2C213BDC"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120230E1"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single" w:sz="8" w:space="0" w:color="auto"/>
              <w:right w:val="nil"/>
            </w:tcBorders>
            <w:shd w:val="clear" w:color="000000" w:fill="FFFFFF"/>
            <w:noWrap/>
            <w:vAlign w:val="center"/>
            <w:hideMark/>
          </w:tcPr>
          <w:p w14:paraId="7919E5ED"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acumulados</w:t>
            </w:r>
          </w:p>
        </w:tc>
        <w:tc>
          <w:tcPr>
            <w:tcW w:w="0" w:type="auto"/>
            <w:tcBorders>
              <w:top w:val="nil"/>
              <w:left w:val="nil"/>
              <w:bottom w:val="nil"/>
              <w:right w:val="nil"/>
            </w:tcBorders>
            <w:shd w:val="clear" w:color="000000" w:fill="FFFFFF"/>
            <w:noWrap/>
            <w:vAlign w:val="center"/>
            <w:hideMark/>
          </w:tcPr>
          <w:p w14:paraId="7196AC28"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single" w:sz="8" w:space="0" w:color="auto"/>
              <w:right w:val="nil"/>
            </w:tcBorders>
            <w:shd w:val="clear" w:color="000000" w:fill="FFFFFF"/>
            <w:noWrap/>
            <w:vAlign w:val="center"/>
            <w:hideMark/>
          </w:tcPr>
          <w:p w14:paraId="3C576C7F"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Patrimonial</w:t>
            </w:r>
          </w:p>
        </w:tc>
        <w:tc>
          <w:tcPr>
            <w:tcW w:w="0" w:type="auto"/>
            <w:tcBorders>
              <w:top w:val="nil"/>
              <w:left w:val="nil"/>
              <w:bottom w:val="nil"/>
              <w:right w:val="nil"/>
            </w:tcBorders>
            <w:shd w:val="clear" w:color="000000" w:fill="FFFFFF"/>
            <w:noWrap/>
            <w:vAlign w:val="center"/>
            <w:hideMark/>
          </w:tcPr>
          <w:p w14:paraId="00EA289F" w14:textId="77777777" w:rsidR="00D40091" w:rsidRPr="00D40091" w:rsidRDefault="00D40091" w:rsidP="00AA502F">
            <w:pPr>
              <w:spacing w:line="240" w:lineRule="auto"/>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single" w:sz="8" w:space="0" w:color="auto"/>
              <w:right w:val="nil"/>
            </w:tcBorders>
            <w:shd w:val="clear" w:color="000000" w:fill="FFFFFF"/>
            <w:noWrap/>
            <w:vAlign w:val="center"/>
            <w:hideMark/>
          </w:tcPr>
          <w:p w14:paraId="3224FF21"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Total</w:t>
            </w:r>
          </w:p>
        </w:tc>
      </w:tr>
      <w:tr w:rsidR="00CF2DD3" w:rsidRPr="00D40091" w14:paraId="230616BE" w14:textId="77777777" w:rsidTr="00AA502F">
        <w:trPr>
          <w:trHeight w:val="315"/>
        </w:trPr>
        <w:tc>
          <w:tcPr>
            <w:tcW w:w="0" w:type="auto"/>
            <w:tcBorders>
              <w:top w:val="nil"/>
              <w:left w:val="nil"/>
              <w:bottom w:val="nil"/>
              <w:right w:val="nil"/>
            </w:tcBorders>
            <w:shd w:val="clear" w:color="000000" w:fill="FFFFFF"/>
            <w:noWrap/>
            <w:vAlign w:val="center"/>
            <w:hideMark/>
          </w:tcPr>
          <w:p w14:paraId="038DA9C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CB7104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5F9787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E8E8DDA"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0DE48EE8"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144B224A"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216F39B7"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4305EA3C"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54F7E7F2"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c>
          <w:tcPr>
            <w:tcW w:w="0" w:type="auto"/>
            <w:tcBorders>
              <w:top w:val="nil"/>
              <w:left w:val="nil"/>
              <w:bottom w:val="nil"/>
              <w:right w:val="nil"/>
            </w:tcBorders>
            <w:shd w:val="clear" w:color="000000" w:fill="FFFFFF"/>
            <w:noWrap/>
            <w:vAlign w:val="center"/>
            <w:hideMark/>
          </w:tcPr>
          <w:p w14:paraId="458A1B2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41C5F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C54AA8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71E413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BA100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03004D8C" w14:textId="77777777" w:rsidTr="00AA502F">
        <w:trPr>
          <w:trHeight w:val="315"/>
        </w:trPr>
        <w:tc>
          <w:tcPr>
            <w:tcW w:w="0" w:type="auto"/>
            <w:tcBorders>
              <w:top w:val="nil"/>
              <w:left w:val="nil"/>
              <w:bottom w:val="nil"/>
              <w:right w:val="nil"/>
            </w:tcBorders>
            <w:shd w:val="clear" w:color="000000" w:fill="FFFFFF"/>
            <w:noWrap/>
            <w:vAlign w:val="center"/>
            <w:hideMark/>
          </w:tcPr>
          <w:p w14:paraId="3BA338F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FCD093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7E7404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D99876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5EB9F3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B48722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550F6B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E15F0E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AC76B4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F6BD78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37B06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E783EC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60C674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4E3D21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4438B72F" w14:textId="77777777" w:rsidTr="00AA502F">
        <w:trPr>
          <w:trHeight w:val="315"/>
        </w:trPr>
        <w:tc>
          <w:tcPr>
            <w:tcW w:w="0" w:type="auto"/>
            <w:tcBorders>
              <w:top w:val="nil"/>
              <w:left w:val="nil"/>
              <w:bottom w:val="nil"/>
              <w:right w:val="nil"/>
            </w:tcBorders>
            <w:shd w:val="clear" w:color="000000" w:fill="FFFFFF"/>
            <w:noWrap/>
            <w:vAlign w:val="center"/>
            <w:hideMark/>
          </w:tcPr>
          <w:p w14:paraId="3DABB16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7EC08E95"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3C2AF1C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568923E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632FD8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D350F1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791BB0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CC0E02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E64CFA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C7F013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F5ED37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3E2EAA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34FBBA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4DF43C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5FB3F3F0" w14:textId="77777777" w:rsidTr="00AA502F">
        <w:trPr>
          <w:trHeight w:val="315"/>
        </w:trPr>
        <w:tc>
          <w:tcPr>
            <w:tcW w:w="0" w:type="auto"/>
            <w:tcBorders>
              <w:top w:val="nil"/>
              <w:left w:val="nil"/>
              <w:bottom w:val="nil"/>
              <w:right w:val="nil"/>
            </w:tcBorders>
            <w:shd w:val="clear" w:color="000000" w:fill="FFFFFF"/>
            <w:noWrap/>
            <w:vAlign w:val="center"/>
            <w:hideMark/>
          </w:tcPr>
          <w:p w14:paraId="4ED86A41"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SALDOS EM 1 DE JANEIRO DE 2019</w:t>
            </w:r>
          </w:p>
        </w:tc>
        <w:tc>
          <w:tcPr>
            <w:tcW w:w="0" w:type="auto"/>
            <w:tcBorders>
              <w:top w:val="nil"/>
              <w:left w:val="nil"/>
              <w:bottom w:val="nil"/>
              <w:right w:val="nil"/>
            </w:tcBorders>
            <w:shd w:val="clear" w:color="000000" w:fill="FFFFFF"/>
            <w:noWrap/>
            <w:vAlign w:val="center"/>
            <w:hideMark/>
          </w:tcPr>
          <w:p w14:paraId="5F7113D5"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1012B284"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38572727" w14:textId="56B622B2"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r w:rsidR="00B9414F">
              <w:rPr>
                <w:rFonts w:ascii="Arial" w:hAnsi="Arial" w:cs="Arial"/>
                <w:color w:val="000000"/>
                <w:sz w:val="18"/>
                <w:szCs w:val="18"/>
              </w:rPr>
              <w:t xml:space="preserve">     </w:t>
            </w:r>
            <w:r w:rsidR="00BC3874">
              <w:rPr>
                <w:rFonts w:ascii="Arial" w:hAnsi="Arial" w:cs="Arial"/>
                <w:color w:val="000000"/>
                <w:sz w:val="18"/>
                <w:szCs w:val="18"/>
              </w:rPr>
              <w:t xml:space="preserve">  </w:t>
            </w:r>
            <w:r w:rsidR="00B9414F">
              <w:rPr>
                <w:rFonts w:ascii="Arial" w:hAnsi="Arial" w:cs="Arial"/>
                <w:color w:val="000000"/>
                <w:sz w:val="18"/>
                <w:szCs w:val="18"/>
              </w:rPr>
              <w:t xml:space="preserve"> </w:t>
            </w:r>
            <w:r w:rsidRPr="00D40091">
              <w:rPr>
                <w:rFonts w:ascii="Arial" w:hAnsi="Arial" w:cs="Arial"/>
                <w:color w:val="000000"/>
                <w:sz w:val="18"/>
                <w:szCs w:val="18"/>
              </w:rPr>
              <w:t xml:space="preserve">204.164.469 </w:t>
            </w:r>
          </w:p>
        </w:tc>
        <w:tc>
          <w:tcPr>
            <w:tcW w:w="0" w:type="auto"/>
            <w:tcBorders>
              <w:top w:val="nil"/>
              <w:left w:val="nil"/>
              <w:bottom w:val="nil"/>
              <w:right w:val="nil"/>
            </w:tcBorders>
            <w:shd w:val="clear" w:color="000000" w:fill="FFFFFF"/>
            <w:noWrap/>
            <w:vAlign w:val="center"/>
            <w:hideMark/>
          </w:tcPr>
          <w:p w14:paraId="0285DBA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6448A9B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2.489.049 </w:t>
            </w:r>
          </w:p>
        </w:tc>
        <w:tc>
          <w:tcPr>
            <w:tcW w:w="0" w:type="auto"/>
            <w:tcBorders>
              <w:top w:val="nil"/>
              <w:left w:val="nil"/>
              <w:bottom w:val="nil"/>
              <w:right w:val="nil"/>
            </w:tcBorders>
            <w:shd w:val="clear" w:color="000000" w:fill="FFFFFF"/>
            <w:noWrap/>
            <w:vAlign w:val="center"/>
            <w:hideMark/>
          </w:tcPr>
          <w:p w14:paraId="52A41B6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7CBC8FF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40.473.617 </w:t>
            </w:r>
          </w:p>
        </w:tc>
        <w:tc>
          <w:tcPr>
            <w:tcW w:w="0" w:type="auto"/>
            <w:tcBorders>
              <w:top w:val="nil"/>
              <w:left w:val="nil"/>
              <w:bottom w:val="nil"/>
              <w:right w:val="nil"/>
            </w:tcBorders>
            <w:shd w:val="clear" w:color="000000" w:fill="FFFFFF"/>
            <w:noWrap/>
            <w:vAlign w:val="center"/>
            <w:hideMark/>
          </w:tcPr>
          <w:p w14:paraId="68ECDEF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62334FF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58FE8E8"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auto" w:fill="auto"/>
            <w:noWrap/>
            <w:vAlign w:val="center"/>
            <w:hideMark/>
          </w:tcPr>
          <w:p w14:paraId="5CE70A3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2680869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2BB87D84"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247.127.135 </w:t>
            </w:r>
          </w:p>
        </w:tc>
      </w:tr>
      <w:tr w:rsidR="00CF2DD3" w:rsidRPr="00D40091" w14:paraId="3D963A1F" w14:textId="77777777" w:rsidTr="00AA502F">
        <w:trPr>
          <w:trHeight w:val="270"/>
        </w:trPr>
        <w:tc>
          <w:tcPr>
            <w:tcW w:w="0" w:type="auto"/>
            <w:tcBorders>
              <w:top w:val="nil"/>
              <w:left w:val="nil"/>
              <w:bottom w:val="nil"/>
              <w:right w:val="nil"/>
            </w:tcBorders>
            <w:shd w:val="clear" w:color="000000" w:fill="FFFFFF"/>
            <w:noWrap/>
            <w:vAlign w:val="center"/>
            <w:hideMark/>
          </w:tcPr>
          <w:p w14:paraId="15A226DD"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08B9BC9D"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58857BB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13E833E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E1B507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8EB16F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DDCAF8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6460DC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88A84C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5155E3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FCCA1E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86CC62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FFBBEA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CF0F9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1C3231DD" w14:textId="77777777" w:rsidTr="00AA502F">
        <w:trPr>
          <w:trHeight w:val="255"/>
        </w:trPr>
        <w:tc>
          <w:tcPr>
            <w:tcW w:w="0" w:type="auto"/>
            <w:tcBorders>
              <w:top w:val="nil"/>
              <w:left w:val="nil"/>
              <w:bottom w:val="nil"/>
              <w:right w:val="nil"/>
            </w:tcBorders>
            <w:shd w:val="clear" w:color="000000" w:fill="FFFFFF"/>
            <w:noWrap/>
            <w:vAlign w:val="center"/>
            <w:hideMark/>
          </w:tcPr>
          <w:p w14:paraId="4740936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Ajuste de </w:t>
            </w:r>
            <w:proofErr w:type="spellStart"/>
            <w:r w:rsidRPr="00D40091">
              <w:rPr>
                <w:rFonts w:ascii="Arial" w:hAnsi="Arial" w:cs="Arial"/>
                <w:sz w:val="18"/>
                <w:szCs w:val="18"/>
              </w:rPr>
              <w:t>exercicio</w:t>
            </w:r>
            <w:proofErr w:type="spellEnd"/>
            <w:r w:rsidRPr="00D40091">
              <w:rPr>
                <w:rFonts w:ascii="Arial" w:hAnsi="Arial" w:cs="Arial"/>
                <w:sz w:val="18"/>
                <w:szCs w:val="18"/>
              </w:rPr>
              <w:t xml:space="preserve"> anterior</w:t>
            </w:r>
          </w:p>
        </w:tc>
        <w:tc>
          <w:tcPr>
            <w:tcW w:w="0" w:type="auto"/>
            <w:tcBorders>
              <w:top w:val="nil"/>
              <w:left w:val="nil"/>
              <w:bottom w:val="nil"/>
              <w:right w:val="nil"/>
            </w:tcBorders>
            <w:shd w:val="clear" w:color="000000" w:fill="FFFFFF"/>
            <w:noWrap/>
            <w:vAlign w:val="center"/>
            <w:hideMark/>
          </w:tcPr>
          <w:p w14:paraId="1364801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1937EE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2781764"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4264F5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BF7C2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90B989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CE90B2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35DC98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auto" w:fill="auto"/>
            <w:noWrap/>
            <w:vAlign w:val="center"/>
            <w:hideMark/>
          </w:tcPr>
          <w:p w14:paraId="0008614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82.966 </w:t>
            </w:r>
          </w:p>
        </w:tc>
        <w:tc>
          <w:tcPr>
            <w:tcW w:w="0" w:type="auto"/>
            <w:tcBorders>
              <w:top w:val="nil"/>
              <w:left w:val="nil"/>
              <w:bottom w:val="nil"/>
              <w:right w:val="nil"/>
            </w:tcBorders>
            <w:shd w:val="clear" w:color="000000" w:fill="FFFFFF"/>
            <w:noWrap/>
            <w:vAlign w:val="center"/>
            <w:hideMark/>
          </w:tcPr>
          <w:p w14:paraId="5C88036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8F886B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155670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45E997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82.966 </w:t>
            </w:r>
          </w:p>
        </w:tc>
      </w:tr>
      <w:tr w:rsidR="00CF2DD3" w:rsidRPr="00D40091" w14:paraId="13C10DFE" w14:textId="77777777" w:rsidTr="00AA502F">
        <w:trPr>
          <w:trHeight w:val="255"/>
        </w:trPr>
        <w:tc>
          <w:tcPr>
            <w:tcW w:w="0" w:type="auto"/>
            <w:tcBorders>
              <w:top w:val="nil"/>
              <w:left w:val="nil"/>
              <w:bottom w:val="nil"/>
              <w:right w:val="nil"/>
            </w:tcBorders>
            <w:shd w:val="clear" w:color="000000" w:fill="FFFFFF"/>
            <w:noWrap/>
            <w:vAlign w:val="center"/>
            <w:hideMark/>
          </w:tcPr>
          <w:p w14:paraId="4CAFB7A3"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000000" w:fill="FFFFFF"/>
            <w:noWrap/>
            <w:vAlign w:val="center"/>
            <w:hideMark/>
          </w:tcPr>
          <w:p w14:paraId="0C24C59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9BC7EA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F54B0B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F0CAF6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4B1E87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1.148.717 </w:t>
            </w:r>
          </w:p>
        </w:tc>
        <w:tc>
          <w:tcPr>
            <w:tcW w:w="0" w:type="auto"/>
            <w:tcBorders>
              <w:top w:val="nil"/>
              <w:left w:val="nil"/>
              <w:bottom w:val="nil"/>
              <w:right w:val="nil"/>
            </w:tcBorders>
            <w:shd w:val="clear" w:color="000000" w:fill="FFFFFF"/>
            <w:noWrap/>
            <w:vAlign w:val="center"/>
            <w:hideMark/>
          </w:tcPr>
          <w:p w14:paraId="58302CB8"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B30629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A43FDB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D69702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(1.148.717)</w:t>
            </w:r>
          </w:p>
        </w:tc>
        <w:tc>
          <w:tcPr>
            <w:tcW w:w="0" w:type="auto"/>
            <w:tcBorders>
              <w:top w:val="nil"/>
              <w:left w:val="nil"/>
              <w:bottom w:val="nil"/>
              <w:right w:val="nil"/>
            </w:tcBorders>
            <w:shd w:val="clear" w:color="000000" w:fill="FFFFFF"/>
            <w:noWrap/>
            <w:vAlign w:val="center"/>
            <w:hideMark/>
          </w:tcPr>
          <w:p w14:paraId="10FF9E9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7409A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3A4379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DF5A4D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39EC3670" w14:textId="77777777" w:rsidTr="00AA502F">
        <w:trPr>
          <w:trHeight w:val="255"/>
        </w:trPr>
        <w:tc>
          <w:tcPr>
            <w:tcW w:w="0" w:type="auto"/>
            <w:tcBorders>
              <w:top w:val="nil"/>
              <w:left w:val="nil"/>
              <w:bottom w:val="nil"/>
              <w:right w:val="nil"/>
            </w:tcBorders>
            <w:shd w:val="clear" w:color="000000" w:fill="FFFFFF"/>
            <w:noWrap/>
            <w:vAlign w:val="center"/>
            <w:hideMark/>
          </w:tcPr>
          <w:p w14:paraId="70428CD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Reserva Legal</w:t>
            </w:r>
          </w:p>
        </w:tc>
        <w:tc>
          <w:tcPr>
            <w:tcW w:w="0" w:type="auto"/>
            <w:tcBorders>
              <w:top w:val="nil"/>
              <w:left w:val="nil"/>
              <w:bottom w:val="nil"/>
              <w:right w:val="nil"/>
            </w:tcBorders>
            <w:shd w:val="clear" w:color="000000" w:fill="FFFFFF"/>
            <w:noWrap/>
            <w:vAlign w:val="center"/>
            <w:hideMark/>
          </w:tcPr>
          <w:p w14:paraId="4422A79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0852E3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049E6D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E28B1A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A34FF5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34ABC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5AE14C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5F23C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6ED5AB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ABD35B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C3235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42ED934"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44F869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r>
      <w:tr w:rsidR="00CF2DD3" w:rsidRPr="00D40091" w14:paraId="016D7E01" w14:textId="77777777" w:rsidTr="00AA502F">
        <w:trPr>
          <w:trHeight w:val="255"/>
        </w:trPr>
        <w:tc>
          <w:tcPr>
            <w:tcW w:w="0" w:type="auto"/>
            <w:tcBorders>
              <w:top w:val="nil"/>
              <w:left w:val="nil"/>
              <w:bottom w:val="nil"/>
              <w:right w:val="nil"/>
            </w:tcBorders>
            <w:shd w:val="clear" w:color="000000" w:fill="FFFFFF"/>
            <w:noWrap/>
            <w:vAlign w:val="center"/>
            <w:hideMark/>
          </w:tcPr>
          <w:p w14:paraId="35F134C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182010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36DF10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BC4C66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6FC449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6E059A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DB4A3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2BBA3F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38EB94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5661A74"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911A92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594502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5D2FCF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A3EAC8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380C903D" w14:textId="77777777" w:rsidTr="00AA502F">
        <w:trPr>
          <w:trHeight w:val="255"/>
        </w:trPr>
        <w:tc>
          <w:tcPr>
            <w:tcW w:w="0" w:type="auto"/>
            <w:tcBorders>
              <w:top w:val="nil"/>
              <w:left w:val="nil"/>
              <w:bottom w:val="nil"/>
              <w:right w:val="nil"/>
            </w:tcBorders>
            <w:shd w:val="clear" w:color="000000" w:fill="FFFFFF"/>
            <w:noWrap/>
            <w:vAlign w:val="center"/>
            <w:hideMark/>
          </w:tcPr>
          <w:p w14:paraId="6087A05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Dividendos a Distribuir</w:t>
            </w:r>
          </w:p>
        </w:tc>
        <w:tc>
          <w:tcPr>
            <w:tcW w:w="0" w:type="auto"/>
            <w:tcBorders>
              <w:top w:val="nil"/>
              <w:left w:val="nil"/>
              <w:bottom w:val="nil"/>
              <w:right w:val="nil"/>
            </w:tcBorders>
            <w:shd w:val="clear" w:color="000000" w:fill="FFFFFF"/>
            <w:noWrap/>
            <w:vAlign w:val="center"/>
            <w:hideMark/>
          </w:tcPr>
          <w:p w14:paraId="4E1FEBD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A8B86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B6506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5387B1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D6966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D554CC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C6F5A3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6E3E9E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092516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491B7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7AF1ED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43ECE9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8817F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r>
      <w:tr w:rsidR="00CF2DD3" w:rsidRPr="00D40091" w14:paraId="77D080B4" w14:textId="77777777" w:rsidTr="00AA502F">
        <w:trPr>
          <w:trHeight w:val="255"/>
        </w:trPr>
        <w:tc>
          <w:tcPr>
            <w:tcW w:w="0" w:type="auto"/>
            <w:tcBorders>
              <w:top w:val="nil"/>
              <w:left w:val="nil"/>
              <w:bottom w:val="nil"/>
              <w:right w:val="nil"/>
            </w:tcBorders>
            <w:shd w:val="clear" w:color="000000" w:fill="FFFFFF"/>
            <w:noWrap/>
            <w:vAlign w:val="center"/>
            <w:hideMark/>
          </w:tcPr>
          <w:p w14:paraId="5506336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9EEB59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5B8F3B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369899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D154B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3AB6338"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10A2F6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EC9C7B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DFF284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0B8BDC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A55458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459E5E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7D67550"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95F4B1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2CC2606A" w14:textId="77777777" w:rsidTr="00AA502F">
        <w:trPr>
          <w:trHeight w:val="255"/>
        </w:trPr>
        <w:tc>
          <w:tcPr>
            <w:tcW w:w="0" w:type="auto"/>
            <w:tcBorders>
              <w:top w:val="nil"/>
              <w:left w:val="nil"/>
              <w:bottom w:val="nil"/>
              <w:right w:val="nil"/>
            </w:tcBorders>
            <w:shd w:val="clear" w:color="000000" w:fill="FFFFFF"/>
            <w:noWrap/>
            <w:vAlign w:val="center"/>
            <w:hideMark/>
          </w:tcPr>
          <w:p w14:paraId="14E660F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Lucro do Exercício</w:t>
            </w:r>
          </w:p>
        </w:tc>
        <w:tc>
          <w:tcPr>
            <w:tcW w:w="0" w:type="auto"/>
            <w:tcBorders>
              <w:top w:val="nil"/>
              <w:left w:val="nil"/>
              <w:bottom w:val="nil"/>
              <w:right w:val="nil"/>
            </w:tcBorders>
            <w:shd w:val="clear" w:color="000000" w:fill="FFFFFF"/>
            <w:noWrap/>
            <w:vAlign w:val="center"/>
            <w:hideMark/>
          </w:tcPr>
          <w:p w14:paraId="6521D896"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7EE6E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56E1CA4"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C4D93C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72BD93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839FB16"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362537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E298360"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auto" w:fill="auto"/>
            <w:noWrap/>
            <w:vAlign w:val="center"/>
            <w:hideMark/>
          </w:tcPr>
          <w:p w14:paraId="19A1F71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22.974.349 </w:t>
            </w:r>
          </w:p>
        </w:tc>
        <w:tc>
          <w:tcPr>
            <w:tcW w:w="0" w:type="auto"/>
            <w:tcBorders>
              <w:top w:val="nil"/>
              <w:left w:val="nil"/>
              <w:bottom w:val="nil"/>
              <w:right w:val="nil"/>
            </w:tcBorders>
            <w:shd w:val="clear" w:color="000000" w:fill="FFFFFF"/>
            <w:noWrap/>
            <w:vAlign w:val="center"/>
            <w:hideMark/>
          </w:tcPr>
          <w:p w14:paraId="7590A82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990FED2"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p>
        </w:tc>
        <w:tc>
          <w:tcPr>
            <w:tcW w:w="0" w:type="auto"/>
            <w:tcBorders>
              <w:top w:val="nil"/>
              <w:left w:val="nil"/>
              <w:bottom w:val="nil"/>
              <w:right w:val="nil"/>
            </w:tcBorders>
            <w:shd w:val="clear" w:color="000000" w:fill="FFFFFF"/>
            <w:noWrap/>
            <w:vAlign w:val="center"/>
            <w:hideMark/>
          </w:tcPr>
          <w:p w14:paraId="5A8C9FE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FDFEE3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22.974.349 </w:t>
            </w:r>
          </w:p>
        </w:tc>
      </w:tr>
      <w:tr w:rsidR="00CF2DD3" w:rsidRPr="00D40091" w14:paraId="3C51DE26" w14:textId="77777777" w:rsidTr="00AA502F">
        <w:trPr>
          <w:trHeight w:val="255"/>
        </w:trPr>
        <w:tc>
          <w:tcPr>
            <w:tcW w:w="0" w:type="auto"/>
            <w:tcBorders>
              <w:top w:val="nil"/>
              <w:left w:val="nil"/>
              <w:bottom w:val="nil"/>
              <w:right w:val="nil"/>
            </w:tcBorders>
            <w:shd w:val="clear" w:color="000000" w:fill="FFFFFF"/>
            <w:noWrap/>
            <w:vAlign w:val="center"/>
            <w:hideMark/>
          </w:tcPr>
          <w:p w14:paraId="37F9915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C49470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3635D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4BBC3A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4ED6D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59577F0"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226E6A3"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96AF1C0"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6C93A5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0D156B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9F92678"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645779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20A16A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813D7F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449DFB1A" w14:textId="77777777" w:rsidTr="00AA502F">
        <w:trPr>
          <w:trHeight w:val="255"/>
        </w:trPr>
        <w:tc>
          <w:tcPr>
            <w:tcW w:w="0" w:type="auto"/>
            <w:tcBorders>
              <w:top w:val="nil"/>
              <w:left w:val="nil"/>
              <w:bottom w:val="nil"/>
              <w:right w:val="nil"/>
            </w:tcBorders>
            <w:shd w:val="clear" w:color="000000" w:fill="FFFFFF"/>
            <w:noWrap/>
            <w:vAlign w:val="center"/>
            <w:hideMark/>
          </w:tcPr>
          <w:p w14:paraId="2BC43E7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Reserva de Lucros a Realizar</w:t>
            </w:r>
          </w:p>
        </w:tc>
        <w:tc>
          <w:tcPr>
            <w:tcW w:w="0" w:type="auto"/>
            <w:tcBorders>
              <w:top w:val="nil"/>
              <w:left w:val="nil"/>
              <w:bottom w:val="nil"/>
              <w:right w:val="nil"/>
            </w:tcBorders>
            <w:shd w:val="clear" w:color="000000" w:fill="FFFFFF"/>
            <w:noWrap/>
            <w:vAlign w:val="center"/>
            <w:hideMark/>
          </w:tcPr>
          <w:p w14:paraId="229CE28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7AA13B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2C3AE7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80A1594"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EAA7A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62DB5A9"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auto" w:fill="auto"/>
            <w:noWrap/>
            <w:vAlign w:val="center"/>
            <w:hideMark/>
          </w:tcPr>
          <w:p w14:paraId="629EFD1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21.908.598 </w:t>
            </w:r>
          </w:p>
        </w:tc>
        <w:tc>
          <w:tcPr>
            <w:tcW w:w="0" w:type="auto"/>
            <w:tcBorders>
              <w:top w:val="nil"/>
              <w:left w:val="nil"/>
              <w:bottom w:val="nil"/>
              <w:right w:val="nil"/>
            </w:tcBorders>
            <w:shd w:val="clear" w:color="000000" w:fill="FFFFFF"/>
            <w:noWrap/>
            <w:vAlign w:val="center"/>
            <w:hideMark/>
          </w:tcPr>
          <w:p w14:paraId="085F6BD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auto" w:fill="auto"/>
            <w:noWrap/>
            <w:vAlign w:val="center"/>
            <w:hideMark/>
          </w:tcPr>
          <w:p w14:paraId="4FB9CC5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(21.908.598)</w:t>
            </w:r>
          </w:p>
        </w:tc>
        <w:tc>
          <w:tcPr>
            <w:tcW w:w="0" w:type="auto"/>
            <w:tcBorders>
              <w:top w:val="nil"/>
              <w:left w:val="nil"/>
              <w:bottom w:val="nil"/>
              <w:right w:val="nil"/>
            </w:tcBorders>
            <w:shd w:val="clear" w:color="000000" w:fill="FFFFFF"/>
            <w:noWrap/>
            <w:vAlign w:val="center"/>
            <w:hideMark/>
          </w:tcPr>
          <w:p w14:paraId="25E0CAE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BD584B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9525208"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621AAB0"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r>
      <w:tr w:rsidR="00CF2DD3" w:rsidRPr="00D40091" w14:paraId="757D4F0E" w14:textId="77777777" w:rsidTr="00AA502F">
        <w:trPr>
          <w:trHeight w:val="102"/>
        </w:trPr>
        <w:tc>
          <w:tcPr>
            <w:tcW w:w="0" w:type="auto"/>
            <w:tcBorders>
              <w:top w:val="nil"/>
              <w:left w:val="nil"/>
              <w:bottom w:val="nil"/>
              <w:right w:val="nil"/>
            </w:tcBorders>
            <w:shd w:val="clear" w:color="000000" w:fill="FFFFFF"/>
            <w:noWrap/>
            <w:vAlign w:val="center"/>
            <w:hideMark/>
          </w:tcPr>
          <w:p w14:paraId="7BB6F42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4C06E1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54CCCA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E545AD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52DD61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A7A8D5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A8E094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6075A4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31F8CC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C682AC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33DB32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10F25C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D2A179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D8E2B0" w14:textId="77777777" w:rsidR="00D40091" w:rsidRPr="00D40091" w:rsidRDefault="00D40091" w:rsidP="00B9414F">
            <w:pPr>
              <w:spacing w:line="240" w:lineRule="auto"/>
              <w:jc w:val="right"/>
              <w:rPr>
                <w:rFonts w:ascii="Arial" w:hAnsi="Arial" w:cs="Arial"/>
                <w:color w:val="FFFFFF"/>
                <w:sz w:val="18"/>
                <w:szCs w:val="18"/>
              </w:rPr>
            </w:pPr>
            <w:r w:rsidRPr="00D40091">
              <w:rPr>
                <w:rFonts w:ascii="Arial" w:hAnsi="Arial" w:cs="Arial"/>
                <w:color w:val="FFFFFF"/>
                <w:sz w:val="18"/>
                <w:szCs w:val="18"/>
              </w:rPr>
              <w:t> </w:t>
            </w:r>
          </w:p>
        </w:tc>
      </w:tr>
      <w:tr w:rsidR="00CF2DD3" w:rsidRPr="00D40091" w14:paraId="584D19BA" w14:textId="77777777" w:rsidTr="00AA502F">
        <w:trPr>
          <w:trHeight w:val="102"/>
        </w:trPr>
        <w:tc>
          <w:tcPr>
            <w:tcW w:w="0" w:type="auto"/>
            <w:tcBorders>
              <w:top w:val="nil"/>
              <w:left w:val="nil"/>
              <w:bottom w:val="nil"/>
              <w:right w:val="nil"/>
            </w:tcBorders>
            <w:shd w:val="clear" w:color="000000" w:fill="FFFFFF"/>
            <w:noWrap/>
            <w:vAlign w:val="center"/>
            <w:hideMark/>
          </w:tcPr>
          <w:p w14:paraId="634EB31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D3A3015"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C53799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96C2EC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64C8155"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00A745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1D2A7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5F38F78"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BD3BFD1"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728AD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6464D9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21BD69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1049AA0"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8ACCD4F"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50BB45CD" w14:textId="77777777" w:rsidTr="00AA502F">
        <w:trPr>
          <w:trHeight w:val="315"/>
        </w:trPr>
        <w:tc>
          <w:tcPr>
            <w:tcW w:w="0" w:type="auto"/>
            <w:tcBorders>
              <w:top w:val="nil"/>
              <w:left w:val="nil"/>
              <w:bottom w:val="nil"/>
              <w:right w:val="nil"/>
            </w:tcBorders>
            <w:shd w:val="clear" w:color="000000" w:fill="FFFFFF"/>
            <w:noWrap/>
            <w:vAlign w:val="center"/>
            <w:hideMark/>
          </w:tcPr>
          <w:p w14:paraId="20E0E01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SALDOS EM 31 DE DEZEMBRO DE 2019</w:t>
            </w:r>
          </w:p>
        </w:tc>
        <w:tc>
          <w:tcPr>
            <w:tcW w:w="0" w:type="auto"/>
            <w:tcBorders>
              <w:top w:val="nil"/>
              <w:left w:val="nil"/>
              <w:bottom w:val="nil"/>
              <w:right w:val="nil"/>
            </w:tcBorders>
            <w:shd w:val="clear" w:color="000000" w:fill="FFFFFF"/>
            <w:noWrap/>
            <w:vAlign w:val="center"/>
            <w:hideMark/>
          </w:tcPr>
          <w:p w14:paraId="6E01C54B"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54FAC08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32B83B94" w14:textId="7450753C"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r w:rsidR="002051F1">
              <w:rPr>
                <w:rFonts w:ascii="Arial" w:hAnsi="Arial" w:cs="Arial"/>
                <w:color w:val="000000"/>
                <w:sz w:val="18"/>
                <w:szCs w:val="18"/>
              </w:rPr>
              <w:t xml:space="preserve">       </w:t>
            </w:r>
            <w:r w:rsidRPr="00D40091">
              <w:rPr>
                <w:rFonts w:ascii="Arial" w:hAnsi="Arial" w:cs="Arial"/>
                <w:color w:val="000000"/>
                <w:sz w:val="18"/>
                <w:szCs w:val="18"/>
              </w:rPr>
              <w:t xml:space="preserve">    204.164.469 </w:t>
            </w:r>
          </w:p>
        </w:tc>
        <w:tc>
          <w:tcPr>
            <w:tcW w:w="0" w:type="auto"/>
            <w:tcBorders>
              <w:top w:val="nil"/>
              <w:left w:val="nil"/>
              <w:bottom w:val="nil"/>
              <w:right w:val="nil"/>
            </w:tcBorders>
            <w:shd w:val="clear" w:color="auto" w:fill="auto"/>
            <w:noWrap/>
            <w:vAlign w:val="center"/>
            <w:hideMark/>
          </w:tcPr>
          <w:p w14:paraId="60D27C5F" w14:textId="77777777" w:rsidR="00D40091" w:rsidRPr="00D40091" w:rsidRDefault="00D40091" w:rsidP="00B9414F">
            <w:pPr>
              <w:spacing w:line="240" w:lineRule="auto"/>
              <w:jc w:val="right"/>
              <w:rPr>
                <w:rFonts w:ascii="Arial" w:hAnsi="Arial" w:cs="Arial"/>
                <w:color w:val="000000"/>
                <w:sz w:val="18"/>
                <w:szCs w:val="18"/>
              </w:rPr>
            </w:pPr>
          </w:p>
        </w:tc>
        <w:tc>
          <w:tcPr>
            <w:tcW w:w="0" w:type="auto"/>
            <w:tcBorders>
              <w:top w:val="single" w:sz="4" w:space="0" w:color="auto"/>
              <w:left w:val="nil"/>
              <w:bottom w:val="double" w:sz="6" w:space="0" w:color="auto"/>
              <w:right w:val="nil"/>
            </w:tcBorders>
            <w:shd w:val="clear" w:color="000000" w:fill="FFFFFF"/>
            <w:noWrap/>
            <w:vAlign w:val="center"/>
            <w:hideMark/>
          </w:tcPr>
          <w:p w14:paraId="05FA400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3.637.766 </w:t>
            </w:r>
          </w:p>
        </w:tc>
        <w:tc>
          <w:tcPr>
            <w:tcW w:w="0" w:type="auto"/>
            <w:tcBorders>
              <w:top w:val="nil"/>
              <w:left w:val="nil"/>
              <w:bottom w:val="nil"/>
              <w:right w:val="nil"/>
            </w:tcBorders>
            <w:shd w:val="clear" w:color="000000" w:fill="FFFFFF"/>
            <w:noWrap/>
            <w:vAlign w:val="center"/>
            <w:hideMark/>
          </w:tcPr>
          <w:p w14:paraId="6C76F527"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2AA7C43E"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62.382.215 </w:t>
            </w:r>
          </w:p>
        </w:tc>
        <w:tc>
          <w:tcPr>
            <w:tcW w:w="0" w:type="auto"/>
            <w:tcBorders>
              <w:top w:val="nil"/>
              <w:left w:val="nil"/>
              <w:bottom w:val="nil"/>
              <w:right w:val="nil"/>
            </w:tcBorders>
            <w:shd w:val="clear" w:color="000000" w:fill="FFFFFF"/>
            <w:noWrap/>
            <w:vAlign w:val="center"/>
            <w:hideMark/>
          </w:tcPr>
          <w:p w14:paraId="012047BC"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4E6C962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(0)</w:t>
            </w:r>
          </w:p>
        </w:tc>
        <w:tc>
          <w:tcPr>
            <w:tcW w:w="0" w:type="auto"/>
            <w:tcBorders>
              <w:top w:val="nil"/>
              <w:left w:val="nil"/>
              <w:bottom w:val="nil"/>
              <w:right w:val="nil"/>
            </w:tcBorders>
            <w:shd w:val="clear" w:color="auto" w:fill="auto"/>
            <w:noWrap/>
            <w:vAlign w:val="center"/>
            <w:hideMark/>
          </w:tcPr>
          <w:p w14:paraId="36C9C32B" w14:textId="77777777" w:rsidR="00D40091" w:rsidRPr="00D40091" w:rsidRDefault="00D40091" w:rsidP="00B9414F">
            <w:pPr>
              <w:spacing w:line="240" w:lineRule="auto"/>
              <w:jc w:val="right"/>
              <w:rPr>
                <w:rFonts w:ascii="Arial" w:hAnsi="Arial" w:cs="Arial"/>
                <w:color w:val="000000"/>
                <w:sz w:val="18"/>
                <w:szCs w:val="18"/>
              </w:rPr>
            </w:pPr>
          </w:p>
        </w:tc>
        <w:tc>
          <w:tcPr>
            <w:tcW w:w="0" w:type="auto"/>
            <w:tcBorders>
              <w:top w:val="single" w:sz="4" w:space="0" w:color="auto"/>
              <w:left w:val="nil"/>
              <w:bottom w:val="double" w:sz="6" w:space="0" w:color="auto"/>
              <w:right w:val="nil"/>
            </w:tcBorders>
            <w:shd w:val="clear" w:color="000000" w:fill="FFFFFF"/>
            <w:noWrap/>
            <w:vAlign w:val="center"/>
            <w:hideMark/>
          </w:tcPr>
          <w:p w14:paraId="75511BDD"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43A6E5EB"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74CF534A" w14:textId="77777777" w:rsidR="00D40091" w:rsidRPr="00D40091" w:rsidRDefault="00D40091" w:rsidP="00B9414F">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270.184.450 </w:t>
            </w:r>
          </w:p>
        </w:tc>
      </w:tr>
      <w:tr w:rsidR="00CF2DD3" w:rsidRPr="00D40091" w14:paraId="5480C2AB" w14:textId="77777777" w:rsidTr="00AA502F">
        <w:trPr>
          <w:trHeight w:val="315"/>
        </w:trPr>
        <w:tc>
          <w:tcPr>
            <w:tcW w:w="0" w:type="auto"/>
            <w:tcBorders>
              <w:top w:val="nil"/>
              <w:left w:val="nil"/>
              <w:bottom w:val="nil"/>
              <w:right w:val="nil"/>
            </w:tcBorders>
            <w:shd w:val="clear" w:color="000000" w:fill="FFFFFF"/>
            <w:noWrap/>
            <w:vAlign w:val="center"/>
            <w:hideMark/>
          </w:tcPr>
          <w:p w14:paraId="3B71B67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1472E4A1"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16B9BAB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6E3C201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3A7317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021CE3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BF0027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19B992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950164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072C3A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DC9E50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563BF7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EB613F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A29111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0B058EFF" w14:textId="77777777" w:rsidTr="00AA502F">
        <w:trPr>
          <w:trHeight w:val="270"/>
        </w:trPr>
        <w:tc>
          <w:tcPr>
            <w:tcW w:w="0" w:type="auto"/>
            <w:tcBorders>
              <w:top w:val="nil"/>
              <w:left w:val="nil"/>
              <w:bottom w:val="nil"/>
              <w:right w:val="nil"/>
            </w:tcBorders>
            <w:shd w:val="clear" w:color="000000" w:fill="FFFFFF"/>
            <w:noWrap/>
            <w:vAlign w:val="center"/>
            <w:hideMark/>
          </w:tcPr>
          <w:p w14:paraId="6AB8FFDF"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lastRenderedPageBreak/>
              <w:t>SALDOS EM 01 DE JANEIRO DE 2020</w:t>
            </w:r>
          </w:p>
        </w:tc>
        <w:tc>
          <w:tcPr>
            <w:tcW w:w="0" w:type="auto"/>
            <w:tcBorders>
              <w:top w:val="nil"/>
              <w:left w:val="nil"/>
              <w:bottom w:val="nil"/>
              <w:right w:val="nil"/>
            </w:tcBorders>
            <w:shd w:val="clear" w:color="000000" w:fill="FFFFFF"/>
            <w:noWrap/>
            <w:vAlign w:val="center"/>
            <w:hideMark/>
          </w:tcPr>
          <w:p w14:paraId="563D017A"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7D6E7BA2"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1289FFA6" w14:textId="32DF4563"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r w:rsidR="004E17D7">
              <w:rPr>
                <w:rFonts w:ascii="Arial" w:hAnsi="Arial" w:cs="Arial"/>
                <w:color w:val="000000"/>
                <w:sz w:val="18"/>
                <w:szCs w:val="18"/>
              </w:rPr>
              <w:t xml:space="preserve">        </w:t>
            </w:r>
            <w:r w:rsidRPr="00D40091">
              <w:rPr>
                <w:rFonts w:ascii="Arial" w:hAnsi="Arial" w:cs="Arial"/>
                <w:color w:val="000000"/>
                <w:sz w:val="18"/>
                <w:szCs w:val="18"/>
              </w:rPr>
              <w:t xml:space="preserve">204.164.469 </w:t>
            </w:r>
          </w:p>
        </w:tc>
        <w:tc>
          <w:tcPr>
            <w:tcW w:w="0" w:type="auto"/>
            <w:tcBorders>
              <w:top w:val="nil"/>
              <w:left w:val="nil"/>
              <w:bottom w:val="nil"/>
              <w:right w:val="nil"/>
            </w:tcBorders>
            <w:shd w:val="clear" w:color="000000" w:fill="FFFFFF"/>
            <w:noWrap/>
            <w:vAlign w:val="center"/>
            <w:hideMark/>
          </w:tcPr>
          <w:p w14:paraId="5321384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3C78E5B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3.637.766 </w:t>
            </w:r>
          </w:p>
        </w:tc>
        <w:tc>
          <w:tcPr>
            <w:tcW w:w="0" w:type="auto"/>
            <w:tcBorders>
              <w:top w:val="nil"/>
              <w:left w:val="nil"/>
              <w:bottom w:val="nil"/>
              <w:right w:val="nil"/>
            </w:tcBorders>
            <w:shd w:val="clear" w:color="000000" w:fill="FFFFFF"/>
            <w:noWrap/>
            <w:vAlign w:val="center"/>
            <w:hideMark/>
          </w:tcPr>
          <w:p w14:paraId="05127DB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316DD19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62.382.215 </w:t>
            </w:r>
          </w:p>
        </w:tc>
        <w:tc>
          <w:tcPr>
            <w:tcW w:w="0" w:type="auto"/>
            <w:tcBorders>
              <w:top w:val="nil"/>
              <w:left w:val="nil"/>
              <w:bottom w:val="nil"/>
              <w:right w:val="nil"/>
            </w:tcBorders>
            <w:shd w:val="clear" w:color="000000" w:fill="FFFFFF"/>
            <w:noWrap/>
            <w:vAlign w:val="center"/>
            <w:hideMark/>
          </w:tcPr>
          <w:p w14:paraId="5D0D535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6343C64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A1AE4D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34CAE64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6F0EC2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43A0CDD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270.184.450 </w:t>
            </w:r>
          </w:p>
        </w:tc>
      </w:tr>
      <w:tr w:rsidR="00CF2DD3" w:rsidRPr="00D40091" w14:paraId="27D1FD41" w14:textId="77777777" w:rsidTr="00AA502F">
        <w:trPr>
          <w:trHeight w:val="315"/>
        </w:trPr>
        <w:tc>
          <w:tcPr>
            <w:tcW w:w="0" w:type="auto"/>
            <w:tcBorders>
              <w:top w:val="nil"/>
              <w:left w:val="nil"/>
              <w:bottom w:val="nil"/>
              <w:right w:val="nil"/>
            </w:tcBorders>
            <w:shd w:val="clear" w:color="000000" w:fill="FFFFFF"/>
            <w:noWrap/>
            <w:vAlign w:val="center"/>
            <w:hideMark/>
          </w:tcPr>
          <w:p w14:paraId="6F4B709A"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3C2BA4FA"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7164ED59"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47F26A1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DBD60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1AED22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AC1664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7CB30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EC6D6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32DF72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56FCB9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E16B3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EDA17C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FCE48F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2AFC0DA6" w14:textId="77777777" w:rsidTr="00AA502F">
        <w:trPr>
          <w:trHeight w:val="315"/>
        </w:trPr>
        <w:tc>
          <w:tcPr>
            <w:tcW w:w="0" w:type="auto"/>
            <w:tcBorders>
              <w:top w:val="nil"/>
              <w:left w:val="nil"/>
              <w:bottom w:val="nil"/>
              <w:right w:val="nil"/>
            </w:tcBorders>
            <w:shd w:val="clear" w:color="000000" w:fill="FFFFFF"/>
            <w:noWrap/>
            <w:vAlign w:val="center"/>
            <w:hideMark/>
          </w:tcPr>
          <w:p w14:paraId="3DED721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Ajuste de </w:t>
            </w:r>
            <w:proofErr w:type="spellStart"/>
            <w:r w:rsidRPr="00D40091">
              <w:rPr>
                <w:rFonts w:ascii="Arial" w:hAnsi="Arial" w:cs="Arial"/>
                <w:sz w:val="18"/>
                <w:szCs w:val="18"/>
              </w:rPr>
              <w:t>exercicio</w:t>
            </w:r>
            <w:proofErr w:type="spellEnd"/>
            <w:r w:rsidRPr="00D40091">
              <w:rPr>
                <w:rFonts w:ascii="Arial" w:hAnsi="Arial" w:cs="Arial"/>
                <w:sz w:val="18"/>
                <w:szCs w:val="18"/>
              </w:rPr>
              <w:t xml:space="preserve"> anterior</w:t>
            </w:r>
          </w:p>
        </w:tc>
        <w:tc>
          <w:tcPr>
            <w:tcW w:w="0" w:type="auto"/>
            <w:tcBorders>
              <w:top w:val="nil"/>
              <w:left w:val="nil"/>
              <w:bottom w:val="nil"/>
              <w:right w:val="nil"/>
            </w:tcBorders>
            <w:shd w:val="clear" w:color="000000" w:fill="FFFFFF"/>
            <w:noWrap/>
            <w:vAlign w:val="center"/>
            <w:hideMark/>
          </w:tcPr>
          <w:p w14:paraId="593DCCA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18.e</w:t>
            </w:r>
          </w:p>
        </w:tc>
        <w:tc>
          <w:tcPr>
            <w:tcW w:w="0" w:type="auto"/>
            <w:tcBorders>
              <w:top w:val="nil"/>
              <w:left w:val="nil"/>
              <w:bottom w:val="nil"/>
              <w:right w:val="nil"/>
            </w:tcBorders>
            <w:shd w:val="clear" w:color="000000" w:fill="FFFFFF"/>
            <w:noWrap/>
            <w:vAlign w:val="center"/>
            <w:hideMark/>
          </w:tcPr>
          <w:p w14:paraId="32E0A0F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E8B36E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DC7528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2B6E27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D1995D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9971B7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504CE4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auto" w:fill="auto"/>
            <w:noWrap/>
            <w:vAlign w:val="center"/>
            <w:hideMark/>
          </w:tcPr>
          <w:p w14:paraId="446AB99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2.735 </w:t>
            </w:r>
          </w:p>
        </w:tc>
        <w:tc>
          <w:tcPr>
            <w:tcW w:w="0" w:type="auto"/>
            <w:tcBorders>
              <w:top w:val="nil"/>
              <w:left w:val="nil"/>
              <w:bottom w:val="nil"/>
              <w:right w:val="nil"/>
            </w:tcBorders>
            <w:shd w:val="clear" w:color="000000" w:fill="FFFFFF"/>
            <w:noWrap/>
            <w:vAlign w:val="center"/>
            <w:hideMark/>
          </w:tcPr>
          <w:p w14:paraId="4D5F6F8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145C64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p>
        </w:tc>
        <w:tc>
          <w:tcPr>
            <w:tcW w:w="0" w:type="auto"/>
            <w:tcBorders>
              <w:top w:val="nil"/>
              <w:left w:val="nil"/>
              <w:bottom w:val="nil"/>
              <w:right w:val="nil"/>
            </w:tcBorders>
            <w:shd w:val="clear" w:color="000000" w:fill="FFFFFF"/>
            <w:noWrap/>
            <w:vAlign w:val="center"/>
            <w:hideMark/>
          </w:tcPr>
          <w:p w14:paraId="4CD3D1BB"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21C12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2.735 </w:t>
            </w:r>
          </w:p>
        </w:tc>
      </w:tr>
      <w:tr w:rsidR="00CF2DD3" w:rsidRPr="00D40091" w14:paraId="24C9762E" w14:textId="77777777" w:rsidTr="00AA502F">
        <w:trPr>
          <w:trHeight w:val="315"/>
        </w:trPr>
        <w:tc>
          <w:tcPr>
            <w:tcW w:w="0" w:type="auto"/>
            <w:tcBorders>
              <w:top w:val="nil"/>
              <w:left w:val="nil"/>
              <w:bottom w:val="nil"/>
              <w:right w:val="nil"/>
            </w:tcBorders>
            <w:shd w:val="clear" w:color="000000" w:fill="FFFFFF"/>
            <w:noWrap/>
            <w:vAlign w:val="center"/>
            <w:hideMark/>
          </w:tcPr>
          <w:p w14:paraId="22A4655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000000" w:fill="FFFFFF"/>
            <w:noWrap/>
            <w:vAlign w:val="center"/>
            <w:hideMark/>
          </w:tcPr>
          <w:p w14:paraId="17D13BE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0F42A0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1FDBE0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E6F670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2CFA37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BF3A7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D31C09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8B63BE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24A54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2E5234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B8650A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ACFFD1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82C411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p>
        </w:tc>
      </w:tr>
      <w:tr w:rsidR="00CF2DD3" w:rsidRPr="00D40091" w14:paraId="1F80734C" w14:textId="77777777" w:rsidTr="00AA502F">
        <w:trPr>
          <w:trHeight w:val="315"/>
        </w:trPr>
        <w:tc>
          <w:tcPr>
            <w:tcW w:w="0" w:type="auto"/>
            <w:tcBorders>
              <w:top w:val="nil"/>
              <w:left w:val="nil"/>
              <w:bottom w:val="nil"/>
              <w:right w:val="nil"/>
            </w:tcBorders>
            <w:shd w:val="clear" w:color="000000" w:fill="FFFFFF"/>
            <w:noWrap/>
            <w:vAlign w:val="center"/>
            <w:hideMark/>
          </w:tcPr>
          <w:p w14:paraId="5FC79B5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Reserva Legal</w:t>
            </w:r>
          </w:p>
        </w:tc>
        <w:tc>
          <w:tcPr>
            <w:tcW w:w="0" w:type="auto"/>
            <w:tcBorders>
              <w:top w:val="nil"/>
              <w:left w:val="nil"/>
              <w:bottom w:val="nil"/>
              <w:right w:val="nil"/>
            </w:tcBorders>
            <w:shd w:val="clear" w:color="000000" w:fill="FFFFFF"/>
            <w:noWrap/>
            <w:vAlign w:val="center"/>
            <w:hideMark/>
          </w:tcPr>
          <w:p w14:paraId="079FA0F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1EEF25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6D36F1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85A62E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E91410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974.198 </w:t>
            </w:r>
          </w:p>
        </w:tc>
        <w:tc>
          <w:tcPr>
            <w:tcW w:w="0" w:type="auto"/>
            <w:tcBorders>
              <w:top w:val="nil"/>
              <w:left w:val="nil"/>
              <w:bottom w:val="nil"/>
              <w:right w:val="nil"/>
            </w:tcBorders>
            <w:shd w:val="clear" w:color="000000" w:fill="FFFFFF"/>
            <w:noWrap/>
            <w:vAlign w:val="center"/>
            <w:hideMark/>
          </w:tcPr>
          <w:p w14:paraId="3578DF8B"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924B93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0E1D45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29BB5F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(974.198)</w:t>
            </w:r>
          </w:p>
        </w:tc>
        <w:tc>
          <w:tcPr>
            <w:tcW w:w="0" w:type="auto"/>
            <w:tcBorders>
              <w:top w:val="nil"/>
              <w:left w:val="nil"/>
              <w:bottom w:val="nil"/>
              <w:right w:val="nil"/>
            </w:tcBorders>
            <w:shd w:val="clear" w:color="000000" w:fill="FFFFFF"/>
            <w:noWrap/>
            <w:vAlign w:val="center"/>
            <w:hideMark/>
          </w:tcPr>
          <w:p w14:paraId="6AA1A77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6A16F8B"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A410B0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C4FE13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r>
      <w:tr w:rsidR="00CF2DD3" w:rsidRPr="00D40091" w14:paraId="366ACEC7" w14:textId="77777777" w:rsidTr="00AA502F">
        <w:trPr>
          <w:trHeight w:val="315"/>
        </w:trPr>
        <w:tc>
          <w:tcPr>
            <w:tcW w:w="0" w:type="auto"/>
            <w:tcBorders>
              <w:top w:val="nil"/>
              <w:left w:val="nil"/>
              <w:bottom w:val="nil"/>
              <w:right w:val="nil"/>
            </w:tcBorders>
            <w:shd w:val="clear" w:color="000000" w:fill="FFFFFF"/>
            <w:noWrap/>
            <w:vAlign w:val="center"/>
            <w:hideMark/>
          </w:tcPr>
          <w:p w14:paraId="1DD3DC9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3C2464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F0DE45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2FD7DF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1D6A54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28F7D3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5C4954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1A0ACD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C12EC2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CFB45C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EB1A00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F548B6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975A38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10E233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p>
        </w:tc>
      </w:tr>
      <w:tr w:rsidR="00CF2DD3" w:rsidRPr="00D40091" w14:paraId="6331BF08" w14:textId="77777777" w:rsidTr="00AA502F">
        <w:trPr>
          <w:trHeight w:val="315"/>
        </w:trPr>
        <w:tc>
          <w:tcPr>
            <w:tcW w:w="0" w:type="auto"/>
            <w:tcBorders>
              <w:top w:val="nil"/>
              <w:left w:val="nil"/>
              <w:bottom w:val="nil"/>
              <w:right w:val="nil"/>
            </w:tcBorders>
            <w:shd w:val="clear" w:color="000000" w:fill="FFFFFF"/>
            <w:noWrap/>
            <w:vAlign w:val="center"/>
            <w:hideMark/>
          </w:tcPr>
          <w:p w14:paraId="3A8B662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Dividendos a Distribuir</w:t>
            </w:r>
          </w:p>
        </w:tc>
        <w:tc>
          <w:tcPr>
            <w:tcW w:w="0" w:type="auto"/>
            <w:tcBorders>
              <w:top w:val="nil"/>
              <w:left w:val="nil"/>
              <w:bottom w:val="nil"/>
              <w:right w:val="nil"/>
            </w:tcBorders>
            <w:shd w:val="clear" w:color="000000" w:fill="FFFFFF"/>
            <w:noWrap/>
            <w:vAlign w:val="center"/>
            <w:hideMark/>
          </w:tcPr>
          <w:p w14:paraId="10DBF44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1368A5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4667AA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A7B6DD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C30EA6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B9C63F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9B363E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20B793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D3621F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0C1417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0FA4CE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D65E4E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0A823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r>
      <w:tr w:rsidR="00CF2DD3" w:rsidRPr="00D40091" w14:paraId="26616C63" w14:textId="77777777" w:rsidTr="00AA502F">
        <w:trPr>
          <w:trHeight w:val="315"/>
        </w:trPr>
        <w:tc>
          <w:tcPr>
            <w:tcW w:w="0" w:type="auto"/>
            <w:tcBorders>
              <w:top w:val="nil"/>
              <w:left w:val="nil"/>
              <w:bottom w:val="nil"/>
              <w:right w:val="nil"/>
            </w:tcBorders>
            <w:shd w:val="clear" w:color="000000" w:fill="FFFFFF"/>
            <w:noWrap/>
            <w:vAlign w:val="center"/>
            <w:hideMark/>
          </w:tcPr>
          <w:p w14:paraId="067A945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79884F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131277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C4854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F39EEB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87373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A5F4D2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51F557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E1D911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F53EC4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19D5B1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CBBF9F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27046B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8552B0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58E16BCB" w14:textId="77777777" w:rsidTr="00AA502F">
        <w:trPr>
          <w:trHeight w:val="315"/>
        </w:trPr>
        <w:tc>
          <w:tcPr>
            <w:tcW w:w="0" w:type="auto"/>
            <w:tcBorders>
              <w:top w:val="nil"/>
              <w:left w:val="nil"/>
              <w:bottom w:val="nil"/>
              <w:right w:val="nil"/>
            </w:tcBorders>
            <w:shd w:val="clear" w:color="000000" w:fill="FFFFFF"/>
            <w:noWrap/>
            <w:vAlign w:val="center"/>
            <w:hideMark/>
          </w:tcPr>
          <w:p w14:paraId="0287E39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Lucro do Exercício</w:t>
            </w:r>
          </w:p>
        </w:tc>
        <w:tc>
          <w:tcPr>
            <w:tcW w:w="0" w:type="auto"/>
            <w:tcBorders>
              <w:top w:val="nil"/>
              <w:left w:val="nil"/>
              <w:bottom w:val="nil"/>
              <w:right w:val="nil"/>
            </w:tcBorders>
            <w:shd w:val="clear" w:color="000000" w:fill="FFFFFF"/>
            <w:noWrap/>
            <w:vAlign w:val="center"/>
            <w:hideMark/>
          </w:tcPr>
          <w:p w14:paraId="3231DDB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18.d</w:t>
            </w:r>
          </w:p>
        </w:tc>
        <w:tc>
          <w:tcPr>
            <w:tcW w:w="0" w:type="auto"/>
            <w:tcBorders>
              <w:top w:val="nil"/>
              <w:left w:val="nil"/>
              <w:bottom w:val="nil"/>
              <w:right w:val="nil"/>
            </w:tcBorders>
            <w:shd w:val="clear" w:color="000000" w:fill="FFFFFF"/>
            <w:noWrap/>
            <w:vAlign w:val="center"/>
            <w:hideMark/>
          </w:tcPr>
          <w:p w14:paraId="3E1447A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B0D675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41A19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E0C77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6500CA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01100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BD15F7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A495B6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19.483.961 </w:t>
            </w:r>
          </w:p>
        </w:tc>
        <w:tc>
          <w:tcPr>
            <w:tcW w:w="0" w:type="auto"/>
            <w:tcBorders>
              <w:top w:val="nil"/>
              <w:left w:val="nil"/>
              <w:bottom w:val="nil"/>
              <w:right w:val="nil"/>
            </w:tcBorders>
            <w:shd w:val="clear" w:color="000000" w:fill="FFFFFF"/>
            <w:noWrap/>
            <w:vAlign w:val="center"/>
            <w:hideMark/>
          </w:tcPr>
          <w:p w14:paraId="5B43AD1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E55550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AABD46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D00F5C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19.483.961 </w:t>
            </w:r>
          </w:p>
        </w:tc>
      </w:tr>
      <w:tr w:rsidR="00CF2DD3" w:rsidRPr="00D40091" w14:paraId="4BC60124" w14:textId="77777777" w:rsidTr="00AA502F">
        <w:trPr>
          <w:trHeight w:val="315"/>
        </w:trPr>
        <w:tc>
          <w:tcPr>
            <w:tcW w:w="0" w:type="auto"/>
            <w:tcBorders>
              <w:top w:val="nil"/>
              <w:left w:val="nil"/>
              <w:bottom w:val="nil"/>
              <w:right w:val="nil"/>
            </w:tcBorders>
            <w:shd w:val="clear" w:color="000000" w:fill="FFFFFF"/>
            <w:noWrap/>
            <w:vAlign w:val="center"/>
            <w:hideMark/>
          </w:tcPr>
          <w:p w14:paraId="5AF133D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25FC5C7"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F33665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1EA0BF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ADA064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930B6A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CDCEA9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2211B6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B24B86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AC3F30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A50488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4FB918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0BA9A4"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4779CC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28FC076F" w14:textId="77777777" w:rsidTr="00AA502F">
        <w:trPr>
          <w:trHeight w:val="315"/>
        </w:trPr>
        <w:tc>
          <w:tcPr>
            <w:tcW w:w="0" w:type="auto"/>
            <w:tcBorders>
              <w:top w:val="nil"/>
              <w:left w:val="nil"/>
              <w:bottom w:val="nil"/>
              <w:right w:val="nil"/>
            </w:tcBorders>
            <w:shd w:val="clear" w:color="000000" w:fill="FFFFFF"/>
            <w:noWrap/>
            <w:vAlign w:val="center"/>
            <w:hideMark/>
          </w:tcPr>
          <w:p w14:paraId="0626AF2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Reserva de Lucros a Realizar</w:t>
            </w:r>
          </w:p>
        </w:tc>
        <w:tc>
          <w:tcPr>
            <w:tcW w:w="0" w:type="auto"/>
            <w:tcBorders>
              <w:top w:val="nil"/>
              <w:left w:val="nil"/>
              <w:bottom w:val="nil"/>
              <w:right w:val="nil"/>
            </w:tcBorders>
            <w:shd w:val="clear" w:color="000000" w:fill="FFFFFF"/>
            <w:noWrap/>
            <w:vAlign w:val="center"/>
            <w:hideMark/>
          </w:tcPr>
          <w:p w14:paraId="151B16CF"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xml:space="preserve"> </w:t>
            </w:r>
          </w:p>
        </w:tc>
        <w:tc>
          <w:tcPr>
            <w:tcW w:w="0" w:type="auto"/>
            <w:tcBorders>
              <w:top w:val="nil"/>
              <w:left w:val="nil"/>
              <w:bottom w:val="nil"/>
              <w:right w:val="nil"/>
            </w:tcBorders>
            <w:shd w:val="clear" w:color="000000" w:fill="FFFFFF"/>
            <w:noWrap/>
            <w:vAlign w:val="center"/>
            <w:hideMark/>
          </w:tcPr>
          <w:p w14:paraId="4B46C54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0B634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0ED5C6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FE0C8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93319E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87515E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18.512.498 </w:t>
            </w:r>
          </w:p>
        </w:tc>
        <w:tc>
          <w:tcPr>
            <w:tcW w:w="0" w:type="auto"/>
            <w:tcBorders>
              <w:top w:val="nil"/>
              <w:left w:val="nil"/>
              <w:bottom w:val="nil"/>
              <w:right w:val="nil"/>
            </w:tcBorders>
            <w:shd w:val="clear" w:color="000000" w:fill="FFFFFF"/>
            <w:noWrap/>
            <w:vAlign w:val="center"/>
            <w:hideMark/>
          </w:tcPr>
          <w:p w14:paraId="7ED6CD5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190247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(18.512.498)</w:t>
            </w:r>
          </w:p>
        </w:tc>
        <w:tc>
          <w:tcPr>
            <w:tcW w:w="0" w:type="auto"/>
            <w:tcBorders>
              <w:top w:val="nil"/>
              <w:left w:val="nil"/>
              <w:bottom w:val="nil"/>
              <w:right w:val="nil"/>
            </w:tcBorders>
            <w:shd w:val="clear" w:color="000000" w:fill="FFFFFF"/>
            <w:noWrap/>
            <w:vAlign w:val="center"/>
            <w:hideMark/>
          </w:tcPr>
          <w:p w14:paraId="61D413B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004500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080125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C4D3521"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r>
      <w:tr w:rsidR="00CF2DD3" w:rsidRPr="00D40091" w14:paraId="062F4CA9" w14:textId="77777777" w:rsidTr="00AA502F">
        <w:trPr>
          <w:trHeight w:val="150"/>
        </w:trPr>
        <w:tc>
          <w:tcPr>
            <w:tcW w:w="0" w:type="auto"/>
            <w:tcBorders>
              <w:top w:val="nil"/>
              <w:left w:val="nil"/>
              <w:bottom w:val="nil"/>
              <w:right w:val="nil"/>
            </w:tcBorders>
            <w:shd w:val="clear" w:color="000000" w:fill="FFFFFF"/>
            <w:noWrap/>
            <w:vAlign w:val="center"/>
            <w:hideMark/>
          </w:tcPr>
          <w:p w14:paraId="67B5FBF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B915B3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648D2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687813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774B40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32A7DD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02A045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6F5145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318F5F7"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FA0C15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5264B2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91DC62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6477560"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E6EA7FC" w14:textId="77777777" w:rsidR="00D40091" w:rsidRPr="00D40091" w:rsidRDefault="00D40091" w:rsidP="004E17D7">
            <w:pPr>
              <w:spacing w:line="240" w:lineRule="auto"/>
              <w:jc w:val="right"/>
              <w:rPr>
                <w:rFonts w:ascii="Arial" w:hAnsi="Arial" w:cs="Arial"/>
                <w:color w:val="FFFFFF"/>
                <w:sz w:val="18"/>
                <w:szCs w:val="18"/>
              </w:rPr>
            </w:pPr>
            <w:r w:rsidRPr="00D40091">
              <w:rPr>
                <w:rFonts w:ascii="Arial" w:hAnsi="Arial" w:cs="Arial"/>
                <w:color w:val="FFFFFF"/>
                <w:sz w:val="18"/>
                <w:szCs w:val="18"/>
              </w:rPr>
              <w:t>1</w:t>
            </w:r>
          </w:p>
        </w:tc>
      </w:tr>
      <w:tr w:rsidR="00CF2DD3" w:rsidRPr="00D40091" w14:paraId="6D8A939D" w14:textId="77777777" w:rsidTr="00AA502F">
        <w:trPr>
          <w:trHeight w:val="150"/>
        </w:trPr>
        <w:tc>
          <w:tcPr>
            <w:tcW w:w="0" w:type="auto"/>
            <w:tcBorders>
              <w:top w:val="nil"/>
              <w:left w:val="nil"/>
              <w:bottom w:val="nil"/>
              <w:right w:val="nil"/>
            </w:tcBorders>
            <w:shd w:val="clear" w:color="000000" w:fill="FFFFFF"/>
            <w:noWrap/>
            <w:vAlign w:val="center"/>
            <w:hideMark/>
          </w:tcPr>
          <w:p w14:paraId="5F9CA84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7F00D60"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F3DD91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2BE308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559925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84F52B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6252B2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AF4FD2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3A0FC1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1F4C5CB"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654CDB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E65D96C"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452F78E"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DEFA49A"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r>
      <w:tr w:rsidR="00CF2DD3" w:rsidRPr="00D40091" w14:paraId="081F82B5" w14:textId="77777777" w:rsidTr="00AA502F">
        <w:trPr>
          <w:trHeight w:val="315"/>
        </w:trPr>
        <w:tc>
          <w:tcPr>
            <w:tcW w:w="0" w:type="auto"/>
            <w:tcBorders>
              <w:top w:val="nil"/>
              <w:left w:val="nil"/>
              <w:bottom w:val="nil"/>
              <w:right w:val="nil"/>
            </w:tcBorders>
            <w:shd w:val="clear" w:color="000000" w:fill="FFFFFF"/>
            <w:noWrap/>
            <w:vAlign w:val="center"/>
            <w:hideMark/>
          </w:tcPr>
          <w:p w14:paraId="784DEEFC"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SALDOS EM 31 DE DEZEMBRO DE 2020</w:t>
            </w:r>
          </w:p>
        </w:tc>
        <w:tc>
          <w:tcPr>
            <w:tcW w:w="0" w:type="auto"/>
            <w:tcBorders>
              <w:top w:val="nil"/>
              <w:left w:val="nil"/>
              <w:bottom w:val="nil"/>
              <w:right w:val="nil"/>
            </w:tcBorders>
            <w:shd w:val="clear" w:color="000000" w:fill="FFFFFF"/>
            <w:noWrap/>
            <w:vAlign w:val="center"/>
            <w:hideMark/>
          </w:tcPr>
          <w:p w14:paraId="60D62A9D"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132DA6A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595DF694" w14:textId="14965525"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w:t>
            </w:r>
            <w:r w:rsidR="004E17D7">
              <w:rPr>
                <w:rFonts w:ascii="Arial" w:hAnsi="Arial" w:cs="Arial"/>
                <w:color w:val="000000"/>
                <w:sz w:val="18"/>
                <w:szCs w:val="18"/>
              </w:rPr>
              <w:t xml:space="preserve">   </w:t>
            </w:r>
            <w:r w:rsidRPr="00D40091">
              <w:rPr>
                <w:rFonts w:ascii="Arial" w:hAnsi="Arial" w:cs="Arial"/>
                <w:color w:val="000000"/>
                <w:sz w:val="18"/>
                <w:szCs w:val="18"/>
              </w:rPr>
              <w:t xml:space="preserve"> </w:t>
            </w:r>
            <w:r w:rsidR="004E17D7">
              <w:rPr>
                <w:rFonts w:ascii="Arial" w:hAnsi="Arial" w:cs="Arial"/>
                <w:color w:val="000000"/>
                <w:sz w:val="18"/>
                <w:szCs w:val="18"/>
              </w:rPr>
              <w:t xml:space="preserve">    </w:t>
            </w:r>
            <w:r w:rsidRPr="00D40091">
              <w:rPr>
                <w:rFonts w:ascii="Arial" w:hAnsi="Arial" w:cs="Arial"/>
                <w:color w:val="000000"/>
                <w:sz w:val="18"/>
                <w:szCs w:val="18"/>
              </w:rPr>
              <w:t xml:space="preserve">  204.164.469 </w:t>
            </w:r>
          </w:p>
        </w:tc>
        <w:tc>
          <w:tcPr>
            <w:tcW w:w="0" w:type="auto"/>
            <w:tcBorders>
              <w:top w:val="nil"/>
              <w:left w:val="nil"/>
              <w:bottom w:val="nil"/>
              <w:right w:val="nil"/>
            </w:tcBorders>
            <w:shd w:val="clear" w:color="000000" w:fill="FFFFFF"/>
            <w:noWrap/>
            <w:vAlign w:val="center"/>
            <w:hideMark/>
          </w:tcPr>
          <w:p w14:paraId="04C97D49"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40D8141D"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4.611.964 </w:t>
            </w:r>
          </w:p>
        </w:tc>
        <w:tc>
          <w:tcPr>
            <w:tcW w:w="0" w:type="auto"/>
            <w:tcBorders>
              <w:top w:val="nil"/>
              <w:left w:val="nil"/>
              <w:bottom w:val="nil"/>
              <w:right w:val="nil"/>
            </w:tcBorders>
            <w:shd w:val="clear" w:color="000000" w:fill="FFFFFF"/>
            <w:noWrap/>
            <w:vAlign w:val="center"/>
            <w:hideMark/>
          </w:tcPr>
          <w:p w14:paraId="3C88780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5A714FB3"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80.894.713 </w:t>
            </w:r>
          </w:p>
        </w:tc>
        <w:tc>
          <w:tcPr>
            <w:tcW w:w="0" w:type="auto"/>
            <w:tcBorders>
              <w:top w:val="nil"/>
              <w:left w:val="nil"/>
              <w:bottom w:val="nil"/>
              <w:right w:val="nil"/>
            </w:tcBorders>
            <w:shd w:val="clear" w:color="000000" w:fill="FFFFFF"/>
            <w:noWrap/>
            <w:vAlign w:val="center"/>
            <w:hideMark/>
          </w:tcPr>
          <w:p w14:paraId="480B77D8"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7B016FEF"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01301532"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2CA9CBE6"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08FFFAE5"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w:t>
            </w:r>
          </w:p>
        </w:tc>
        <w:tc>
          <w:tcPr>
            <w:tcW w:w="0" w:type="auto"/>
            <w:tcBorders>
              <w:top w:val="single" w:sz="4" w:space="0" w:color="auto"/>
              <w:left w:val="nil"/>
              <w:bottom w:val="double" w:sz="6" w:space="0" w:color="auto"/>
              <w:right w:val="nil"/>
            </w:tcBorders>
            <w:shd w:val="clear" w:color="000000" w:fill="FFFFFF"/>
            <w:noWrap/>
            <w:vAlign w:val="center"/>
            <w:hideMark/>
          </w:tcPr>
          <w:p w14:paraId="5F48D4FB" w14:textId="77777777" w:rsidR="00D40091" w:rsidRPr="00D40091" w:rsidRDefault="00D40091" w:rsidP="004E17D7">
            <w:pPr>
              <w:spacing w:line="240" w:lineRule="auto"/>
              <w:jc w:val="right"/>
              <w:rPr>
                <w:rFonts w:ascii="Arial" w:hAnsi="Arial" w:cs="Arial"/>
                <w:color w:val="000000"/>
                <w:sz w:val="18"/>
                <w:szCs w:val="18"/>
              </w:rPr>
            </w:pPr>
            <w:r w:rsidRPr="00D40091">
              <w:rPr>
                <w:rFonts w:ascii="Arial" w:hAnsi="Arial" w:cs="Arial"/>
                <w:color w:val="000000"/>
                <w:sz w:val="18"/>
                <w:szCs w:val="18"/>
              </w:rPr>
              <w:t xml:space="preserve">      289.671.146 </w:t>
            </w:r>
          </w:p>
        </w:tc>
      </w:tr>
      <w:tr w:rsidR="00CF2DD3" w:rsidRPr="00D40091" w14:paraId="48557FB1" w14:textId="77777777" w:rsidTr="00AA502F">
        <w:trPr>
          <w:trHeight w:val="315"/>
        </w:trPr>
        <w:tc>
          <w:tcPr>
            <w:tcW w:w="0" w:type="auto"/>
            <w:tcBorders>
              <w:top w:val="nil"/>
              <w:left w:val="nil"/>
              <w:bottom w:val="nil"/>
              <w:right w:val="nil"/>
            </w:tcBorders>
            <w:shd w:val="clear" w:color="000000" w:fill="FFFFFF"/>
            <w:noWrap/>
            <w:vAlign w:val="center"/>
            <w:hideMark/>
          </w:tcPr>
          <w:p w14:paraId="3BE6098F"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03098872"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 </w:t>
            </w:r>
          </w:p>
        </w:tc>
        <w:tc>
          <w:tcPr>
            <w:tcW w:w="0" w:type="auto"/>
            <w:tcBorders>
              <w:top w:val="nil"/>
              <w:left w:val="nil"/>
              <w:bottom w:val="nil"/>
              <w:right w:val="nil"/>
            </w:tcBorders>
            <w:shd w:val="clear" w:color="000000" w:fill="FFFFFF"/>
            <w:noWrap/>
            <w:vAlign w:val="center"/>
            <w:hideMark/>
          </w:tcPr>
          <w:p w14:paraId="1FC43A8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6073BD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E8EB6C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407328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32977E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8E88D4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8028B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BA7027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116977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ABCF92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EAF606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912265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34E1FE57" w14:textId="77777777" w:rsidTr="00AA502F">
        <w:trPr>
          <w:trHeight w:val="315"/>
        </w:trPr>
        <w:tc>
          <w:tcPr>
            <w:tcW w:w="0" w:type="auto"/>
            <w:tcBorders>
              <w:top w:val="nil"/>
              <w:left w:val="nil"/>
              <w:bottom w:val="nil"/>
              <w:right w:val="nil"/>
            </w:tcBorders>
            <w:shd w:val="clear" w:color="000000" w:fill="FFFFFF"/>
            <w:noWrap/>
            <w:vAlign w:val="center"/>
            <w:hideMark/>
          </w:tcPr>
          <w:p w14:paraId="13108A0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C8C41D9"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BC7261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20CBE0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DE320E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D72429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372752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90607A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60765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AA9F92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5C7EA1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16C528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3A75E5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6DAD9C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B9414F" w:rsidRPr="00D40091" w14:paraId="43A9F76B" w14:textId="77777777" w:rsidTr="00AA502F">
        <w:trPr>
          <w:trHeight w:val="315"/>
        </w:trPr>
        <w:tc>
          <w:tcPr>
            <w:tcW w:w="0" w:type="auto"/>
            <w:gridSpan w:val="2"/>
            <w:tcBorders>
              <w:top w:val="nil"/>
              <w:left w:val="nil"/>
              <w:bottom w:val="single" w:sz="4" w:space="0" w:color="auto"/>
              <w:right w:val="nil"/>
            </w:tcBorders>
            <w:shd w:val="clear" w:color="000000" w:fill="FFFFFF"/>
            <w:noWrap/>
            <w:vAlign w:val="bottom"/>
            <w:hideMark/>
          </w:tcPr>
          <w:p w14:paraId="5CE70EE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As notas explicativas são parte integrante das demonstrações contábeis  </w:t>
            </w:r>
          </w:p>
        </w:tc>
        <w:tc>
          <w:tcPr>
            <w:tcW w:w="0" w:type="auto"/>
            <w:tcBorders>
              <w:top w:val="nil"/>
              <w:left w:val="nil"/>
              <w:bottom w:val="single" w:sz="4" w:space="0" w:color="auto"/>
              <w:right w:val="nil"/>
            </w:tcBorders>
            <w:shd w:val="clear" w:color="000000" w:fill="FFFFFF"/>
            <w:noWrap/>
            <w:vAlign w:val="bottom"/>
            <w:hideMark/>
          </w:tcPr>
          <w:p w14:paraId="273439D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single" w:sz="4" w:space="0" w:color="auto"/>
              <w:right w:val="nil"/>
            </w:tcBorders>
            <w:shd w:val="clear" w:color="000000" w:fill="FFFFFF"/>
            <w:noWrap/>
            <w:vAlign w:val="bottom"/>
            <w:hideMark/>
          </w:tcPr>
          <w:p w14:paraId="199CD417"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000000" w:fill="FFFFFF"/>
            <w:noWrap/>
            <w:vAlign w:val="bottom"/>
            <w:hideMark/>
          </w:tcPr>
          <w:p w14:paraId="3081330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single" w:sz="4" w:space="0" w:color="auto"/>
              <w:right w:val="nil"/>
            </w:tcBorders>
            <w:shd w:val="clear" w:color="000000" w:fill="FFFFFF"/>
            <w:noWrap/>
            <w:vAlign w:val="bottom"/>
            <w:hideMark/>
          </w:tcPr>
          <w:p w14:paraId="67903224" w14:textId="77777777" w:rsidR="00D40091" w:rsidRPr="00D40091" w:rsidRDefault="00D40091" w:rsidP="00AA502F">
            <w:pPr>
              <w:spacing w:line="240" w:lineRule="auto"/>
              <w:ind w:firstLineChars="200" w:firstLine="360"/>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14:paraId="21E086A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bottom"/>
            <w:hideMark/>
          </w:tcPr>
          <w:p w14:paraId="3D9AFDB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14:paraId="7E03A2F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bottom"/>
            <w:hideMark/>
          </w:tcPr>
          <w:p w14:paraId="6C9040B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14:paraId="750E811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bottom"/>
            <w:hideMark/>
          </w:tcPr>
          <w:p w14:paraId="487C4C5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bottom"/>
            <w:hideMark/>
          </w:tcPr>
          <w:p w14:paraId="638A7E5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single" w:sz="4" w:space="0" w:color="auto"/>
              <w:right w:val="nil"/>
            </w:tcBorders>
            <w:shd w:val="clear" w:color="000000" w:fill="FFFFFF"/>
            <w:noWrap/>
            <w:vAlign w:val="bottom"/>
            <w:hideMark/>
          </w:tcPr>
          <w:p w14:paraId="531E121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09E1FA4B" w14:textId="77777777" w:rsidTr="00AA502F">
        <w:trPr>
          <w:trHeight w:val="315"/>
        </w:trPr>
        <w:tc>
          <w:tcPr>
            <w:tcW w:w="0" w:type="auto"/>
            <w:tcBorders>
              <w:top w:val="nil"/>
              <w:left w:val="nil"/>
              <w:bottom w:val="nil"/>
              <w:right w:val="nil"/>
            </w:tcBorders>
            <w:shd w:val="clear" w:color="000000" w:fill="FFFFFF"/>
            <w:noWrap/>
            <w:vAlign w:val="center"/>
            <w:hideMark/>
          </w:tcPr>
          <w:p w14:paraId="6A859AA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28A4618"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DAFC94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BC8A7D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BDBCC2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A33E75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43E88C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E11755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ED0201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16AF74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F9C529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B19BD8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589C1B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0DA184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1B916235" w14:textId="77777777" w:rsidTr="00AA502F">
        <w:trPr>
          <w:trHeight w:val="315"/>
        </w:trPr>
        <w:tc>
          <w:tcPr>
            <w:tcW w:w="0" w:type="auto"/>
            <w:tcBorders>
              <w:top w:val="nil"/>
              <w:left w:val="nil"/>
              <w:bottom w:val="nil"/>
              <w:right w:val="nil"/>
            </w:tcBorders>
            <w:shd w:val="clear" w:color="000000" w:fill="FFFFFF"/>
            <w:noWrap/>
            <w:vAlign w:val="center"/>
            <w:hideMark/>
          </w:tcPr>
          <w:p w14:paraId="3D4BBFF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E0FA9A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9ECB72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93BF9B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CE7961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B756AB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8C969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67A3F6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AE01C4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A8CA6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06A5EC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BC31EC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780E6B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720420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597EE7F3" w14:textId="77777777" w:rsidTr="00AA502F">
        <w:trPr>
          <w:trHeight w:val="315"/>
        </w:trPr>
        <w:tc>
          <w:tcPr>
            <w:tcW w:w="0" w:type="auto"/>
            <w:tcBorders>
              <w:top w:val="nil"/>
              <w:left w:val="nil"/>
              <w:bottom w:val="nil"/>
              <w:right w:val="nil"/>
            </w:tcBorders>
            <w:shd w:val="clear" w:color="000000" w:fill="FFFFFF"/>
            <w:noWrap/>
            <w:vAlign w:val="center"/>
            <w:hideMark/>
          </w:tcPr>
          <w:p w14:paraId="33713B0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9F383F2"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E19980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6EB335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81C894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9CB8DB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10850F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715EE8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F6C03F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DDFDAD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FDB3CF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8BF189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620180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8477C7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CF2DD3" w:rsidRPr="00D40091" w14:paraId="618A6621" w14:textId="77777777" w:rsidTr="00AA502F">
        <w:trPr>
          <w:trHeight w:val="315"/>
        </w:trPr>
        <w:tc>
          <w:tcPr>
            <w:tcW w:w="0" w:type="auto"/>
            <w:tcBorders>
              <w:top w:val="nil"/>
              <w:left w:val="nil"/>
              <w:bottom w:val="nil"/>
              <w:right w:val="nil"/>
            </w:tcBorders>
            <w:shd w:val="clear" w:color="000000" w:fill="FFFFFF"/>
            <w:noWrap/>
            <w:vAlign w:val="center"/>
            <w:hideMark/>
          </w:tcPr>
          <w:p w14:paraId="749545B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1DA17C84"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7329C68"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BA7346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892E9A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719898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9BDB0D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D354BA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0A3CD3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7055DE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3F017F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CD56A8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2639AD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23760D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B9414F" w:rsidRPr="00D40091" w14:paraId="26C112CC" w14:textId="77777777" w:rsidTr="00AA502F">
        <w:trPr>
          <w:trHeight w:val="315"/>
        </w:trPr>
        <w:tc>
          <w:tcPr>
            <w:tcW w:w="0" w:type="auto"/>
            <w:tcBorders>
              <w:top w:val="nil"/>
              <w:left w:val="nil"/>
              <w:bottom w:val="nil"/>
              <w:right w:val="nil"/>
            </w:tcBorders>
            <w:shd w:val="clear" w:color="auto" w:fill="auto"/>
            <w:noWrap/>
            <w:vAlign w:val="bottom"/>
            <w:hideMark/>
          </w:tcPr>
          <w:p w14:paraId="157CEAEA" w14:textId="77777777" w:rsidR="00D40091" w:rsidRPr="00D40091" w:rsidRDefault="00D40091" w:rsidP="00AA502F">
            <w:pPr>
              <w:spacing w:line="240" w:lineRule="auto"/>
              <w:rPr>
                <w:rFonts w:ascii="Arial" w:hAnsi="Arial" w:cs="Arial"/>
                <w:color w:val="000000"/>
                <w:sz w:val="18"/>
                <w:szCs w:val="18"/>
              </w:rPr>
            </w:pPr>
          </w:p>
        </w:tc>
        <w:tc>
          <w:tcPr>
            <w:tcW w:w="0" w:type="auto"/>
            <w:tcBorders>
              <w:top w:val="nil"/>
              <w:left w:val="nil"/>
              <w:bottom w:val="nil"/>
              <w:right w:val="nil"/>
            </w:tcBorders>
            <w:shd w:val="clear" w:color="000000" w:fill="FFFFFF"/>
            <w:noWrap/>
            <w:vAlign w:val="center"/>
            <w:hideMark/>
          </w:tcPr>
          <w:p w14:paraId="744CCE33"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18F676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57E8B0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52A920C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gridSpan w:val="3"/>
            <w:tcBorders>
              <w:top w:val="nil"/>
              <w:left w:val="nil"/>
              <w:bottom w:val="nil"/>
              <w:right w:val="nil"/>
            </w:tcBorders>
            <w:shd w:val="clear" w:color="FFFFCC" w:fill="FFFFFF"/>
            <w:noWrap/>
            <w:vAlign w:val="center"/>
            <w:hideMark/>
          </w:tcPr>
          <w:p w14:paraId="3D5B4ED4"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0" w:type="auto"/>
            <w:tcBorders>
              <w:top w:val="nil"/>
              <w:left w:val="nil"/>
              <w:bottom w:val="nil"/>
              <w:right w:val="nil"/>
            </w:tcBorders>
            <w:shd w:val="clear" w:color="000000" w:fill="FFFFFF"/>
            <w:noWrap/>
            <w:vAlign w:val="center"/>
            <w:hideMark/>
          </w:tcPr>
          <w:p w14:paraId="72EC015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2FD51A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B318FA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27604D9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348E3B0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4F7A6D5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B9414F" w:rsidRPr="00D40091" w14:paraId="7C7BBA83" w14:textId="77777777" w:rsidTr="00AA502F">
        <w:trPr>
          <w:trHeight w:val="315"/>
        </w:trPr>
        <w:tc>
          <w:tcPr>
            <w:tcW w:w="0" w:type="auto"/>
            <w:tcBorders>
              <w:top w:val="nil"/>
              <w:left w:val="nil"/>
              <w:bottom w:val="nil"/>
              <w:right w:val="nil"/>
            </w:tcBorders>
            <w:shd w:val="clear" w:color="FFFFCC" w:fill="FFFFFF"/>
            <w:noWrap/>
            <w:vAlign w:val="center"/>
            <w:hideMark/>
          </w:tcPr>
          <w:p w14:paraId="57FAE96F"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RENATO VIEIRA PITA</w:t>
            </w:r>
          </w:p>
        </w:tc>
        <w:tc>
          <w:tcPr>
            <w:tcW w:w="0" w:type="auto"/>
            <w:tcBorders>
              <w:top w:val="nil"/>
              <w:left w:val="nil"/>
              <w:bottom w:val="nil"/>
              <w:right w:val="nil"/>
            </w:tcBorders>
            <w:shd w:val="clear" w:color="000000" w:fill="FFFFFF"/>
            <w:noWrap/>
            <w:vAlign w:val="center"/>
            <w:hideMark/>
          </w:tcPr>
          <w:p w14:paraId="4FDA328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00D1FBE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FFFFCC" w:fill="FFFFFF"/>
            <w:noWrap/>
            <w:vAlign w:val="center"/>
            <w:hideMark/>
          </w:tcPr>
          <w:p w14:paraId="12BA8F7D"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0" w:type="auto"/>
            <w:tcBorders>
              <w:top w:val="nil"/>
              <w:left w:val="nil"/>
              <w:bottom w:val="nil"/>
              <w:right w:val="nil"/>
            </w:tcBorders>
            <w:shd w:val="clear" w:color="FFFFCC" w:fill="FFFFFF"/>
            <w:noWrap/>
            <w:vAlign w:val="center"/>
            <w:hideMark/>
          </w:tcPr>
          <w:p w14:paraId="1A1F6077"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0" w:type="auto"/>
            <w:tcBorders>
              <w:top w:val="nil"/>
              <w:left w:val="nil"/>
              <w:bottom w:val="nil"/>
              <w:right w:val="nil"/>
            </w:tcBorders>
            <w:shd w:val="clear" w:color="FFFFCC" w:fill="FFFFFF"/>
            <w:noWrap/>
            <w:vAlign w:val="center"/>
            <w:hideMark/>
          </w:tcPr>
          <w:p w14:paraId="40C48118"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0" w:type="auto"/>
            <w:tcBorders>
              <w:top w:val="nil"/>
              <w:left w:val="nil"/>
              <w:bottom w:val="nil"/>
              <w:right w:val="nil"/>
            </w:tcBorders>
            <w:shd w:val="clear" w:color="FFFFCC" w:fill="FFFFFF"/>
            <w:noWrap/>
            <w:vAlign w:val="center"/>
            <w:hideMark/>
          </w:tcPr>
          <w:p w14:paraId="4D995F54"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0" w:type="auto"/>
            <w:gridSpan w:val="5"/>
            <w:tcBorders>
              <w:top w:val="nil"/>
              <w:left w:val="nil"/>
              <w:bottom w:val="nil"/>
              <w:right w:val="nil"/>
            </w:tcBorders>
            <w:shd w:val="clear" w:color="FFFFCC" w:fill="FFFFFF"/>
            <w:noWrap/>
            <w:vAlign w:val="center"/>
            <w:hideMark/>
          </w:tcPr>
          <w:p w14:paraId="0FEB075D"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MAURICIO AKIHIRO MAKI</w:t>
            </w:r>
          </w:p>
        </w:tc>
        <w:tc>
          <w:tcPr>
            <w:tcW w:w="0" w:type="auto"/>
            <w:tcBorders>
              <w:top w:val="nil"/>
              <w:left w:val="nil"/>
              <w:bottom w:val="nil"/>
              <w:right w:val="nil"/>
            </w:tcBorders>
            <w:shd w:val="clear" w:color="FFFFCC" w:fill="FFFFFF"/>
            <w:noWrap/>
            <w:vAlign w:val="center"/>
            <w:hideMark/>
          </w:tcPr>
          <w:p w14:paraId="46863933"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0" w:type="auto"/>
            <w:tcBorders>
              <w:top w:val="nil"/>
              <w:left w:val="nil"/>
              <w:bottom w:val="nil"/>
              <w:right w:val="nil"/>
            </w:tcBorders>
            <w:shd w:val="clear" w:color="FFFFCC" w:fill="FFFFFF"/>
            <w:noWrap/>
            <w:vAlign w:val="center"/>
            <w:hideMark/>
          </w:tcPr>
          <w:p w14:paraId="264D3F22"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r>
      <w:tr w:rsidR="00B9414F" w:rsidRPr="00D40091" w14:paraId="51A07A97" w14:textId="77777777" w:rsidTr="00AA502F">
        <w:trPr>
          <w:trHeight w:val="315"/>
        </w:trPr>
        <w:tc>
          <w:tcPr>
            <w:tcW w:w="0" w:type="auto"/>
            <w:tcBorders>
              <w:top w:val="nil"/>
              <w:left w:val="nil"/>
              <w:bottom w:val="nil"/>
              <w:right w:val="nil"/>
            </w:tcBorders>
            <w:shd w:val="clear" w:color="FFFFCC" w:fill="FFFFFF"/>
            <w:noWrap/>
            <w:vAlign w:val="center"/>
            <w:hideMark/>
          </w:tcPr>
          <w:p w14:paraId="31AF3884"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CONTADOR</w:t>
            </w:r>
          </w:p>
        </w:tc>
        <w:tc>
          <w:tcPr>
            <w:tcW w:w="0" w:type="auto"/>
            <w:tcBorders>
              <w:top w:val="nil"/>
              <w:left w:val="nil"/>
              <w:bottom w:val="nil"/>
              <w:right w:val="nil"/>
            </w:tcBorders>
            <w:shd w:val="clear" w:color="000000" w:fill="FFFFFF"/>
            <w:noWrap/>
            <w:vAlign w:val="center"/>
            <w:hideMark/>
          </w:tcPr>
          <w:p w14:paraId="2A17DC6C"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706FE51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FFFFCC" w:fill="FFFFFF"/>
            <w:noWrap/>
            <w:vAlign w:val="center"/>
            <w:hideMark/>
          </w:tcPr>
          <w:p w14:paraId="0FB56720"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3D41E52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240101A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55A9408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gridSpan w:val="5"/>
            <w:tcBorders>
              <w:top w:val="nil"/>
              <w:left w:val="nil"/>
              <w:bottom w:val="nil"/>
              <w:right w:val="nil"/>
            </w:tcBorders>
            <w:shd w:val="clear" w:color="FFFFCC" w:fill="FFFFFF"/>
            <w:noWrap/>
            <w:vAlign w:val="center"/>
            <w:hideMark/>
          </w:tcPr>
          <w:p w14:paraId="591C70B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DIRETOR ADMINISTRATIVO FINANCEIRO</w:t>
            </w:r>
          </w:p>
        </w:tc>
        <w:tc>
          <w:tcPr>
            <w:tcW w:w="0" w:type="auto"/>
            <w:tcBorders>
              <w:top w:val="nil"/>
              <w:left w:val="nil"/>
              <w:bottom w:val="nil"/>
              <w:right w:val="nil"/>
            </w:tcBorders>
            <w:shd w:val="clear" w:color="FFFFCC" w:fill="FFFFFF"/>
            <w:noWrap/>
            <w:vAlign w:val="center"/>
            <w:hideMark/>
          </w:tcPr>
          <w:p w14:paraId="331D5D9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089B874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B9414F" w:rsidRPr="00D40091" w14:paraId="4C161738" w14:textId="77777777" w:rsidTr="00AA502F">
        <w:trPr>
          <w:trHeight w:val="315"/>
        </w:trPr>
        <w:tc>
          <w:tcPr>
            <w:tcW w:w="0" w:type="auto"/>
            <w:tcBorders>
              <w:top w:val="nil"/>
              <w:left w:val="nil"/>
              <w:bottom w:val="nil"/>
              <w:right w:val="nil"/>
            </w:tcBorders>
            <w:shd w:val="clear" w:color="FFFFCC" w:fill="FFFFFF"/>
            <w:noWrap/>
            <w:vAlign w:val="center"/>
            <w:hideMark/>
          </w:tcPr>
          <w:p w14:paraId="148BD29E"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CRC 1SP215876/O-8/SP</w:t>
            </w:r>
          </w:p>
        </w:tc>
        <w:tc>
          <w:tcPr>
            <w:tcW w:w="0" w:type="auto"/>
            <w:tcBorders>
              <w:top w:val="nil"/>
              <w:left w:val="nil"/>
              <w:bottom w:val="nil"/>
              <w:right w:val="nil"/>
            </w:tcBorders>
            <w:shd w:val="clear" w:color="000000" w:fill="FFFFFF"/>
            <w:noWrap/>
            <w:vAlign w:val="center"/>
            <w:hideMark/>
          </w:tcPr>
          <w:p w14:paraId="531BB01E"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000000" w:fill="FFFFFF"/>
            <w:noWrap/>
            <w:vAlign w:val="center"/>
            <w:hideMark/>
          </w:tcPr>
          <w:p w14:paraId="68405BF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0" w:type="auto"/>
            <w:tcBorders>
              <w:top w:val="nil"/>
              <w:left w:val="nil"/>
              <w:bottom w:val="nil"/>
              <w:right w:val="nil"/>
            </w:tcBorders>
            <w:shd w:val="clear" w:color="FFFFCC" w:fill="FFFFFF"/>
            <w:noWrap/>
            <w:vAlign w:val="center"/>
            <w:hideMark/>
          </w:tcPr>
          <w:p w14:paraId="08160B1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50B4802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37A5D367"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6FABF1D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gridSpan w:val="5"/>
            <w:tcBorders>
              <w:top w:val="nil"/>
              <w:left w:val="nil"/>
              <w:bottom w:val="nil"/>
              <w:right w:val="nil"/>
            </w:tcBorders>
            <w:shd w:val="clear" w:color="FFFFCC" w:fill="FFFFFF"/>
            <w:noWrap/>
            <w:vAlign w:val="center"/>
            <w:hideMark/>
          </w:tcPr>
          <w:p w14:paraId="326942E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CPF: 219.593.858-79</w:t>
            </w:r>
          </w:p>
        </w:tc>
        <w:tc>
          <w:tcPr>
            <w:tcW w:w="0" w:type="auto"/>
            <w:tcBorders>
              <w:top w:val="nil"/>
              <w:left w:val="nil"/>
              <w:bottom w:val="nil"/>
              <w:right w:val="nil"/>
            </w:tcBorders>
            <w:shd w:val="clear" w:color="FFFFCC" w:fill="FFFFFF"/>
            <w:noWrap/>
            <w:vAlign w:val="center"/>
            <w:hideMark/>
          </w:tcPr>
          <w:p w14:paraId="0B399A7A"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0" w:type="auto"/>
            <w:tcBorders>
              <w:top w:val="nil"/>
              <w:left w:val="nil"/>
              <w:bottom w:val="nil"/>
              <w:right w:val="nil"/>
            </w:tcBorders>
            <w:shd w:val="clear" w:color="FFFFCC" w:fill="FFFFFF"/>
            <w:noWrap/>
            <w:vAlign w:val="center"/>
            <w:hideMark/>
          </w:tcPr>
          <w:p w14:paraId="3BE7F105"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bl>
    <w:p w14:paraId="0685A759" w14:textId="77777777" w:rsidR="00D40091" w:rsidRPr="00D40091" w:rsidRDefault="00D40091" w:rsidP="00D40091">
      <w:pPr>
        <w:rPr>
          <w:rFonts w:ascii="Arial" w:hAnsi="Arial" w:cs="Arial"/>
          <w:sz w:val="18"/>
          <w:szCs w:val="18"/>
        </w:rPr>
      </w:pPr>
    </w:p>
    <w:p w14:paraId="5071B94E" w14:textId="77777777" w:rsidR="00D40091" w:rsidRPr="00D40091" w:rsidRDefault="00D40091" w:rsidP="00D40091">
      <w:pPr>
        <w:rPr>
          <w:rFonts w:ascii="Arial" w:hAnsi="Arial" w:cs="Arial"/>
          <w:sz w:val="18"/>
          <w:szCs w:val="18"/>
        </w:rPr>
      </w:pPr>
      <w:r w:rsidRPr="00D40091">
        <w:rPr>
          <w:rFonts w:ascii="Arial" w:hAnsi="Arial" w:cs="Arial"/>
          <w:sz w:val="18"/>
          <w:szCs w:val="18"/>
        </w:rPr>
        <w:br w:type="page"/>
      </w:r>
    </w:p>
    <w:tbl>
      <w:tblPr>
        <w:tblW w:w="5000" w:type="pct"/>
        <w:tblCellMar>
          <w:left w:w="70" w:type="dxa"/>
          <w:right w:w="70" w:type="dxa"/>
        </w:tblCellMar>
        <w:tblLook w:val="04A0" w:firstRow="1" w:lastRow="0" w:firstColumn="1" w:lastColumn="0" w:noHBand="0" w:noVBand="1"/>
      </w:tblPr>
      <w:tblGrid>
        <w:gridCol w:w="7952"/>
        <w:gridCol w:w="2211"/>
        <w:gridCol w:w="2094"/>
        <w:gridCol w:w="2223"/>
        <w:gridCol w:w="459"/>
        <w:gridCol w:w="459"/>
      </w:tblGrid>
      <w:tr w:rsidR="00D40091" w:rsidRPr="00D40091" w14:paraId="263DE9BB" w14:textId="77777777" w:rsidTr="00AA502F">
        <w:trPr>
          <w:trHeight w:val="315"/>
        </w:trPr>
        <w:tc>
          <w:tcPr>
            <w:tcW w:w="3300" w:type="pct"/>
            <w:gridSpan w:val="2"/>
            <w:tcBorders>
              <w:top w:val="nil"/>
              <w:left w:val="nil"/>
              <w:bottom w:val="nil"/>
              <w:right w:val="nil"/>
            </w:tcBorders>
            <w:shd w:val="clear" w:color="000000" w:fill="FFFFFF"/>
            <w:noWrap/>
            <w:vAlign w:val="center"/>
            <w:hideMark/>
          </w:tcPr>
          <w:p w14:paraId="35DEB31D"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lastRenderedPageBreak/>
              <w:t>COMPANHIA SÃO PAULO DE DESENVOLVIMENTO E MOBILIZAÇÃO DE ATIVOS - SPDA</w:t>
            </w:r>
          </w:p>
        </w:tc>
        <w:tc>
          <w:tcPr>
            <w:tcW w:w="680" w:type="pct"/>
            <w:tcBorders>
              <w:top w:val="nil"/>
              <w:left w:val="nil"/>
              <w:bottom w:val="nil"/>
              <w:right w:val="nil"/>
            </w:tcBorders>
            <w:shd w:val="clear" w:color="000000" w:fill="FFFFFF"/>
            <w:noWrap/>
            <w:vAlign w:val="center"/>
            <w:hideMark/>
          </w:tcPr>
          <w:p w14:paraId="3B8A27D7"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722" w:type="pct"/>
            <w:tcBorders>
              <w:top w:val="nil"/>
              <w:left w:val="nil"/>
              <w:bottom w:val="nil"/>
              <w:right w:val="nil"/>
            </w:tcBorders>
            <w:shd w:val="clear" w:color="000000" w:fill="FFFFFF"/>
            <w:noWrap/>
            <w:vAlign w:val="center"/>
            <w:hideMark/>
          </w:tcPr>
          <w:p w14:paraId="3E2747CF"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149" w:type="pct"/>
            <w:tcBorders>
              <w:top w:val="nil"/>
              <w:left w:val="nil"/>
              <w:bottom w:val="nil"/>
              <w:right w:val="nil"/>
            </w:tcBorders>
            <w:shd w:val="clear" w:color="000000" w:fill="FFFFFF"/>
            <w:noWrap/>
            <w:vAlign w:val="center"/>
            <w:hideMark/>
          </w:tcPr>
          <w:p w14:paraId="03FAAED6"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149" w:type="pct"/>
            <w:tcBorders>
              <w:top w:val="nil"/>
              <w:left w:val="nil"/>
              <w:bottom w:val="nil"/>
              <w:right w:val="nil"/>
            </w:tcBorders>
            <w:shd w:val="clear" w:color="000000" w:fill="FFFFFF"/>
            <w:noWrap/>
            <w:vAlign w:val="center"/>
            <w:hideMark/>
          </w:tcPr>
          <w:p w14:paraId="43120B07"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r>
      <w:tr w:rsidR="00D40091" w:rsidRPr="00D40091" w14:paraId="7B5A6A0E" w14:textId="77777777" w:rsidTr="00AA502F">
        <w:trPr>
          <w:trHeight w:val="315"/>
        </w:trPr>
        <w:tc>
          <w:tcPr>
            <w:tcW w:w="2582" w:type="pct"/>
            <w:tcBorders>
              <w:top w:val="nil"/>
              <w:left w:val="nil"/>
              <w:bottom w:val="nil"/>
              <w:right w:val="nil"/>
            </w:tcBorders>
            <w:shd w:val="clear" w:color="000000" w:fill="FFFFFF"/>
            <w:noWrap/>
            <w:vAlign w:val="center"/>
            <w:hideMark/>
          </w:tcPr>
          <w:p w14:paraId="303C6AC6"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718" w:type="pct"/>
            <w:tcBorders>
              <w:top w:val="nil"/>
              <w:left w:val="nil"/>
              <w:bottom w:val="nil"/>
              <w:right w:val="nil"/>
            </w:tcBorders>
            <w:shd w:val="clear" w:color="000000" w:fill="FFFFFF"/>
            <w:noWrap/>
            <w:vAlign w:val="center"/>
            <w:hideMark/>
          </w:tcPr>
          <w:p w14:paraId="18D8FE7B"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680" w:type="pct"/>
            <w:tcBorders>
              <w:top w:val="nil"/>
              <w:left w:val="nil"/>
              <w:bottom w:val="nil"/>
              <w:right w:val="nil"/>
            </w:tcBorders>
            <w:shd w:val="clear" w:color="000000" w:fill="FFFFFF"/>
            <w:noWrap/>
            <w:vAlign w:val="center"/>
            <w:hideMark/>
          </w:tcPr>
          <w:p w14:paraId="57A77246"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722" w:type="pct"/>
            <w:tcBorders>
              <w:top w:val="nil"/>
              <w:left w:val="nil"/>
              <w:bottom w:val="nil"/>
              <w:right w:val="nil"/>
            </w:tcBorders>
            <w:shd w:val="clear" w:color="000000" w:fill="FFFFFF"/>
            <w:noWrap/>
            <w:vAlign w:val="center"/>
            <w:hideMark/>
          </w:tcPr>
          <w:p w14:paraId="4DD7CD1B"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149" w:type="pct"/>
            <w:tcBorders>
              <w:top w:val="nil"/>
              <w:left w:val="nil"/>
              <w:bottom w:val="nil"/>
              <w:right w:val="nil"/>
            </w:tcBorders>
            <w:shd w:val="clear" w:color="000000" w:fill="FFFFFF"/>
            <w:noWrap/>
            <w:vAlign w:val="center"/>
            <w:hideMark/>
          </w:tcPr>
          <w:p w14:paraId="6AE4714D"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c>
          <w:tcPr>
            <w:tcW w:w="149" w:type="pct"/>
            <w:tcBorders>
              <w:top w:val="nil"/>
              <w:left w:val="nil"/>
              <w:bottom w:val="nil"/>
              <w:right w:val="nil"/>
            </w:tcBorders>
            <w:shd w:val="clear" w:color="000000" w:fill="FFFFFF"/>
            <w:noWrap/>
            <w:vAlign w:val="center"/>
            <w:hideMark/>
          </w:tcPr>
          <w:p w14:paraId="58DB97C6" w14:textId="77777777" w:rsidR="00D40091" w:rsidRPr="00D40091" w:rsidRDefault="00D40091" w:rsidP="00AA502F">
            <w:pPr>
              <w:spacing w:line="240" w:lineRule="auto"/>
              <w:rPr>
                <w:rFonts w:ascii="Arial" w:hAnsi="Arial" w:cs="Arial"/>
                <w:b/>
                <w:bCs/>
                <w:color w:val="000000"/>
                <w:sz w:val="18"/>
                <w:szCs w:val="18"/>
                <w:u w:val="single"/>
              </w:rPr>
            </w:pPr>
            <w:r w:rsidRPr="00D40091">
              <w:rPr>
                <w:rFonts w:ascii="Arial" w:hAnsi="Arial" w:cs="Arial"/>
                <w:b/>
                <w:bCs/>
                <w:color w:val="000000"/>
                <w:sz w:val="18"/>
                <w:szCs w:val="18"/>
                <w:u w:val="single"/>
              </w:rPr>
              <w:t> </w:t>
            </w:r>
          </w:p>
        </w:tc>
      </w:tr>
      <w:tr w:rsidR="00D40091" w:rsidRPr="00D40091" w14:paraId="26619ABC" w14:textId="77777777" w:rsidTr="00AA502F">
        <w:trPr>
          <w:trHeight w:val="315"/>
        </w:trPr>
        <w:tc>
          <w:tcPr>
            <w:tcW w:w="2582" w:type="pct"/>
            <w:tcBorders>
              <w:top w:val="nil"/>
              <w:left w:val="nil"/>
              <w:bottom w:val="nil"/>
              <w:right w:val="nil"/>
            </w:tcBorders>
            <w:shd w:val="clear" w:color="000000" w:fill="FFFFFF"/>
            <w:noWrap/>
            <w:vAlign w:val="center"/>
            <w:hideMark/>
          </w:tcPr>
          <w:p w14:paraId="56A3A733" w14:textId="77777777" w:rsidR="00D40091" w:rsidRPr="00D40091" w:rsidRDefault="00D40091" w:rsidP="007D6D88">
            <w:pPr>
              <w:pStyle w:val="Ttulo1"/>
              <w:rPr>
                <w:rFonts w:ascii="Arial" w:eastAsia="Times New Roman" w:hAnsi="Arial" w:cs="Arial"/>
                <w:color w:val="000000"/>
                <w:sz w:val="18"/>
                <w:szCs w:val="18"/>
              </w:rPr>
            </w:pPr>
            <w:bookmarkStart w:id="6" w:name="_Toc81581294"/>
            <w:r w:rsidRPr="00D40091">
              <w:rPr>
                <w:rFonts w:ascii="Arial" w:eastAsia="Times New Roman" w:hAnsi="Arial" w:cs="Arial"/>
                <w:color w:val="000000"/>
                <w:sz w:val="18"/>
                <w:szCs w:val="18"/>
              </w:rPr>
              <w:t>DEMONSTRAÇÃO DO RESULTADO ABRANGENTE</w:t>
            </w:r>
            <w:bookmarkEnd w:id="6"/>
          </w:p>
        </w:tc>
        <w:tc>
          <w:tcPr>
            <w:tcW w:w="718" w:type="pct"/>
            <w:tcBorders>
              <w:top w:val="nil"/>
              <w:left w:val="nil"/>
              <w:bottom w:val="nil"/>
              <w:right w:val="nil"/>
            </w:tcBorders>
            <w:shd w:val="clear" w:color="000000" w:fill="FFFFFF"/>
            <w:noWrap/>
            <w:vAlign w:val="center"/>
            <w:hideMark/>
          </w:tcPr>
          <w:p w14:paraId="5F524324"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680" w:type="pct"/>
            <w:tcBorders>
              <w:top w:val="nil"/>
              <w:left w:val="nil"/>
              <w:bottom w:val="nil"/>
              <w:right w:val="nil"/>
            </w:tcBorders>
            <w:shd w:val="clear" w:color="000000" w:fill="FFFFFF"/>
            <w:noWrap/>
            <w:vAlign w:val="center"/>
            <w:hideMark/>
          </w:tcPr>
          <w:p w14:paraId="71E6A054"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722" w:type="pct"/>
            <w:tcBorders>
              <w:top w:val="nil"/>
              <w:left w:val="nil"/>
              <w:bottom w:val="nil"/>
              <w:right w:val="nil"/>
            </w:tcBorders>
            <w:shd w:val="clear" w:color="000000" w:fill="FFFFFF"/>
            <w:noWrap/>
            <w:vAlign w:val="center"/>
            <w:hideMark/>
          </w:tcPr>
          <w:p w14:paraId="37A1B811"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149" w:type="pct"/>
            <w:tcBorders>
              <w:top w:val="nil"/>
              <w:left w:val="nil"/>
              <w:bottom w:val="nil"/>
              <w:right w:val="nil"/>
            </w:tcBorders>
            <w:shd w:val="clear" w:color="000000" w:fill="FFFFFF"/>
            <w:noWrap/>
            <w:vAlign w:val="center"/>
            <w:hideMark/>
          </w:tcPr>
          <w:p w14:paraId="521F4043" w14:textId="77777777" w:rsidR="00D40091" w:rsidRPr="00D40091" w:rsidRDefault="00D40091" w:rsidP="007D6D88">
            <w:pPr>
              <w:pStyle w:val="Ttulo1"/>
              <w:rPr>
                <w:rFonts w:ascii="Arial" w:eastAsia="Times New Roman" w:hAnsi="Arial" w:cs="Arial"/>
                <w:color w:val="000000"/>
                <w:sz w:val="18"/>
                <w:szCs w:val="18"/>
              </w:rPr>
            </w:pPr>
            <w:r w:rsidRPr="00D40091">
              <w:rPr>
                <w:rFonts w:ascii="Arial" w:eastAsia="Times New Roman" w:hAnsi="Arial" w:cs="Arial"/>
                <w:color w:val="000000"/>
                <w:sz w:val="18"/>
                <w:szCs w:val="18"/>
              </w:rPr>
              <w:t> </w:t>
            </w:r>
          </w:p>
        </w:tc>
        <w:tc>
          <w:tcPr>
            <w:tcW w:w="149" w:type="pct"/>
            <w:tcBorders>
              <w:top w:val="nil"/>
              <w:left w:val="nil"/>
              <w:bottom w:val="nil"/>
              <w:right w:val="nil"/>
            </w:tcBorders>
            <w:shd w:val="clear" w:color="000000" w:fill="FFFFFF"/>
            <w:noWrap/>
            <w:vAlign w:val="center"/>
            <w:hideMark/>
          </w:tcPr>
          <w:p w14:paraId="13F12D40" w14:textId="77777777" w:rsidR="00D40091" w:rsidRPr="00D40091" w:rsidRDefault="00D40091" w:rsidP="007D6D88">
            <w:pPr>
              <w:pStyle w:val="Ttulo1"/>
              <w:rPr>
                <w:rFonts w:ascii="Arial" w:eastAsia="Times New Roman" w:hAnsi="Arial" w:cs="Arial"/>
                <w:b/>
                <w:bCs/>
                <w:color w:val="000000"/>
                <w:sz w:val="18"/>
                <w:szCs w:val="18"/>
                <w:u w:val="single"/>
              </w:rPr>
            </w:pPr>
            <w:r w:rsidRPr="00D40091">
              <w:rPr>
                <w:rFonts w:ascii="Arial" w:eastAsia="Times New Roman" w:hAnsi="Arial" w:cs="Arial"/>
                <w:b/>
                <w:bCs/>
                <w:color w:val="000000"/>
                <w:sz w:val="18"/>
                <w:szCs w:val="18"/>
                <w:u w:val="single"/>
              </w:rPr>
              <w:t> </w:t>
            </w:r>
          </w:p>
        </w:tc>
      </w:tr>
      <w:tr w:rsidR="00D40091" w:rsidRPr="00D40091" w14:paraId="07665CC9" w14:textId="77777777" w:rsidTr="00AA502F">
        <w:trPr>
          <w:trHeight w:val="315"/>
        </w:trPr>
        <w:tc>
          <w:tcPr>
            <w:tcW w:w="2582" w:type="pct"/>
            <w:tcBorders>
              <w:top w:val="nil"/>
              <w:left w:val="nil"/>
              <w:bottom w:val="nil"/>
              <w:right w:val="nil"/>
            </w:tcBorders>
            <w:shd w:val="clear" w:color="000000" w:fill="FFFFFF"/>
            <w:noWrap/>
            <w:vAlign w:val="bottom"/>
            <w:hideMark/>
          </w:tcPr>
          <w:p w14:paraId="0979F7C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EM 31 de DEZEMBRO DE 2020 e 2019</w:t>
            </w:r>
          </w:p>
        </w:tc>
        <w:tc>
          <w:tcPr>
            <w:tcW w:w="718" w:type="pct"/>
            <w:tcBorders>
              <w:top w:val="nil"/>
              <w:left w:val="nil"/>
              <w:bottom w:val="nil"/>
              <w:right w:val="nil"/>
            </w:tcBorders>
            <w:shd w:val="clear" w:color="000000" w:fill="FFFFFF"/>
            <w:noWrap/>
            <w:vAlign w:val="bottom"/>
            <w:hideMark/>
          </w:tcPr>
          <w:p w14:paraId="2722C90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bottom"/>
            <w:hideMark/>
          </w:tcPr>
          <w:p w14:paraId="7C8725E6"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722" w:type="pct"/>
            <w:tcBorders>
              <w:top w:val="nil"/>
              <w:left w:val="nil"/>
              <w:bottom w:val="nil"/>
              <w:right w:val="nil"/>
            </w:tcBorders>
            <w:shd w:val="clear" w:color="000000" w:fill="FFFFFF"/>
            <w:noWrap/>
            <w:vAlign w:val="bottom"/>
            <w:hideMark/>
          </w:tcPr>
          <w:p w14:paraId="67C5DB4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2C79C381"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564DF2BF"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r>
      <w:tr w:rsidR="00D40091" w:rsidRPr="00D40091" w14:paraId="4451F725" w14:textId="77777777" w:rsidTr="00AA502F">
        <w:trPr>
          <w:trHeight w:val="315"/>
        </w:trPr>
        <w:tc>
          <w:tcPr>
            <w:tcW w:w="2582" w:type="pct"/>
            <w:tcBorders>
              <w:top w:val="nil"/>
              <w:left w:val="nil"/>
              <w:bottom w:val="nil"/>
              <w:right w:val="nil"/>
            </w:tcBorders>
            <w:shd w:val="clear" w:color="000000" w:fill="FFFFFF"/>
            <w:noWrap/>
            <w:vAlign w:val="center"/>
            <w:hideMark/>
          </w:tcPr>
          <w:p w14:paraId="7D0244D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18" w:type="pct"/>
            <w:tcBorders>
              <w:top w:val="nil"/>
              <w:left w:val="nil"/>
              <w:bottom w:val="nil"/>
              <w:right w:val="nil"/>
            </w:tcBorders>
            <w:shd w:val="clear" w:color="000000" w:fill="FFFFFF"/>
            <w:noWrap/>
            <w:vAlign w:val="center"/>
            <w:hideMark/>
          </w:tcPr>
          <w:p w14:paraId="5B18B4D1"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center"/>
            <w:hideMark/>
          </w:tcPr>
          <w:p w14:paraId="5DDD8A5E"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nil"/>
              <w:right w:val="nil"/>
            </w:tcBorders>
            <w:shd w:val="clear" w:color="000000" w:fill="FFFFFF"/>
            <w:noWrap/>
            <w:vAlign w:val="center"/>
            <w:hideMark/>
          </w:tcPr>
          <w:p w14:paraId="17122D3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center"/>
            <w:hideMark/>
          </w:tcPr>
          <w:p w14:paraId="2F5C59A3"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center"/>
            <w:hideMark/>
          </w:tcPr>
          <w:p w14:paraId="04E79BD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D40091" w:rsidRPr="00D40091" w14:paraId="192707D7" w14:textId="77777777" w:rsidTr="00AA502F">
        <w:trPr>
          <w:trHeight w:val="315"/>
        </w:trPr>
        <w:tc>
          <w:tcPr>
            <w:tcW w:w="2582" w:type="pct"/>
            <w:tcBorders>
              <w:top w:val="nil"/>
              <w:left w:val="nil"/>
              <w:bottom w:val="single" w:sz="4" w:space="0" w:color="auto"/>
              <w:right w:val="nil"/>
            </w:tcBorders>
            <w:shd w:val="clear" w:color="000000" w:fill="FFFFFF"/>
            <w:noWrap/>
            <w:vAlign w:val="center"/>
            <w:hideMark/>
          </w:tcPr>
          <w:p w14:paraId="17832C32"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(Valores expressos em reais R$)</w:t>
            </w:r>
          </w:p>
        </w:tc>
        <w:tc>
          <w:tcPr>
            <w:tcW w:w="718" w:type="pct"/>
            <w:tcBorders>
              <w:top w:val="nil"/>
              <w:left w:val="nil"/>
              <w:bottom w:val="single" w:sz="4" w:space="0" w:color="auto"/>
              <w:right w:val="nil"/>
            </w:tcBorders>
            <w:shd w:val="clear" w:color="000000" w:fill="FFFFFF"/>
            <w:noWrap/>
            <w:vAlign w:val="center"/>
            <w:hideMark/>
          </w:tcPr>
          <w:p w14:paraId="1E434745"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single" w:sz="4" w:space="0" w:color="auto"/>
              <w:right w:val="nil"/>
            </w:tcBorders>
            <w:shd w:val="clear" w:color="000000" w:fill="FFFFFF"/>
            <w:noWrap/>
            <w:vAlign w:val="center"/>
            <w:hideMark/>
          </w:tcPr>
          <w:p w14:paraId="1611D20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single" w:sz="4" w:space="0" w:color="auto"/>
              <w:right w:val="nil"/>
            </w:tcBorders>
            <w:shd w:val="clear" w:color="000000" w:fill="FFFFFF"/>
            <w:noWrap/>
            <w:vAlign w:val="center"/>
            <w:hideMark/>
          </w:tcPr>
          <w:p w14:paraId="44B2ED3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single" w:sz="4" w:space="0" w:color="auto"/>
              <w:right w:val="nil"/>
            </w:tcBorders>
            <w:shd w:val="clear" w:color="000000" w:fill="FFFFFF"/>
            <w:noWrap/>
            <w:vAlign w:val="center"/>
            <w:hideMark/>
          </w:tcPr>
          <w:p w14:paraId="1F44652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single" w:sz="4" w:space="0" w:color="auto"/>
              <w:right w:val="nil"/>
            </w:tcBorders>
            <w:shd w:val="clear" w:color="000000" w:fill="FFFFFF"/>
            <w:noWrap/>
            <w:vAlign w:val="center"/>
            <w:hideMark/>
          </w:tcPr>
          <w:p w14:paraId="1DE945CA"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D40091" w:rsidRPr="00D40091" w14:paraId="271D3D7F" w14:textId="77777777" w:rsidTr="00AA502F">
        <w:trPr>
          <w:trHeight w:val="315"/>
        </w:trPr>
        <w:tc>
          <w:tcPr>
            <w:tcW w:w="2582" w:type="pct"/>
            <w:tcBorders>
              <w:top w:val="nil"/>
              <w:left w:val="nil"/>
              <w:bottom w:val="nil"/>
              <w:right w:val="nil"/>
            </w:tcBorders>
            <w:shd w:val="clear" w:color="000000" w:fill="FFFFFF"/>
            <w:noWrap/>
            <w:vAlign w:val="bottom"/>
            <w:hideMark/>
          </w:tcPr>
          <w:p w14:paraId="09647217"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18" w:type="pct"/>
            <w:tcBorders>
              <w:top w:val="nil"/>
              <w:left w:val="nil"/>
              <w:bottom w:val="nil"/>
              <w:right w:val="nil"/>
            </w:tcBorders>
            <w:shd w:val="clear" w:color="000000" w:fill="FFFFFF"/>
            <w:noWrap/>
            <w:vAlign w:val="bottom"/>
            <w:hideMark/>
          </w:tcPr>
          <w:p w14:paraId="6D798B8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bottom"/>
            <w:hideMark/>
          </w:tcPr>
          <w:p w14:paraId="6AEBD76C"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nil"/>
              <w:right w:val="nil"/>
            </w:tcBorders>
            <w:shd w:val="clear" w:color="000000" w:fill="FFFFFF"/>
            <w:noWrap/>
            <w:vAlign w:val="bottom"/>
            <w:hideMark/>
          </w:tcPr>
          <w:p w14:paraId="74B4286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3E7F772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3B0AC466"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D40091" w:rsidRPr="00D40091" w14:paraId="5DA5C4E8" w14:textId="77777777" w:rsidTr="00AA502F">
        <w:trPr>
          <w:trHeight w:val="510"/>
        </w:trPr>
        <w:tc>
          <w:tcPr>
            <w:tcW w:w="2582" w:type="pct"/>
            <w:tcBorders>
              <w:top w:val="nil"/>
              <w:left w:val="nil"/>
              <w:bottom w:val="nil"/>
              <w:right w:val="nil"/>
            </w:tcBorders>
            <w:shd w:val="clear" w:color="000000" w:fill="FFFFFF"/>
            <w:noWrap/>
            <w:vAlign w:val="bottom"/>
            <w:hideMark/>
          </w:tcPr>
          <w:p w14:paraId="27CCECB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718" w:type="pct"/>
            <w:tcBorders>
              <w:top w:val="nil"/>
              <w:left w:val="nil"/>
              <w:bottom w:val="nil"/>
              <w:right w:val="nil"/>
            </w:tcBorders>
            <w:shd w:val="clear" w:color="auto" w:fill="auto"/>
            <w:vAlign w:val="bottom"/>
            <w:hideMark/>
          </w:tcPr>
          <w:p w14:paraId="7BA19EBD" w14:textId="77777777" w:rsidR="00D40091" w:rsidRPr="00D40091" w:rsidRDefault="00D40091" w:rsidP="00AA502F">
            <w:pPr>
              <w:spacing w:line="240" w:lineRule="auto"/>
              <w:jc w:val="center"/>
              <w:rPr>
                <w:rFonts w:ascii="Arial" w:hAnsi="Arial" w:cs="Arial"/>
                <w:b/>
                <w:bCs/>
                <w:color w:val="000000"/>
                <w:sz w:val="18"/>
                <w:szCs w:val="18"/>
              </w:rPr>
            </w:pPr>
            <w:r w:rsidRPr="00D40091">
              <w:rPr>
                <w:rFonts w:ascii="Arial" w:hAnsi="Arial" w:cs="Arial"/>
                <w:b/>
                <w:bCs/>
                <w:color w:val="000000"/>
                <w:sz w:val="18"/>
                <w:szCs w:val="18"/>
              </w:rPr>
              <w:t>Notas Explicativas</w:t>
            </w:r>
          </w:p>
        </w:tc>
        <w:tc>
          <w:tcPr>
            <w:tcW w:w="680" w:type="pct"/>
            <w:tcBorders>
              <w:top w:val="nil"/>
              <w:left w:val="nil"/>
              <w:bottom w:val="nil"/>
              <w:right w:val="nil"/>
            </w:tcBorders>
            <w:shd w:val="clear" w:color="000000" w:fill="FFFFFF"/>
            <w:noWrap/>
            <w:vAlign w:val="center"/>
            <w:hideMark/>
          </w:tcPr>
          <w:p w14:paraId="0253A157" w14:textId="77777777" w:rsidR="00D40091" w:rsidRPr="00D40091" w:rsidRDefault="00D40091" w:rsidP="00AA502F">
            <w:pPr>
              <w:spacing w:line="240" w:lineRule="auto"/>
              <w:jc w:val="center"/>
              <w:rPr>
                <w:rFonts w:ascii="Arial" w:hAnsi="Arial" w:cs="Arial"/>
                <w:b/>
                <w:bCs/>
                <w:color w:val="000000"/>
                <w:sz w:val="18"/>
                <w:szCs w:val="18"/>
                <w:u w:val="single"/>
              </w:rPr>
            </w:pPr>
            <w:r w:rsidRPr="00D40091">
              <w:rPr>
                <w:rFonts w:ascii="Arial" w:hAnsi="Arial" w:cs="Arial"/>
                <w:b/>
                <w:bCs/>
                <w:color w:val="000000"/>
                <w:sz w:val="18"/>
                <w:szCs w:val="18"/>
                <w:u w:val="single"/>
              </w:rPr>
              <w:t>2020</w:t>
            </w:r>
          </w:p>
        </w:tc>
        <w:tc>
          <w:tcPr>
            <w:tcW w:w="722" w:type="pct"/>
            <w:tcBorders>
              <w:top w:val="nil"/>
              <w:left w:val="nil"/>
              <w:bottom w:val="nil"/>
              <w:right w:val="nil"/>
            </w:tcBorders>
            <w:shd w:val="clear" w:color="000000" w:fill="FFFFFF"/>
            <w:noWrap/>
            <w:vAlign w:val="bottom"/>
            <w:hideMark/>
          </w:tcPr>
          <w:p w14:paraId="5D6130A4" w14:textId="77777777" w:rsidR="00D40091" w:rsidRPr="00D40091" w:rsidRDefault="00D40091" w:rsidP="00AA502F">
            <w:pPr>
              <w:spacing w:line="240" w:lineRule="auto"/>
              <w:jc w:val="right"/>
              <w:rPr>
                <w:rFonts w:ascii="Arial" w:hAnsi="Arial" w:cs="Arial"/>
                <w:b/>
                <w:bCs/>
                <w:color w:val="000000"/>
                <w:sz w:val="18"/>
                <w:szCs w:val="18"/>
                <w:u w:val="single"/>
              </w:rPr>
            </w:pPr>
            <w:r w:rsidRPr="00D40091">
              <w:rPr>
                <w:rFonts w:ascii="Arial" w:hAnsi="Arial" w:cs="Arial"/>
                <w:b/>
                <w:bCs/>
                <w:color w:val="000000"/>
                <w:sz w:val="18"/>
                <w:szCs w:val="18"/>
                <w:u w:val="single"/>
              </w:rPr>
              <w:t>2019</w:t>
            </w:r>
          </w:p>
        </w:tc>
        <w:tc>
          <w:tcPr>
            <w:tcW w:w="149" w:type="pct"/>
            <w:tcBorders>
              <w:top w:val="nil"/>
              <w:left w:val="nil"/>
              <w:bottom w:val="nil"/>
              <w:right w:val="nil"/>
            </w:tcBorders>
            <w:shd w:val="clear" w:color="000000" w:fill="FFFFFF"/>
            <w:noWrap/>
            <w:vAlign w:val="bottom"/>
            <w:hideMark/>
          </w:tcPr>
          <w:p w14:paraId="7493D998"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670FA124" w14:textId="77777777" w:rsidR="00D40091" w:rsidRPr="00D40091" w:rsidRDefault="00D40091" w:rsidP="00AA502F">
            <w:pPr>
              <w:spacing w:line="240" w:lineRule="auto"/>
              <w:jc w:val="center"/>
              <w:rPr>
                <w:rFonts w:ascii="Arial" w:hAnsi="Arial" w:cs="Arial"/>
                <w:color w:val="000000"/>
                <w:sz w:val="18"/>
                <w:szCs w:val="18"/>
                <w:u w:val="single"/>
              </w:rPr>
            </w:pPr>
            <w:r w:rsidRPr="00D40091">
              <w:rPr>
                <w:rFonts w:ascii="Arial" w:hAnsi="Arial" w:cs="Arial"/>
                <w:color w:val="000000"/>
                <w:sz w:val="18"/>
                <w:szCs w:val="18"/>
                <w:u w:val="single"/>
              </w:rPr>
              <w:t> </w:t>
            </w:r>
          </w:p>
        </w:tc>
      </w:tr>
      <w:tr w:rsidR="00D40091" w:rsidRPr="00D40091" w14:paraId="755F2B74" w14:textId="77777777" w:rsidTr="00AA502F">
        <w:trPr>
          <w:trHeight w:val="315"/>
        </w:trPr>
        <w:tc>
          <w:tcPr>
            <w:tcW w:w="2582" w:type="pct"/>
            <w:tcBorders>
              <w:top w:val="nil"/>
              <w:left w:val="nil"/>
              <w:bottom w:val="nil"/>
              <w:right w:val="nil"/>
            </w:tcBorders>
            <w:shd w:val="clear" w:color="000000" w:fill="FFFFFF"/>
            <w:noWrap/>
            <w:vAlign w:val="bottom"/>
            <w:hideMark/>
          </w:tcPr>
          <w:p w14:paraId="3B7FE886"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718" w:type="pct"/>
            <w:tcBorders>
              <w:top w:val="nil"/>
              <w:left w:val="nil"/>
              <w:bottom w:val="nil"/>
              <w:right w:val="nil"/>
            </w:tcBorders>
            <w:shd w:val="clear" w:color="000000" w:fill="FFFFFF"/>
            <w:noWrap/>
            <w:vAlign w:val="bottom"/>
            <w:hideMark/>
          </w:tcPr>
          <w:p w14:paraId="35083A44"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680" w:type="pct"/>
            <w:tcBorders>
              <w:top w:val="nil"/>
              <w:left w:val="nil"/>
              <w:bottom w:val="nil"/>
              <w:right w:val="nil"/>
            </w:tcBorders>
            <w:shd w:val="clear" w:color="000000" w:fill="FFFFFF"/>
            <w:noWrap/>
            <w:vAlign w:val="bottom"/>
            <w:hideMark/>
          </w:tcPr>
          <w:p w14:paraId="17B01786"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722" w:type="pct"/>
            <w:tcBorders>
              <w:top w:val="nil"/>
              <w:left w:val="nil"/>
              <w:bottom w:val="nil"/>
              <w:right w:val="nil"/>
            </w:tcBorders>
            <w:shd w:val="clear" w:color="000000" w:fill="FFFFFF"/>
            <w:noWrap/>
            <w:vAlign w:val="bottom"/>
            <w:hideMark/>
          </w:tcPr>
          <w:p w14:paraId="59833AD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1A74DE57"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108264BC"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r>
      <w:tr w:rsidR="00D40091" w:rsidRPr="00D40091" w14:paraId="37EC6F7F" w14:textId="77777777" w:rsidTr="00AA502F">
        <w:trPr>
          <w:trHeight w:val="315"/>
        </w:trPr>
        <w:tc>
          <w:tcPr>
            <w:tcW w:w="2582" w:type="pct"/>
            <w:tcBorders>
              <w:top w:val="nil"/>
              <w:left w:val="nil"/>
              <w:bottom w:val="nil"/>
              <w:right w:val="nil"/>
            </w:tcBorders>
            <w:shd w:val="clear" w:color="000000" w:fill="FFFFFF"/>
            <w:noWrap/>
            <w:vAlign w:val="bottom"/>
            <w:hideMark/>
          </w:tcPr>
          <w:p w14:paraId="5F12F2F5"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LUCRO LÍQUIDO DO EXERCÍCIO</w:t>
            </w:r>
          </w:p>
        </w:tc>
        <w:tc>
          <w:tcPr>
            <w:tcW w:w="718" w:type="pct"/>
            <w:tcBorders>
              <w:top w:val="nil"/>
              <w:left w:val="nil"/>
              <w:bottom w:val="nil"/>
              <w:right w:val="nil"/>
            </w:tcBorders>
            <w:shd w:val="clear" w:color="000000" w:fill="FFFFFF"/>
            <w:noWrap/>
            <w:vAlign w:val="bottom"/>
            <w:hideMark/>
          </w:tcPr>
          <w:p w14:paraId="74FF778B"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xml:space="preserve">18.d </w:t>
            </w:r>
          </w:p>
        </w:tc>
        <w:tc>
          <w:tcPr>
            <w:tcW w:w="680" w:type="pct"/>
            <w:tcBorders>
              <w:top w:val="nil"/>
              <w:left w:val="nil"/>
              <w:bottom w:val="nil"/>
              <w:right w:val="nil"/>
            </w:tcBorders>
            <w:shd w:val="clear" w:color="000000" w:fill="FFFFFF"/>
            <w:noWrap/>
            <w:vAlign w:val="bottom"/>
            <w:hideMark/>
          </w:tcPr>
          <w:p w14:paraId="079A07D6" w14:textId="77777777" w:rsidR="00D40091" w:rsidRPr="00D40091" w:rsidRDefault="00D40091" w:rsidP="00577985">
            <w:pPr>
              <w:spacing w:line="240" w:lineRule="auto"/>
              <w:jc w:val="right"/>
              <w:rPr>
                <w:rFonts w:ascii="Arial" w:hAnsi="Arial" w:cs="Arial"/>
                <w:b/>
                <w:bCs/>
                <w:sz w:val="18"/>
                <w:szCs w:val="18"/>
                <w:u w:val="single"/>
              </w:rPr>
            </w:pPr>
            <w:r w:rsidRPr="00D40091">
              <w:rPr>
                <w:rFonts w:ascii="Arial" w:hAnsi="Arial" w:cs="Arial"/>
                <w:b/>
                <w:bCs/>
                <w:sz w:val="18"/>
                <w:szCs w:val="18"/>
                <w:u w:val="single"/>
              </w:rPr>
              <w:t xml:space="preserve">            19.483.961 </w:t>
            </w:r>
          </w:p>
        </w:tc>
        <w:tc>
          <w:tcPr>
            <w:tcW w:w="722" w:type="pct"/>
            <w:tcBorders>
              <w:top w:val="nil"/>
              <w:left w:val="nil"/>
              <w:bottom w:val="nil"/>
              <w:right w:val="nil"/>
            </w:tcBorders>
            <w:shd w:val="clear" w:color="000000" w:fill="FFFFFF"/>
            <w:noWrap/>
            <w:vAlign w:val="bottom"/>
            <w:hideMark/>
          </w:tcPr>
          <w:p w14:paraId="3B2B456E" w14:textId="77777777" w:rsidR="00D40091" w:rsidRPr="00D40091" w:rsidRDefault="00D40091" w:rsidP="00577985">
            <w:pPr>
              <w:spacing w:line="240" w:lineRule="auto"/>
              <w:jc w:val="right"/>
              <w:rPr>
                <w:rFonts w:ascii="Arial" w:hAnsi="Arial" w:cs="Arial"/>
                <w:b/>
                <w:bCs/>
                <w:sz w:val="18"/>
                <w:szCs w:val="18"/>
                <w:u w:val="single"/>
              </w:rPr>
            </w:pPr>
            <w:r w:rsidRPr="00D40091">
              <w:rPr>
                <w:rFonts w:ascii="Arial" w:hAnsi="Arial" w:cs="Arial"/>
                <w:b/>
                <w:bCs/>
                <w:sz w:val="18"/>
                <w:szCs w:val="18"/>
                <w:u w:val="single"/>
              </w:rPr>
              <w:t xml:space="preserve">              22.974.349 </w:t>
            </w:r>
          </w:p>
        </w:tc>
        <w:tc>
          <w:tcPr>
            <w:tcW w:w="149" w:type="pct"/>
            <w:tcBorders>
              <w:top w:val="nil"/>
              <w:left w:val="nil"/>
              <w:bottom w:val="nil"/>
              <w:right w:val="nil"/>
            </w:tcBorders>
            <w:shd w:val="clear" w:color="000000" w:fill="FFFFFF"/>
            <w:noWrap/>
            <w:vAlign w:val="bottom"/>
            <w:hideMark/>
          </w:tcPr>
          <w:p w14:paraId="061358A4"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149" w:type="pct"/>
            <w:tcBorders>
              <w:top w:val="nil"/>
              <w:left w:val="nil"/>
              <w:bottom w:val="nil"/>
              <w:right w:val="nil"/>
            </w:tcBorders>
            <w:shd w:val="clear" w:color="000000" w:fill="FFFFFF"/>
            <w:noWrap/>
            <w:vAlign w:val="bottom"/>
            <w:hideMark/>
          </w:tcPr>
          <w:p w14:paraId="2F3C5097"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r>
      <w:tr w:rsidR="00D40091" w:rsidRPr="00D40091" w14:paraId="5E36991F" w14:textId="77777777" w:rsidTr="00AA502F">
        <w:trPr>
          <w:trHeight w:val="315"/>
        </w:trPr>
        <w:tc>
          <w:tcPr>
            <w:tcW w:w="2582" w:type="pct"/>
            <w:tcBorders>
              <w:top w:val="nil"/>
              <w:left w:val="nil"/>
              <w:bottom w:val="nil"/>
              <w:right w:val="nil"/>
            </w:tcBorders>
            <w:shd w:val="clear" w:color="000000" w:fill="FFFFFF"/>
            <w:noWrap/>
            <w:vAlign w:val="bottom"/>
            <w:hideMark/>
          </w:tcPr>
          <w:p w14:paraId="047E2F49"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718" w:type="pct"/>
            <w:tcBorders>
              <w:top w:val="nil"/>
              <w:left w:val="nil"/>
              <w:bottom w:val="nil"/>
              <w:right w:val="nil"/>
            </w:tcBorders>
            <w:shd w:val="clear" w:color="000000" w:fill="FFFFFF"/>
            <w:noWrap/>
            <w:vAlign w:val="bottom"/>
            <w:hideMark/>
          </w:tcPr>
          <w:p w14:paraId="77E8B651"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bottom"/>
            <w:hideMark/>
          </w:tcPr>
          <w:p w14:paraId="35A74779" w14:textId="77777777" w:rsidR="00D40091" w:rsidRPr="00D40091" w:rsidRDefault="00D40091" w:rsidP="00577985">
            <w:pPr>
              <w:spacing w:line="240" w:lineRule="auto"/>
              <w:ind w:firstLineChars="100" w:firstLine="180"/>
              <w:jc w:val="right"/>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nil"/>
              <w:right w:val="nil"/>
            </w:tcBorders>
            <w:shd w:val="clear" w:color="000000" w:fill="FFFFFF"/>
            <w:noWrap/>
            <w:vAlign w:val="bottom"/>
            <w:hideMark/>
          </w:tcPr>
          <w:p w14:paraId="6D6DC525" w14:textId="77777777" w:rsidR="00D40091" w:rsidRPr="00D40091" w:rsidRDefault="00D40091" w:rsidP="00577985">
            <w:pPr>
              <w:spacing w:line="240" w:lineRule="auto"/>
              <w:ind w:firstLineChars="100" w:firstLine="180"/>
              <w:jc w:val="right"/>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273114A1"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20F12574"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r>
      <w:tr w:rsidR="00D40091" w:rsidRPr="00D40091" w14:paraId="74602293" w14:textId="77777777" w:rsidTr="00AA502F">
        <w:trPr>
          <w:trHeight w:val="315"/>
        </w:trPr>
        <w:tc>
          <w:tcPr>
            <w:tcW w:w="2582" w:type="pct"/>
            <w:tcBorders>
              <w:top w:val="nil"/>
              <w:left w:val="nil"/>
              <w:bottom w:val="nil"/>
              <w:right w:val="nil"/>
            </w:tcBorders>
            <w:shd w:val="clear" w:color="000000" w:fill="FFFFFF"/>
            <w:noWrap/>
            <w:vAlign w:val="bottom"/>
            <w:hideMark/>
          </w:tcPr>
          <w:p w14:paraId="6F9D2D20"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xml:space="preserve">Ajuste de </w:t>
            </w:r>
            <w:proofErr w:type="spellStart"/>
            <w:r w:rsidRPr="00D40091">
              <w:rPr>
                <w:rFonts w:ascii="Arial" w:hAnsi="Arial" w:cs="Arial"/>
                <w:color w:val="000000"/>
                <w:sz w:val="18"/>
                <w:szCs w:val="18"/>
              </w:rPr>
              <w:t>Exercicios</w:t>
            </w:r>
            <w:proofErr w:type="spellEnd"/>
            <w:r w:rsidRPr="00D40091">
              <w:rPr>
                <w:rFonts w:ascii="Arial" w:hAnsi="Arial" w:cs="Arial"/>
                <w:color w:val="000000"/>
                <w:sz w:val="18"/>
                <w:szCs w:val="18"/>
              </w:rPr>
              <w:t xml:space="preserve"> Anteriores </w:t>
            </w:r>
          </w:p>
        </w:tc>
        <w:tc>
          <w:tcPr>
            <w:tcW w:w="718" w:type="pct"/>
            <w:tcBorders>
              <w:top w:val="nil"/>
              <w:left w:val="nil"/>
              <w:bottom w:val="nil"/>
              <w:right w:val="nil"/>
            </w:tcBorders>
            <w:shd w:val="clear" w:color="000000" w:fill="FFFFFF"/>
            <w:noWrap/>
            <w:vAlign w:val="bottom"/>
            <w:hideMark/>
          </w:tcPr>
          <w:p w14:paraId="7BD90FEB" w14:textId="77777777" w:rsidR="00D40091" w:rsidRPr="00D40091" w:rsidRDefault="00D40091" w:rsidP="00AA502F">
            <w:pPr>
              <w:spacing w:line="240" w:lineRule="auto"/>
              <w:jc w:val="center"/>
              <w:rPr>
                <w:rFonts w:ascii="Arial" w:hAnsi="Arial" w:cs="Arial"/>
                <w:color w:val="000000"/>
                <w:sz w:val="18"/>
                <w:szCs w:val="18"/>
              </w:rPr>
            </w:pPr>
            <w:r w:rsidRPr="00D40091">
              <w:rPr>
                <w:rFonts w:ascii="Arial" w:hAnsi="Arial" w:cs="Arial"/>
                <w:color w:val="000000"/>
                <w:sz w:val="18"/>
                <w:szCs w:val="18"/>
              </w:rPr>
              <w:t>18.e</w:t>
            </w:r>
          </w:p>
        </w:tc>
        <w:tc>
          <w:tcPr>
            <w:tcW w:w="680" w:type="pct"/>
            <w:tcBorders>
              <w:top w:val="nil"/>
              <w:left w:val="nil"/>
              <w:bottom w:val="nil"/>
              <w:right w:val="nil"/>
            </w:tcBorders>
            <w:shd w:val="clear" w:color="000000" w:fill="FFFFFF"/>
            <w:noWrap/>
            <w:vAlign w:val="bottom"/>
            <w:hideMark/>
          </w:tcPr>
          <w:p w14:paraId="5144AEC5" w14:textId="77777777" w:rsidR="00D40091" w:rsidRPr="00D40091" w:rsidRDefault="00D40091" w:rsidP="00577985">
            <w:pPr>
              <w:spacing w:line="240" w:lineRule="auto"/>
              <w:ind w:firstLineChars="100" w:firstLine="180"/>
              <w:jc w:val="right"/>
              <w:rPr>
                <w:rFonts w:ascii="Arial" w:hAnsi="Arial" w:cs="Arial"/>
                <w:color w:val="000000"/>
                <w:sz w:val="18"/>
                <w:szCs w:val="18"/>
              </w:rPr>
            </w:pPr>
            <w:r w:rsidRPr="00D40091">
              <w:rPr>
                <w:rFonts w:ascii="Arial" w:hAnsi="Arial" w:cs="Arial"/>
                <w:color w:val="000000"/>
                <w:sz w:val="18"/>
                <w:szCs w:val="18"/>
              </w:rPr>
              <w:t>2.735</w:t>
            </w:r>
          </w:p>
        </w:tc>
        <w:tc>
          <w:tcPr>
            <w:tcW w:w="722" w:type="pct"/>
            <w:tcBorders>
              <w:top w:val="nil"/>
              <w:left w:val="nil"/>
              <w:bottom w:val="nil"/>
              <w:right w:val="nil"/>
            </w:tcBorders>
            <w:shd w:val="clear" w:color="000000" w:fill="FFFFFF"/>
            <w:noWrap/>
            <w:vAlign w:val="bottom"/>
            <w:hideMark/>
          </w:tcPr>
          <w:p w14:paraId="52F193E8" w14:textId="77777777" w:rsidR="00D40091" w:rsidRPr="00D40091" w:rsidRDefault="00D40091" w:rsidP="00577985">
            <w:pPr>
              <w:spacing w:line="240" w:lineRule="auto"/>
              <w:ind w:firstLineChars="100" w:firstLine="180"/>
              <w:jc w:val="right"/>
              <w:rPr>
                <w:rFonts w:ascii="Arial" w:hAnsi="Arial" w:cs="Arial"/>
                <w:color w:val="000000"/>
                <w:sz w:val="18"/>
                <w:szCs w:val="18"/>
              </w:rPr>
            </w:pPr>
            <w:r w:rsidRPr="00D40091">
              <w:rPr>
                <w:rFonts w:ascii="Arial" w:hAnsi="Arial" w:cs="Arial"/>
                <w:color w:val="000000"/>
                <w:sz w:val="18"/>
                <w:szCs w:val="18"/>
              </w:rPr>
              <w:t>82.966</w:t>
            </w:r>
          </w:p>
        </w:tc>
        <w:tc>
          <w:tcPr>
            <w:tcW w:w="149" w:type="pct"/>
            <w:tcBorders>
              <w:top w:val="nil"/>
              <w:left w:val="nil"/>
              <w:bottom w:val="nil"/>
              <w:right w:val="nil"/>
            </w:tcBorders>
            <w:shd w:val="clear" w:color="000000" w:fill="FFFFFF"/>
            <w:noWrap/>
            <w:vAlign w:val="bottom"/>
            <w:hideMark/>
          </w:tcPr>
          <w:p w14:paraId="18C40B0B"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33E85DB8"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r>
      <w:tr w:rsidR="00D40091" w:rsidRPr="00D40091" w14:paraId="66F5032A" w14:textId="77777777" w:rsidTr="00AA502F">
        <w:trPr>
          <w:trHeight w:val="315"/>
        </w:trPr>
        <w:tc>
          <w:tcPr>
            <w:tcW w:w="2582" w:type="pct"/>
            <w:tcBorders>
              <w:top w:val="nil"/>
              <w:left w:val="nil"/>
              <w:bottom w:val="nil"/>
              <w:right w:val="nil"/>
            </w:tcBorders>
            <w:shd w:val="clear" w:color="000000" w:fill="FFFFFF"/>
            <w:noWrap/>
            <w:vAlign w:val="bottom"/>
            <w:hideMark/>
          </w:tcPr>
          <w:p w14:paraId="271B4D3A"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718" w:type="pct"/>
            <w:tcBorders>
              <w:top w:val="nil"/>
              <w:left w:val="nil"/>
              <w:bottom w:val="nil"/>
              <w:right w:val="nil"/>
            </w:tcBorders>
            <w:shd w:val="clear" w:color="000000" w:fill="FFFFFF"/>
            <w:noWrap/>
            <w:vAlign w:val="bottom"/>
            <w:hideMark/>
          </w:tcPr>
          <w:p w14:paraId="5D6E6C3B"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bottom"/>
            <w:hideMark/>
          </w:tcPr>
          <w:p w14:paraId="703AFC2E" w14:textId="77777777" w:rsidR="00D40091" w:rsidRPr="00D40091" w:rsidRDefault="00D40091" w:rsidP="00577985">
            <w:pPr>
              <w:spacing w:line="240" w:lineRule="auto"/>
              <w:ind w:firstLineChars="100" w:firstLine="180"/>
              <w:jc w:val="right"/>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nil"/>
              <w:right w:val="nil"/>
            </w:tcBorders>
            <w:shd w:val="clear" w:color="000000" w:fill="FFFFFF"/>
            <w:noWrap/>
            <w:vAlign w:val="bottom"/>
            <w:hideMark/>
          </w:tcPr>
          <w:p w14:paraId="21E96E5E" w14:textId="77777777" w:rsidR="00D40091" w:rsidRPr="00D40091" w:rsidRDefault="00D40091" w:rsidP="00577985">
            <w:pPr>
              <w:spacing w:line="240" w:lineRule="auto"/>
              <w:ind w:firstLineChars="100" w:firstLine="180"/>
              <w:jc w:val="right"/>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133BD728"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79B9C62F"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r>
      <w:tr w:rsidR="00D40091" w:rsidRPr="00D40091" w14:paraId="169F733D" w14:textId="77777777" w:rsidTr="00AA502F">
        <w:trPr>
          <w:trHeight w:val="315"/>
        </w:trPr>
        <w:tc>
          <w:tcPr>
            <w:tcW w:w="2582" w:type="pct"/>
            <w:tcBorders>
              <w:top w:val="nil"/>
              <w:left w:val="nil"/>
              <w:bottom w:val="nil"/>
              <w:right w:val="nil"/>
            </w:tcBorders>
            <w:shd w:val="clear" w:color="000000" w:fill="FFFFFF"/>
            <w:noWrap/>
            <w:vAlign w:val="bottom"/>
            <w:hideMark/>
          </w:tcPr>
          <w:p w14:paraId="60875978"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RESULTADO ABRANGENTE DO EXERCÍCIO</w:t>
            </w:r>
          </w:p>
        </w:tc>
        <w:tc>
          <w:tcPr>
            <w:tcW w:w="718" w:type="pct"/>
            <w:tcBorders>
              <w:top w:val="nil"/>
              <w:left w:val="nil"/>
              <w:bottom w:val="nil"/>
              <w:right w:val="nil"/>
            </w:tcBorders>
            <w:shd w:val="clear" w:color="000000" w:fill="FFFFFF"/>
            <w:noWrap/>
            <w:vAlign w:val="bottom"/>
            <w:hideMark/>
          </w:tcPr>
          <w:p w14:paraId="43802A0F"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680" w:type="pct"/>
            <w:tcBorders>
              <w:top w:val="nil"/>
              <w:left w:val="nil"/>
              <w:bottom w:val="nil"/>
              <w:right w:val="nil"/>
            </w:tcBorders>
            <w:shd w:val="clear" w:color="000000" w:fill="FFFFFF"/>
            <w:noWrap/>
            <w:vAlign w:val="bottom"/>
            <w:hideMark/>
          </w:tcPr>
          <w:p w14:paraId="26DA56A5" w14:textId="77777777" w:rsidR="00D40091" w:rsidRPr="00D40091" w:rsidRDefault="00D40091" w:rsidP="00577985">
            <w:pPr>
              <w:spacing w:line="240" w:lineRule="auto"/>
              <w:jc w:val="right"/>
              <w:rPr>
                <w:rFonts w:ascii="Arial" w:hAnsi="Arial" w:cs="Arial"/>
                <w:b/>
                <w:bCs/>
                <w:color w:val="000000"/>
                <w:sz w:val="18"/>
                <w:szCs w:val="18"/>
                <w:u w:val="single"/>
              </w:rPr>
            </w:pPr>
            <w:r w:rsidRPr="00D40091">
              <w:rPr>
                <w:rFonts w:ascii="Arial" w:hAnsi="Arial" w:cs="Arial"/>
                <w:b/>
                <w:bCs/>
                <w:color w:val="000000"/>
                <w:sz w:val="18"/>
                <w:szCs w:val="18"/>
                <w:u w:val="single"/>
              </w:rPr>
              <w:t xml:space="preserve">            19.486.696 </w:t>
            </w:r>
          </w:p>
        </w:tc>
        <w:tc>
          <w:tcPr>
            <w:tcW w:w="722" w:type="pct"/>
            <w:tcBorders>
              <w:top w:val="nil"/>
              <w:left w:val="nil"/>
              <w:bottom w:val="nil"/>
              <w:right w:val="nil"/>
            </w:tcBorders>
            <w:shd w:val="clear" w:color="000000" w:fill="FFFFFF"/>
            <w:noWrap/>
            <w:vAlign w:val="bottom"/>
            <w:hideMark/>
          </w:tcPr>
          <w:p w14:paraId="213ABF93" w14:textId="77777777" w:rsidR="00D40091" w:rsidRPr="00D40091" w:rsidRDefault="00D40091" w:rsidP="00577985">
            <w:pPr>
              <w:spacing w:line="240" w:lineRule="auto"/>
              <w:jc w:val="right"/>
              <w:rPr>
                <w:rFonts w:ascii="Arial" w:hAnsi="Arial" w:cs="Arial"/>
                <w:b/>
                <w:bCs/>
                <w:color w:val="000000"/>
                <w:sz w:val="18"/>
                <w:szCs w:val="18"/>
                <w:u w:val="single"/>
              </w:rPr>
            </w:pPr>
            <w:r w:rsidRPr="00D40091">
              <w:rPr>
                <w:rFonts w:ascii="Arial" w:hAnsi="Arial" w:cs="Arial"/>
                <w:b/>
                <w:bCs/>
                <w:color w:val="000000"/>
                <w:sz w:val="18"/>
                <w:szCs w:val="18"/>
                <w:u w:val="single"/>
              </w:rPr>
              <w:t xml:space="preserve">              23.057.315 </w:t>
            </w:r>
          </w:p>
        </w:tc>
        <w:tc>
          <w:tcPr>
            <w:tcW w:w="149" w:type="pct"/>
            <w:tcBorders>
              <w:top w:val="nil"/>
              <w:left w:val="nil"/>
              <w:bottom w:val="nil"/>
              <w:right w:val="nil"/>
            </w:tcBorders>
            <w:shd w:val="clear" w:color="000000" w:fill="FFFFFF"/>
            <w:noWrap/>
            <w:vAlign w:val="bottom"/>
            <w:hideMark/>
          </w:tcPr>
          <w:p w14:paraId="65D436C1"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1945677A"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r>
      <w:tr w:rsidR="00D40091" w:rsidRPr="00D40091" w14:paraId="2DD3D8F3" w14:textId="77777777" w:rsidTr="00AA502F">
        <w:trPr>
          <w:trHeight w:val="315"/>
        </w:trPr>
        <w:tc>
          <w:tcPr>
            <w:tcW w:w="2582" w:type="pct"/>
            <w:tcBorders>
              <w:top w:val="nil"/>
              <w:left w:val="nil"/>
              <w:bottom w:val="nil"/>
              <w:right w:val="nil"/>
            </w:tcBorders>
            <w:shd w:val="clear" w:color="000000" w:fill="FFFFFF"/>
            <w:noWrap/>
            <w:vAlign w:val="bottom"/>
            <w:hideMark/>
          </w:tcPr>
          <w:p w14:paraId="7E149C4F"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718" w:type="pct"/>
            <w:tcBorders>
              <w:top w:val="nil"/>
              <w:left w:val="nil"/>
              <w:bottom w:val="nil"/>
              <w:right w:val="nil"/>
            </w:tcBorders>
            <w:shd w:val="clear" w:color="000000" w:fill="FFFFFF"/>
            <w:noWrap/>
            <w:vAlign w:val="bottom"/>
            <w:hideMark/>
          </w:tcPr>
          <w:p w14:paraId="77BD88E5"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680" w:type="pct"/>
            <w:tcBorders>
              <w:top w:val="nil"/>
              <w:left w:val="nil"/>
              <w:bottom w:val="nil"/>
              <w:right w:val="nil"/>
            </w:tcBorders>
            <w:shd w:val="clear" w:color="000000" w:fill="FFFFFF"/>
            <w:noWrap/>
            <w:vAlign w:val="bottom"/>
            <w:hideMark/>
          </w:tcPr>
          <w:p w14:paraId="3D399F52"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722" w:type="pct"/>
            <w:tcBorders>
              <w:top w:val="nil"/>
              <w:left w:val="nil"/>
              <w:bottom w:val="nil"/>
              <w:right w:val="nil"/>
            </w:tcBorders>
            <w:shd w:val="clear" w:color="000000" w:fill="FFFFFF"/>
            <w:noWrap/>
            <w:vAlign w:val="bottom"/>
            <w:hideMark/>
          </w:tcPr>
          <w:p w14:paraId="66A1D671"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149" w:type="pct"/>
            <w:tcBorders>
              <w:top w:val="nil"/>
              <w:left w:val="nil"/>
              <w:bottom w:val="nil"/>
              <w:right w:val="nil"/>
            </w:tcBorders>
            <w:shd w:val="clear" w:color="000000" w:fill="FFFFFF"/>
            <w:noWrap/>
            <w:vAlign w:val="bottom"/>
            <w:hideMark/>
          </w:tcPr>
          <w:p w14:paraId="69AC9C18"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c>
          <w:tcPr>
            <w:tcW w:w="149" w:type="pct"/>
            <w:tcBorders>
              <w:top w:val="nil"/>
              <w:left w:val="nil"/>
              <w:bottom w:val="nil"/>
              <w:right w:val="nil"/>
            </w:tcBorders>
            <w:shd w:val="clear" w:color="000000" w:fill="FFFFFF"/>
            <w:noWrap/>
            <w:vAlign w:val="bottom"/>
            <w:hideMark/>
          </w:tcPr>
          <w:p w14:paraId="1DED25E7" w14:textId="77777777" w:rsidR="00D40091" w:rsidRPr="00D40091" w:rsidRDefault="00D40091" w:rsidP="00AA502F">
            <w:pPr>
              <w:spacing w:line="240" w:lineRule="auto"/>
              <w:rPr>
                <w:rFonts w:ascii="Arial" w:hAnsi="Arial" w:cs="Arial"/>
                <w:b/>
                <w:bCs/>
                <w:sz w:val="18"/>
                <w:szCs w:val="18"/>
              </w:rPr>
            </w:pPr>
            <w:r w:rsidRPr="00D40091">
              <w:rPr>
                <w:rFonts w:ascii="Arial" w:hAnsi="Arial" w:cs="Arial"/>
                <w:b/>
                <w:bCs/>
                <w:sz w:val="18"/>
                <w:szCs w:val="18"/>
              </w:rPr>
              <w:t> </w:t>
            </w:r>
          </w:p>
        </w:tc>
      </w:tr>
      <w:tr w:rsidR="00D40091" w:rsidRPr="00D40091" w14:paraId="17F82881" w14:textId="77777777" w:rsidTr="00AA502F">
        <w:trPr>
          <w:trHeight w:val="315"/>
        </w:trPr>
        <w:tc>
          <w:tcPr>
            <w:tcW w:w="2582" w:type="pct"/>
            <w:tcBorders>
              <w:top w:val="nil"/>
              <w:left w:val="nil"/>
              <w:bottom w:val="nil"/>
              <w:right w:val="nil"/>
            </w:tcBorders>
            <w:shd w:val="clear" w:color="000000" w:fill="FFFFFF"/>
            <w:noWrap/>
            <w:vAlign w:val="bottom"/>
            <w:hideMark/>
          </w:tcPr>
          <w:p w14:paraId="3336A770"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718" w:type="pct"/>
            <w:tcBorders>
              <w:top w:val="nil"/>
              <w:left w:val="nil"/>
              <w:bottom w:val="nil"/>
              <w:right w:val="nil"/>
            </w:tcBorders>
            <w:shd w:val="clear" w:color="000000" w:fill="FFFFFF"/>
            <w:noWrap/>
            <w:vAlign w:val="bottom"/>
            <w:hideMark/>
          </w:tcPr>
          <w:p w14:paraId="52C24043"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bottom"/>
            <w:hideMark/>
          </w:tcPr>
          <w:p w14:paraId="01283C9C"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nil"/>
              <w:right w:val="nil"/>
            </w:tcBorders>
            <w:shd w:val="clear" w:color="000000" w:fill="FFFFFF"/>
            <w:noWrap/>
            <w:vAlign w:val="bottom"/>
            <w:hideMark/>
          </w:tcPr>
          <w:p w14:paraId="7FA9E038"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330BC359"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65520E36" w14:textId="77777777" w:rsidR="00D40091" w:rsidRPr="00D40091" w:rsidRDefault="00D40091" w:rsidP="00AA502F">
            <w:pPr>
              <w:spacing w:line="240" w:lineRule="auto"/>
              <w:ind w:firstLineChars="100" w:firstLine="180"/>
              <w:rPr>
                <w:rFonts w:ascii="Arial" w:hAnsi="Arial" w:cs="Arial"/>
                <w:color w:val="000000"/>
                <w:sz w:val="18"/>
                <w:szCs w:val="18"/>
              </w:rPr>
            </w:pPr>
            <w:r w:rsidRPr="00D40091">
              <w:rPr>
                <w:rFonts w:ascii="Arial" w:hAnsi="Arial" w:cs="Arial"/>
                <w:color w:val="000000"/>
                <w:sz w:val="18"/>
                <w:szCs w:val="18"/>
              </w:rPr>
              <w:t> </w:t>
            </w:r>
          </w:p>
        </w:tc>
      </w:tr>
      <w:tr w:rsidR="00D40091" w:rsidRPr="00D40091" w14:paraId="2116C818" w14:textId="77777777" w:rsidTr="00AA502F">
        <w:trPr>
          <w:trHeight w:val="315"/>
        </w:trPr>
        <w:tc>
          <w:tcPr>
            <w:tcW w:w="2582" w:type="pct"/>
            <w:tcBorders>
              <w:top w:val="nil"/>
              <w:left w:val="nil"/>
              <w:bottom w:val="nil"/>
              <w:right w:val="nil"/>
            </w:tcBorders>
            <w:shd w:val="clear" w:color="000000" w:fill="FFFFFF"/>
            <w:noWrap/>
            <w:vAlign w:val="bottom"/>
            <w:hideMark/>
          </w:tcPr>
          <w:p w14:paraId="26368C25"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718" w:type="pct"/>
            <w:tcBorders>
              <w:top w:val="nil"/>
              <w:left w:val="nil"/>
              <w:bottom w:val="nil"/>
              <w:right w:val="nil"/>
            </w:tcBorders>
            <w:shd w:val="clear" w:color="000000" w:fill="FFFFFF"/>
            <w:noWrap/>
            <w:vAlign w:val="bottom"/>
            <w:hideMark/>
          </w:tcPr>
          <w:p w14:paraId="15AB3286"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680" w:type="pct"/>
            <w:tcBorders>
              <w:top w:val="nil"/>
              <w:left w:val="nil"/>
              <w:bottom w:val="nil"/>
              <w:right w:val="nil"/>
            </w:tcBorders>
            <w:shd w:val="clear" w:color="000000" w:fill="FFFFFF"/>
            <w:noWrap/>
            <w:vAlign w:val="bottom"/>
            <w:hideMark/>
          </w:tcPr>
          <w:p w14:paraId="63BDF24E"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722" w:type="pct"/>
            <w:tcBorders>
              <w:top w:val="nil"/>
              <w:left w:val="nil"/>
              <w:bottom w:val="nil"/>
              <w:right w:val="nil"/>
            </w:tcBorders>
            <w:shd w:val="clear" w:color="000000" w:fill="FFFFFF"/>
            <w:noWrap/>
            <w:vAlign w:val="bottom"/>
            <w:hideMark/>
          </w:tcPr>
          <w:p w14:paraId="090579F3"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32240A10"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c>
          <w:tcPr>
            <w:tcW w:w="149" w:type="pct"/>
            <w:tcBorders>
              <w:top w:val="nil"/>
              <w:left w:val="nil"/>
              <w:bottom w:val="nil"/>
              <w:right w:val="nil"/>
            </w:tcBorders>
            <w:shd w:val="clear" w:color="000000" w:fill="FFFFFF"/>
            <w:noWrap/>
            <w:vAlign w:val="bottom"/>
            <w:hideMark/>
          </w:tcPr>
          <w:p w14:paraId="2BA2D6CA" w14:textId="77777777" w:rsidR="00D40091" w:rsidRPr="00D40091" w:rsidRDefault="00D40091" w:rsidP="00AA502F">
            <w:pPr>
              <w:spacing w:line="240" w:lineRule="auto"/>
              <w:rPr>
                <w:rFonts w:ascii="Arial" w:hAnsi="Arial" w:cs="Arial"/>
                <w:b/>
                <w:bCs/>
                <w:color w:val="000000"/>
                <w:sz w:val="18"/>
                <w:szCs w:val="18"/>
              </w:rPr>
            </w:pPr>
            <w:r w:rsidRPr="00D40091">
              <w:rPr>
                <w:rFonts w:ascii="Arial" w:hAnsi="Arial" w:cs="Arial"/>
                <w:b/>
                <w:bCs/>
                <w:color w:val="000000"/>
                <w:sz w:val="18"/>
                <w:szCs w:val="18"/>
              </w:rPr>
              <w:t> </w:t>
            </w:r>
          </w:p>
        </w:tc>
      </w:tr>
      <w:tr w:rsidR="00D40091" w:rsidRPr="00D40091" w14:paraId="21D49C05" w14:textId="77777777" w:rsidTr="00AA502F">
        <w:trPr>
          <w:trHeight w:val="315"/>
        </w:trPr>
        <w:tc>
          <w:tcPr>
            <w:tcW w:w="2582" w:type="pct"/>
            <w:tcBorders>
              <w:top w:val="nil"/>
              <w:left w:val="nil"/>
              <w:bottom w:val="single" w:sz="4" w:space="0" w:color="auto"/>
              <w:right w:val="nil"/>
            </w:tcBorders>
            <w:shd w:val="clear" w:color="000000" w:fill="FFFFFF"/>
            <w:noWrap/>
            <w:vAlign w:val="bottom"/>
            <w:hideMark/>
          </w:tcPr>
          <w:p w14:paraId="020709DA"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xml:space="preserve">As notas explicativas são parte integrante das demonstrações contábeis  </w:t>
            </w:r>
          </w:p>
        </w:tc>
        <w:tc>
          <w:tcPr>
            <w:tcW w:w="718" w:type="pct"/>
            <w:tcBorders>
              <w:top w:val="nil"/>
              <w:left w:val="nil"/>
              <w:bottom w:val="single" w:sz="4" w:space="0" w:color="auto"/>
              <w:right w:val="nil"/>
            </w:tcBorders>
            <w:shd w:val="clear" w:color="000000" w:fill="FFFFFF"/>
            <w:noWrap/>
            <w:vAlign w:val="bottom"/>
            <w:hideMark/>
          </w:tcPr>
          <w:p w14:paraId="6311AE75"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680" w:type="pct"/>
            <w:tcBorders>
              <w:top w:val="nil"/>
              <w:left w:val="nil"/>
              <w:bottom w:val="single" w:sz="4" w:space="0" w:color="auto"/>
              <w:right w:val="nil"/>
            </w:tcBorders>
            <w:shd w:val="clear" w:color="000000" w:fill="FFFFFF"/>
            <w:noWrap/>
            <w:vAlign w:val="bottom"/>
            <w:hideMark/>
          </w:tcPr>
          <w:p w14:paraId="385EBC89"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22" w:type="pct"/>
            <w:tcBorders>
              <w:top w:val="nil"/>
              <w:left w:val="nil"/>
              <w:bottom w:val="single" w:sz="4" w:space="0" w:color="auto"/>
              <w:right w:val="nil"/>
            </w:tcBorders>
            <w:shd w:val="clear" w:color="000000" w:fill="FFFFFF"/>
            <w:noWrap/>
            <w:vAlign w:val="bottom"/>
            <w:hideMark/>
          </w:tcPr>
          <w:p w14:paraId="2573B22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single" w:sz="4" w:space="0" w:color="auto"/>
              <w:right w:val="nil"/>
            </w:tcBorders>
            <w:shd w:val="clear" w:color="000000" w:fill="FFFFFF"/>
            <w:noWrap/>
            <w:vAlign w:val="bottom"/>
            <w:hideMark/>
          </w:tcPr>
          <w:p w14:paraId="6287637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single" w:sz="4" w:space="0" w:color="auto"/>
              <w:right w:val="nil"/>
            </w:tcBorders>
            <w:shd w:val="clear" w:color="000000" w:fill="FFFFFF"/>
            <w:noWrap/>
            <w:vAlign w:val="bottom"/>
            <w:hideMark/>
          </w:tcPr>
          <w:p w14:paraId="7EFF43A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71D18959" w14:textId="77777777" w:rsidTr="00AA502F">
        <w:trPr>
          <w:trHeight w:val="315"/>
        </w:trPr>
        <w:tc>
          <w:tcPr>
            <w:tcW w:w="2582" w:type="pct"/>
            <w:tcBorders>
              <w:top w:val="nil"/>
              <w:left w:val="nil"/>
              <w:bottom w:val="nil"/>
              <w:right w:val="nil"/>
            </w:tcBorders>
            <w:shd w:val="clear" w:color="000000" w:fill="FFFFFF"/>
            <w:noWrap/>
            <w:vAlign w:val="bottom"/>
            <w:hideMark/>
          </w:tcPr>
          <w:p w14:paraId="747220A3"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18" w:type="pct"/>
            <w:tcBorders>
              <w:top w:val="nil"/>
              <w:left w:val="nil"/>
              <w:bottom w:val="nil"/>
              <w:right w:val="nil"/>
            </w:tcBorders>
            <w:shd w:val="clear" w:color="000000" w:fill="FFFFFF"/>
            <w:noWrap/>
            <w:vAlign w:val="bottom"/>
            <w:hideMark/>
          </w:tcPr>
          <w:p w14:paraId="595B0F97"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680" w:type="pct"/>
            <w:tcBorders>
              <w:top w:val="nil"/>
              <w:left w:val="nil"/>
              <w:bottom w:val="nil"/>
              <w:right w:val="nil"/>
            </w:tcBorders>
            <w:shd w:val="clear" w:color="000000" w:fill="FFFFFF"/>
            <w:noWrap/>
            <w:vAlign w:val="bottom"/>
            <w:hideMark/>
          </w:tcPr>
          <w:p w14:paraId="1571EFC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22" w:type="pct"/>
            <w:tcBorders>
              <w:top w:val="nil"/>
              <w:left w:val="nil"/>
              <w:bottom w:val="nil"/>
              <w:right w:val="nil"/>
            </w:tcBorders>
            <w:shd w:val="clear" w:color="000000" w:fill="FFFFFF"/>
            <w:noWrap/>
            <w:vAlign w:val="bottom"/>
            <w:hideMark/>
          </w:tcPr>
          <w:p w14:paraId="4F0913B7"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2A462C9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6128B5C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5987AEC6" w14:textId="77777777" w:rsidTr="00AA502F">
        <w:trPr>
          <w:trHeight w:val="315"/>
        </w:trPr>
        <w:tc>
          <w:tcPr>
            <w:tcW w:w="2582" w:type="pct"/>
            <w:tcBorders>
              <w:top w:val="nil"/>
              <w:left w:val="nil"/>
              <w:bottom w:val="nil"/>
              <w:right w:val="nil"/>
            </w:tcBorders>
            <w:shd w:val="clear" w:color="000000" w:fill="FFFFFF"/>
            <w:noWrap/>
            <w:vAlign w:val="bottom"/>
            <w:hideMark/>
          </w:tcPr>
          <w:p w14:paraId="0E8F0C2D"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18" w:type="pct"/>
            <w:tcBorders>
              <w:top w:val="nil"/>
              <w:left w:val="nil"/>
              <w:bottom w:val="nil"/>
              <w:right w:val="nil"/>
            </w:tcBorders>
            <w:shd w:val="clear" w:color="000000" w:fill="FFFFFF"/>
            <w:noWrap/>
            <w:vAlign w:val="bottom"/>
            <w:hideMark/>
          </w:tcPr>
          <w:p w14:paraId="20D2E31B"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680" w:type="pct"/>
            <w:tcBorders>
              <w:top w:val="nil"/>
              <w:left w:val="nil"/>
              <w:bottom w:val="nil"/>
              <w:right w:val="nil"/>
            </w:tcBorders>
            <w:shd w:val="clear" w:color="000000" w:fill="FFFFFF"/>
            <w:noWrap/>
            <w:vAlign w:val="bottom"/>
            <w:hideMark/>
          </w:tcPr>
          <w:p w14:paraId="555F449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22" w:type="pct"/>
            <w:tcBorders>
              <w:top w:val="nil"/>
              <w:left w:val="nil"/>
              <w:bottom w:val="nil"/>
              <w:right w:val="nil"/>
            </w:tcBorders>
            <w:shd w:val="clear" w:color="000000" w:fill="FFFFFF"/>
            <w:noWrap/>
            <w:vAlign w:val="bottom"/>
            <w:hideMark/>
          </w:tcPr>
          <w:p w14:paraId="42D7677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5CAA124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038D29C2"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11F1F281" w14:textId="77777777" w:rsidTr="00AA502F">
        <w:trPr>
          <w:trHeight w:val="315"/>
        </w:trPr>
        <w:tc>
          <w:tcPr>
            <w:tcW w:w="2582" w:type="pct"/>
            <w:tcBorders>
              <w:top w:val="nil"/>
              <w:left w:val="nil"/>
              <w:bottom w:val="nil"/>
              <w:right w:val="nil"/>
            </w:tcBorders>
            <w:shd w:val="clear" w:color="000000" w:fill="FFFFFF"/>
            <w:noWrap/>
            <w:vAlign w:val="bottom"/>
            <w:hideMark/>
          </w:tcPr>
          <w:p w14:paraId="4548BDB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18" w:type="pct"/>
            <w:tcBorders>
              <w:top w:val="nil"/>
              <w:left w:val="nil"/>
              <w:bottom w:val="nil"/>
              <w:right w:val="nil"/>
            </w:tcBorders>
            <w:shd w:val="clear" w:color="000000" w:fill="FFFFFF"/>
            <w:noWrap/>
            <w:vAlign w:val="bottom"/>
            <w:hideMark/>
          </w:tcPr>
          <w:p w14:paraId="12A302E1"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680" w:type="pct"/>
            <w:tcBorders>
              <w:top w:val="nil"/>
              <w:left w:val="nil"/>
              <w:bottom w:val="nil"/>
              <w:right w:val="nil"/>
            </w:tcBorders>
            <w:shd w:val="clear" w:color="000000" w:fill="FFFFFF"/>
            <w:noWrap/>
            <w:vAlign w:val="bottom"/>
            <w:hideMark/>
          </w:tcPr>
          <w:p w14:paraId="12B22CB6"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22" w:type="pct"/>
            <w:tcBorders>
              <w:top w:val="nil"/>
              <w:left w:val="nil"/>
              <w:bottom w:val="nil"/>
              <w:right w:val="nil"/>
            </w:tcBorders>
            <w:shd w:val="clear" w:color="000000" w:fill="FFFFFF"/>
            <w:noWrap/>
            <w:vAlign w:val="bottom"/>
            <w:hideMark/>
          </w:tcPr>
          <w:p w14:paraId="5869F3B8"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73B7BD1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6ADF41F3"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58D5AD62" w14:textId="77777777" w:rsidTr="00AA502F">
        <w:trPr>
          <w:trHeight w:val="315"/>
        </w:trPr>
        <w:tc>
          <w:tcPr>
            <w:tcW w:w="2582" w:type="pct"/>
            <w:tcBorders>
              <w:top w:val="nil"/>
              <w:left w:val="nil"/>
              <w:bottom w:val="nil"/>
              <w:right w:val="nil"/>
            </w:tcBorders>
            <w:shd w:val="clear" w:color="000000" w:fill="FFFFFF"/>
            <w:noWrap/>
            <w:vAlign w:val="bottom"/>
            <w:hideMark/>
          </w:tcPr>
          <w:p w14:paraId="09F0EFA5"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18" w:type="pct"/>
            <w:tcBorders>
              <w:top w:val="nil"/>
              <w:left w:val="nil"/>
              <w:bottom w:val="nil"/>
              <w:right w:val="nil"/>
            </w:tcBorders>
            <w:shd w:val="clear" w:color="000000" w:fill="FFFFFF"/>
            <w:noWrap/>
            <w:vAlign w:val="bottom"/>
            <w:hideMark/>
          </w:tcPr>
          <w:p w14:paraId="7B2649EE"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680" w:type="pct"/>
            <w:tcBorders>
              <w:top w:val="nil"/>
              <w:left w:val="nil"/>
              <w:bottom w:val="nil"/>
              <w:right w:val="nil"/>
            </w:tcBorders>
            <w:shd w:val="clear" w:color="000000" w:fill="FFFFFF"/>
            <w:noWrap/>
            <w:vAlign w:val="bottom"/>
            <w:hideMark/>
          </w:tcPr>
          <w:p w14:paraId="06EF2A1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22" w:type="pct"/>
            <w:tcBorders>
              <w:top w:val="nil"/>
              <w:left w:val="nil"/>
              <w:bottom w:val="nil"/>
              <w:right w:val="nil"/>
            </w:tcBorders>
            <w:shd w:val="clear" w:color="000000" w:fill="FFFFFF"/>
            <w:noWrap/>
            <w:vAlign w:val="bottom"/>
            <w:hideMark/>
          </w:tcPr>
          <w:p w14:paraId="202FA814"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5F4FBF4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116B34C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7CF72386" w14:textId="77777777" w:rsidTr="00AA502F">
        <w:trPr>
          <w:trHeight w:val="315"/>
        </w:trPr>
        <w:tc>
          <w:tcPr>
            <w:tcW w:w="2582" w:type="pct"/>
            <w:tcBorders>
              <w:top w:val="nil"/>
              <w:left w:val="nil"/>
              <w:bottom w:val="nil"/>
              <w:right w:val="nil"/>
            </w:tcBorders>
            <w:shd w:val="clear" w:color="000000" w:fill="FFFFFF"/>
            <w:noWrap/>
            <w:vAlign w:val="bottom"/>
            <w:hideMark/>
          </w:tcPr>
          <w:p w14:paraId="18696DAF"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18" w:type="pct"/>
            <w:tcBorders>
              <w:top w:val="nil"/>
              <w:left w:val="nil"/>
              <w:bottom w:val="nil"/>
              <w:right w:val="nil"/>
            </w:tcBorders>
            <w:shd w:val="clear" w:color="000000" w:fill="FFFFFF"/>
            <w:noWrap/>
            <w:vAlign w:val="bottom"/>
            <w:hideMark/>
          </w:tcPr>
          <w:p w14:paraId="1FA18753"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680" w:type="pct"/>
            <w:tcBorders>
              <w:top w:val="nil"/>
              <w:left w:val="nil"/>
              <w:bottom w:val="nil"/>
              <w:right w:val="nil"/>
            </w:tcBorders>
            <w:shd w:val="clear" w:color="000000" w:fill="FFFFFF"/>
            <w:noWrap/>
            <w:vAlign w:val="bottom"/>
            <w:hideMark/>
          </w:tcPr>
          <w:p w14:paraId="12D15033"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722" w:type="pct"/>
            <w:tcBorders>
              <w:top w:val="nil"/>
              <w:left w:val="nil"/>
              <w:bottom w:val="nil"/>
              <w:right w:val="nil"/>
            </w:tcBorders>
            <w:shd w:val="clear" w:color="000000" w:fill="FFFFFF"/>
            <w:noWrap/>
            <w:vAlign w:val="bottom"/>
            <w:hideMark/>
          </w:tcPr>
          <w:p w14:paraId="02FE6E3A"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75D7554C"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c>
          <w:tcPr>
            <w:tcW w:w="149" w:type="pct"/>
            <w:tcBorders>
              <w:top w:val="nil"/>
              <w:left w:val="nil"/>
              <w:bottom w:val="nil"/>
              <w:right w:val="nil"/>
            </w:tcBorders>
            <w:shd w:val="clear" w:color="000000" w:fill="FFFFFF"/>
            <w:noWrap/>
            <w:vAlign w:val="bottom"/>
            <w:hideMark/>
          </w:tcPr>
          <w:p w14:paraId="60F04796" w14:textId="77777777" w:rsidR="00D40091" w:rsidRPr="00D40091" w:rsidRDefault="00D40091" w:rsidP="00AA502F">
            <w:pPr>
              <w:spacing w:line="240" w:lineRule="auto"/>
              <w:rPr>
                <w:rFonts w:ascii="Arial" w:hAnsi="Arial" w:cs="Arial"/>
                <w:sz w:val="18"/>
                <w:szCs w:val="18"/>
              </w:rPr>
            </w:pPr>
            <w:r w:rsidRPr="00D40091">
              <w:rPr>
                <w:rFonts w:ascii="Arial" w:hAnsi="Arial" w:cs="Arial"/>
                <w:sz w:val="18"/>
                <w:szCs w:val="18"/>
              </w:rPr>
              <w:t> </w:t>
            </w:r>
          </w:p>
        </w:tc>
      </w:tr>
      <w:tr w:rsidR="00D40091" w:rsidRPr="00D40091" w14:paraId="209B53E3" w14:textId="77777777" w:rsidTr="00AA502F">
        <w:trPr>
          <w:trHeight w:val="315"/>
        </w:trPr>
        <w:tc>
          <w:tcPr>
            <w:tcW w:w="2582" w:type="pct"/>
            <w:tcBorders>
              <w:top w:val="nil"/>
              <w:left w:val="nil"/>
              <w:bottom w:val="nil"/>
              <w:right w:val="nil"/>
            </w:tcBorders>
            <w:shd w:val="clear" w:color="000000" w:fill="FFFFFF"/>
            <w:noWrap/>
            <w:vAlign w:val="bottom"/>
            <w:hideMark/>
          </w:tcPr>
          <w:p w14:paraId="301ACA4F"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18" w:type="pct"/>
            <w:tcBorders>
              <w:top w:val="nil"/>
              <w:left w:val="nil"/>
              <w:bottom w:val="nil"/>
              <w:right w:val="nil"/>
            </w:tcBorders>
            <w:shd w:val="clear" w:color="000000" w:fill="FFFFFF"/>
            <w:noWrap/>
            <w:vAlign w:val="bottom"/>
            <w:hideMark/>
          </w:tcPr>
          <w:p w14:paraId="0ED011A4"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680" w:type="pct"/>
            <w:tcBorders>
              <w:top w:val="nil"/>
              <w:left w:val="nil"/>
              <w:bottom w:val="nil"/>
              <w:right w:val="nil"/>
            </w:tcBorders>
            <w:shd w:val="clear" w:color="000000" w:fill="FFFFFF"/>
            <w:noWrap/>
            <w:vAlign w:val="bottom"/>
            <w:hideMark/>
          </w:tcPr>
          <w:p w14:paraId="5F418B5B"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722" w:type="pct"/>
            <w:tcBorders>
              <w:top w:val="nil"/>
              <w:left w:val="nil"/>
              <w:bottom w:val="nil"/>
              <w:right w:val="nil"/>
            </w:tcBorders>
            <w:shd w:val="clear" w:color="000000" w:fill="FFFFFF"/>
            <w:noWrap/>
            <w:vAlign w:val="bottom"/>
            <w:hideMark/>
          </w:tcPr>
          <w:p w14:paraId="708C0689"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46E3A5DD"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c>
          <w:tcPr>
            <w:tcW w:w="149" w:type="pct"/>
            <w:tcBorders>
              <w:top w:val="nil"/>
              <w:left w:val="nil"/>
              <w:bottom w:val="nil"/>
              <w:right w:val="nil"/>
            </w:tcBorders>
            <w:shd w:val="clear" w:color="000000" w:fill="FFFFFF"/>
            <w:noWrap/>
            <w:vAlign w:val="bottom"/>
            <w:hideMark/>
          </w:tcPr>
          <w:p w14:paraId="265EDEF0" w14:textId="77777777" w:rsidR="00D40091" w:rsidRPr="00D40091" w:rsidRDefault="00D40091" w:rsidP="00AA502F">
            <w:pPr>
              <w:spacing w:line="240" w:lineRule="auto"/>
              <w:rPr>
                <w:rFonts w:ascii="Arial" w:hAnsi="Arial" w:cs="Arial"/>
                <w:color w:val="000000"/>
                <w:sz w:val="18"/>
                <w:szCs w:val="18"/>
              </w:rPr>
            </w:pPr>
            <w:r w:rsidRPr="00D40091">
              <w:rPr>
                <w:rFonts w:ascii="Arial" w:hAnsi="Arial" w:cs="Arial"/>
                <w:color w:val="000000"/>
                <w:sz w:val="18"/>
                <w:szCs w:val="18"/>
              </w:rPr>
              <w:t> </w:t>
            </w:r>
          </w:p>
        </w:tc>
      </w:tr>
      <w:tr w:rsidR="00D40091" w:rsidRPr="00D40091" w14:paraId="33D9D35C" w14:textId="77777777" w:rsidTr="00AA502F">
        <w:trPr>
          <w:trHeight w:val="315"/>
        </w:trPr>
        <w:tc>
          <w:tcPr>
            <w:tcW w:w="2582" w:type="pct"/>
            <w:tcBorders>
              <w:top w:val="nil"/>
              <w:left w:val="nil"/>
              <w:bottom w:val="nil"/>
              <w:right w:val="nil"/>
            </w:tcBorders>
            <w:shd w:val="clear" w:color="FFFFCC" w:fill="FFFFFF"/>
            <w:noWrap/>
            <w:vAlign w:val="center"/>
            <w:hideMark/>
          </w:tcPr>
          <w:p w14:paraId="01EDF5DF"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RENATO VIEIRA PITA</w:t>
            </w:r>
          </w:p>
        </w:tc>
        <w:tc>
          <w:tcPr>
            <w:tcW w:w="718" w:type="pct"/>
            <w:tcBorders>
              <w:top w:val="nil"/>
              <w:left w:val="nil"/>
              <w:bottom w:val="nil"/>
              <w:right w:val="nil"/>
            </w:tcBorders>
            <w:shd w:val="clear" w:color="FFFFCC" w:fill="FFFFFF"/>
            <w:noWrap/>
            <w:vAlign w:val="center"/>
            <w:hideMark/>
          </w:tcPr>
          <w:p w14:paraId="20FE2DA7"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 </w:t>
            </w:r>
          </w:p>
        </w:tc>
        <w:tc>
          <w:tcPr>
            <w:tcW w:w="1700" w:type="pct"/>
            <w:gridSpan w:val="4"/>
            <w:tcBorders>
              <w:top w:val="nil"/>
              <w:left w:val="nil"/>
              <w:bottom w:val="nil"/>
              <w:right w:val="nil"/>
            </w:tcBorders>
            <w:shd w:val="clear" w:color="FFFFCC" w:fill="FFFFFF"/>
            <w:noWrap/>
            <w:vAlign w:val="center"/>
            <w:hideMark/>
          </w:tcPr>
          <w:p w14:paraId="522A17A4" w14:textId="77777777" w:rsidR="00D40091" w:rsidRPr="00D40091" w:rsidRDefault="00D40091" w:rsidP="00AA502F">
            <w:pPr>
              <w:spacing w:line="240" w:lineRule="auto"/>
              <w:jc w:val="center"/>
              <w:rPr>
                <w:rFonts w:ascii="Arial" w:hAnsi="Arial" w:cs="Arial"/>
                <w:b/>
                <w:bCs/>
                <w:sz w:val="18"/>
                <w:szCs w:val="18"/>
              </w:rPr>
            </w:pPr>
            <w:r w:rsidRPr="00D40091">
              <w:rPr>
                <w:rFonts w:ascii="Arial" w:hAnsi="Arial" w:cs="Arial"/>
                <w:b/>
                <w:bCs/>
                <w:sz w:val="18"/>
                <w:szCs w:val="18"/>
              </w:rPr>
              <w:t>MAURICIO AKIHIRO MAKI</w:t>
            </w:r>
          </w:p>
        </w:tc>
      </w:tr>
      <w:tr w:rsidR="00D40091" w:rsidRPr="00D40091" w14:paraId="275ECEEE" w14:textId="77777777" w:rsidTr="00AA502F">
        <w:trPr>
          <w:trHeight w:val="315"/>
        </w:trPr>
        <w:tc>
          <w:tcPr>
            <w:tcW w:w="2582" w:type="pct"/>
            <w:tcBorders>
              <w:top w:val="nil"/>
              <w:left w:val="nil"/>
              <w:bottom w:val="nil"/>
              <w:right w:val="nil"/>
            </w:tcBorders>
            <w:shd w:val="clear" w:color="FFFFCC" w:fill="FFFFFF"/>
            <w:noWrap/>
            <w:vAlign w:val="center"/>
            <w:hideMark/>
          </w:tcPr>
          <w:p w14:paraId="468E2FA9"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CONTADOR</w:t>
            </w:r>
          </w:p>
        </w:tc>
        <w:tc>
          <w:tcPr>
            <w:tcW w:w="718" w:type="pct"/>
            <w:tcBorders>
              <w:top w:val="nil"/>
              <w:left w:val="nil"/>
              <w:bottom w:val="nil"/>
              <w:right w:val="nil"/>
            </w:tcBorders>
            <w:shd w:val="clear" w:color="FFFFCC" w:fill="FFFFFF"/>
            <w:noWrap/>
            <w:vAlign w:val="center"/>
            <w:hideMark/>
          </w:tcPr>
          <w:p w14:paraId="57C74BE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1700" w:type="pct"/>
            <w:gridSpan w:val="4"/>
            <w:tcBorders>
              <w:top w:val="nil"/>
              <w:left w:val="nil"/>
              <w:bottom w:val="nil"/>
              <w:right w:val="nil"/>
            </w:tcBorders>
            <w:shd w:val="clear" w:color="FFFFCC" w:fill="FFFFFF"/>
            <w:noWrap/>
            <w:vAlign w:val="center"/>
            <w:hideMark/>
          </w:tcPr>
          <w:p w14:paraId="13B87B4C"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DIRETOR ADMINISTRATIVO FINANCEIRO</w:t>
            </w:r>
          </w:p>
        </w:tc>
      </w:tr>
      <w:tr w:rsidR="00D40091" w:rsidRPr="00D40091" w14:paraId="524D0612" w14:textId="77777777" w:rsidTr="00AA502F">
        <w:trPr>
          <w:trHeight w:val="315"/>
        </w:trPr>
        <w:tc>
          <w:tcPr>
            <w:tcW w:w="2582" w:type="pct"/>
            <w:tcBorders>
              <w:top w:val="nil"/>
              <w:left w:val="nil"/>
              <w:bottom w:val="nil"/>
              <w:right w:val="nil"/>
            </w:tcBorders>
            <w:shd w:val="clear" w:color="FFFFCC" w:fill="FFFFFF"/>
            <w:noWrap/>
            <w:vAlign w:val="center"/>
            <w:hideMark/>
          </w:tcPr>
          <w:p w14:paraId="7B353C66"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CRC 1SP215876/O-8/SP</w:t>
            </w:r>
          </w:p>
        </w:tc>
        <w:tc>
          <w:tcPr>
            <w:tcW w:w="718" w:type="pct"/>
            <w:tcBorders>
              <w:top w:val="nil"/>
              <w:left w:val="nil"/>
              <w:bottom w:val="nil"/>
              <w:right w:val="nil"/>
            </w:tcBorders>
            <w:shd w:val="clear" w:color="FFFFCC" w:fill="FFFFFF"/>
            <w:noWrap/>
            <w:vAlign w:val="center"/>
            <w:hideMark/>
          </w:tcPr>
          <w:p w14:paraId="445B213F"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 </w:t>
            </w:r>
          </w:p>
        </w:tc>
        <w:tc>
          <w:tcPr>
            <w:tcW w:w="1700" w:type="pct"/>
            <w:gridSpan w:val="4"/>
            <w:tcBorders>
              <w:top w:val="nil"/>
              <w:left w:val="nil"/>
              <w:bottom w:val="nil"/>
              <w:right w:val="nil"/>
            </w:tcBorders>
            <w:shd w:val="clear" w:color="FFFFCC" w:fill="FFFFFF"/>
            <w:noWrap/>
            <w:vAlign w:val="center"/>
            <w:hideMark/>
          </w:tcPr>
          <w:p w14:paraId="77174207" w14:textId="77777777" w:rsidR="00D40091" w:rsidRPr="00D40091" w:rsidRDefault="00D40091" w:rsidP="00AA502F">
            <w:pPr>
              <w:spacing w:line="240" w:lineRule="auto"/>
              <w:jc w:val="center"/>
              <w:rPr>
                <w:rFonts w:ascii="Arial" w:hAnsi="Arial" w:cs="Arial"/>
                <w:sz w:val="18"/>
                <w:szCs w:val="18"/>
              </w:rPr>
            </w:pPr>
            <w:r w:rsidRPr="00D40091">
              <w:rPr>
                <w:rFonts w:ascii="Arial" w:hAnsi="Arial" w:cs="Arial"/>
                <w:sz w:val="18"/>
                <w:szCs w:val="18"/>
              </w:rPr>
              <w:t>CPF: 219.593.858-79</w:t>
            </w:r>
          </w:p>
        </w:tc>
      </w:tr>
    </w:tbl>
    <w:p w14:paraId="6FEEC05F" w14:textId="77777777" w:rsidR="00D40091" w:rsidRPr="00D40091" w:rsidRDefault="00D40091" w:rsidP="00D40091">
      <w:pPr>
        <w:rPr>
          <w:rFonts w:ascii="Arial" w:hAnsi="Arial" w:cs="Arial"/>
          <w:sz w:val="18"/>
          <w:szCs w:val="18"/>
        </w:rPr>
      </w:pPr>
    </w:p>
    <w:p w14:paraId="5A551CE6" w14:textId="5C88B437" w:rsidR="00F24C0F" w:rsidRPr="00D40091" w:rsidRDefault="00F24C0F" w:rsidP="003E0483">
      <w:pPr>
        <w:spacing w:line="360" w:lineRule="auto"/>
        <w:rPr>
          <w:rFonts w:ascii="Arial" w:hAnsi="Arial" w:cs="Arial"/>
          <w:sz w:val="18"/>
          <w:szCs w:val="18"/>
        </w:rPr>
      </w:pPr>
    </w:p>
    <w:p w14:paraId="73D7FFE0" w14:textId="77777777" w:rsidR="00D40091" w:rsidRDefault="00D40091" w:rsidP="003E0483">
      <w:pPr>
        <w:spacing w:line="360" w:lineRule="auto"/>
        <w:rPr>
          <w:rFonts w:ascii="Arial" w:hAnsi="Arial" w:cs="Arial"/>
          <w:sz w:val="18"/>
          <w:szCs w:val="18"/>
        </w:rPr>
        <w:sectPr w:rsidR="00D40091" w:rsidSect="00D40091">
          <w:pgSz w:w="16838" w:h="11906" w:orient="landscape"/>
          <w:pgMar w:top="720" w:right="720" w:bottom="720" w:left="720" w:header="708" w:footer="708" w:gutter="0"/>
          <w:cols w:space="708"/>
          <w:docGrid w:linePitch="360"/>
        </w:sectPr>
      </w:pPr>
    </w:p>
    <w:p w14:paraId="039590D5" w14:textId="1F616120" w:rsidR="005B5096" w:rsidRPr="005B5096" w:rsidRDefault="00C738E6" w:rsidP="005B5096">
      <w:pPr>
        <w:pStyle w:val="Ttulo1"/>
        <w:rPr>
          <w:rFonts w:ascii="Times New Roman" w:hAnsi="Times New Roman"/>
          <w:b/>
          <w:bCs/>
          <w:color w:val="auto"/>
          <w:sz w:val="24"/>
          <w:szCs w:val="24"/>
        </w:rPr>
      </w:pPr>
      <w:bookmarkStart w:id="7" w:name="_Toc81581295"/>
      <w:r w:rsidRPr="005B5096">
        <w:rPr>
          <w:rFonts w:ascii="Times New Roman" w:hAnsi="Times New Roman" w:cs="Times New Roman"/>
          <w:b/>
          <w:bCs/>
          <w:color w:val="auto"/>
          <w:sz w:val="24"/>
          <w:szCs w:val="24"/>
        </w:rPr>
        <w:lastRenderedPageBreak/>
        <w:t>NOTAS EXPLICATIVAS ÀS DEMONSTRAÇÕES FINANCEIRAS</w:t>
      </w:r>
      <w:bookmarkEnd w:id="7"/>
    </w:p>
    <w:p w14:paraId="453D0FCB" w14:textId="77777777" w:rsidR="005B5096" w:rsidRPr="005B5096" w:rsidRDefault="005B5096" w:rsidP="003E0483">
      <w:pPr>
        <w:spacing w:line="360" w:lineRule="auto"/>
        <w:rPr>
          <w:rFonts w:ascii="Times New Roman" w:hAnsi="Times New Roman"/>
          <w:b/>
          <w:bCs/>
          <w:sz w:val="24"/>
          <w:szCs w:val="24"/>
        </w:rPr>
      </w:pPr>
    </w:p>
    <w:p w14:paraId="68EDAF65" w14:textId="77777777" w:rsidR="00B01D6F" w:rsidRPr="005B5096" w:rsidRDefault="00B01D6F" w:rsidP="00B01D6F">
      <w:pPr>
        <w:pStyle w:val="PargrafodaLista"/>
        <w:keepNext/>
        <w:widowControl w:val="0"/>
        <w:numPr>
          <w:ilvl w:val="0"/>
          <w:numId w:val="2"/>
        </w:numPr>
        <w:autoSpaceDE w:val="0"/>
        <w:autoSpaceDN w:val="0"/>
        <w:adjustRightInd w:val="0"/>
        <w:spacing w:before="140" w:line="288" w:lineRule="auto"/>
        <w:ind w:left="851" w:hanging="851"/>
        <w:rPr>
          <w:rFonts w:ascii="Times New Roman" w:hAnsi="Times New Roman"/>
          <w:b/>
          <w:color w:val="000000" w:themeColor="text1"/>
          <w:sz w:val="24"/>
          <w:szCs w:val="24"/>
          <w:u w:val="single"/>
        </w:rPr>
      </w:pPr>
      <w:r w:rsidRPr="005B5096">
        <w:rPr>
          <w:rFonts w:ascii="Times New Roman" w:hAnsi="Times New Roman"/>
          <w:b/>
          <w:color w:val="000000" w:themeColor="text1"/>
          <w:sz w:val="24"/>
          <w:szCs w:val="24"/>
          <w:u w:val="single"/>
        </w:rPr>
        <w:t>CONTEXTO OPERACIONAL</w:t>
      </w:r>
    </w:p>
    <w:p w14:paraId="016E930E" w14:textId="77777777" w:rsidR="00B01D6F" w:rsidRPr="003C3ADF" w:rsidRDefault="00B01D6F" w:rsidP="00B01D6F">
      <w:pPr>
        <w:pStyle w:val="PargrafodaLista"/>
        <w:spacing w:before="140" w:line="288" w:lineRule="auto"/>
        <w:ind w:left="851"/>
        <w:rPr>
          <w:rFonts w:ascii="Arial" w:hAnsi="Arial" w:cs="Arial"/>
          <w:color w:val="000000" w:themeColor="text1"/>
          <w:sz w:val="24"/>
          <w:szCs w:val="24"/>
          <w:lang w:val="pt"/>
        </w:rPr>
      </w:pPr>
      <w:r w:rsidRPr="005B5096">
        <w:rPr>
          <w:rFonts w:ascii="Times New Roman" w:hAnsi="Times New Roman"/>
          <w:color w:val="000000" w:themeColor="text1"/>
          <w:sz w:val="24"/>
          <w:szCs w:val="24"/>
          <w:lang w:val="pt"/>
        </w:rPr>
        <w:t>A COMPANHIA SÃO PAULO DE DESENVOLVIMENTO E MOBILIZAÇÃO</w:t>
      </w:r>
      <w:r w:rsidRPr="003C3ADF">
        <w:rPr>
          <w:rFonts w:ascii="Arial" w:hAnsi="Arial" w:cs="Arial"/>
          <w:color w:val="000000" w:themeColor="text1"/>
          <w:sz w:val="24"/>
          <w:szCs w:val="24"/>
          <w:lang w:val="pt"/>
        </w:rPr>
        <w:t xml:space="preserve"> DE ATIVOS - SPDA é uma sociedade de economia mista, de capital fechado, integrante da administração indireta do Município de São Paulo, sob a forma de sociedade por ações, vinculada à Secretaria Municipal </w:t>
      </w:r>
      <w:r>
        <w:rPr>
          <w:rFonts w:ascii="Arial" w:hAnsi="Arial" w:cs="Arial"/>
          <w:color w:val="000000" w:themeColor="text1"/>
          <w:sz w:val="24"/>
          <w:szCs w:val="24"/>
          <w:lang w:val="pt"/>
        </w:rPr>
        <w:t>da</w:t>
      </w:r>
      <w:r w:rsidRPr="003C3ADF">
        <w:rPr>
          <w:rFonts w:ascii="Arial" w:hAnsi="Arial" w:cs="Arial"/>
          <w:color w:val="000000" w:themeColor="text1"/>
          <w:sz w:val="24"/>
          <w:szCs w:val="24"/>
          <w:lang w:val="pt"/>
        </w:rPr>
        <w:t xml:space="preserve"> Fazenda </w:t>
      </w:r>
      <w:r>
        <w:rPr>
          <w:rFonts w:ascii="Arial" w:hAnsi="Arial" w:cs="Arial"/>
          <w:color w:val="000000" w:themeColor="text1"/>
          <w:sz w:val="24"/>
          <w:szCs w:val="24"/>
          <w:lang w:val="pt"/>
        </w:rPr>
        <w:t>–</w:t>
      </w:r>
      <w:r w:rsidRPr="003C3ADF">
        <w:rPr>
          <w:rFonts w:ascii="Arial" w:hAnsi="Arial" w:cs="Arial"/>
          <w:color w:val="000000" w:themeColor="text1"/>
          <w:sz w:val="24"/>
          <w:szCs w:val="24"/>
          <w:lang w:val="pt"/>
        </w:rPr>
        <w:t xml:space="preserve"> SF. Sua constituição foi autorizada pela Lei Municipal 14.649, de 20 de dezembro de 2009, tendo seus atos constitutivos arquivados na Junta Comercial do Estado de São Paulo – JUCESP no dia 9 de março de 2010.</w:t>
      </w:r>
    </w:p>
    <w:p w14:paraId="0A0C4001" w14:textId="77777777" w:rsidR="00B01D6F" w:rsidRPr="003C3ADF" w:rsidRDefault="00B01D6F" w:rsidP="00B01D6F">
      <w:pPr>
        <w:pStyle w:val="PargrafodaLista"/>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A SPDA tem como objeto social auxiliar o Poder Executivo na promoção do desenvolvimento econômico e social da Cidade de São Paulo e na otimização do fluxo de recursos financeiros para o financiamento de projetos prioritários, bem como na administração do pagamento de dívidas do Município.</w:t>
      </w:r>
    </w:p>
    <w:p w14:paraId="13001785" w14:textId="77777777" w:rsidR="00B01D6F" w:rsidRPr="003C3ADF" w:rsidRDefault="00B01D6F" w:rsidP="00B01D6F">
      <w:pPr>
        <w:widowControl w:val="0"/>
        <w:tabs>
          <w:tab w:val="left" w:pos="851"/>
        </w:tabs>
        <w:autoSpaceDE w:val="0"/>
        <w:autoSpaceDN w:val="0"/>
        <w:adjustRightInd w:val="0"/>
        <w:spacing w:before="140" w:line="288" w:lineRule="auto"/>
        <w:ind w:left="851" w:hanging="851"/>
        <w:rPr>
          <w:rFonts w:ascii="Arial" w:hAnsi="Arial" w:cs="Arial"/>
          <w:color w:val="000000" w:themeColor="text1"/>
          <w:sz w:val="24"/>
          <w:szCs w:val="24"/>
          <w:lang w:val="pt"/>
        </w:rPr>
      </w:pPr>
    </w:p>
    <w:p w14:paraId="05930E4B" w14:textId="77777777" w:rsidR="00B01D6F" w:rsidRPr="003C3ADF" w:rsidRDefault="00B01D6F" w:rsidP="00B01D6F">
      <w:pPr>
        <w:pStyle w:val="PargrafodaLista"/>
        <w:keepNext/>
        <w:widowControl w:val="0"/>
        <w:numPr>
          <w:ilvl w:val="0"/>
          <w:numId w:val="2"/>
        </w:numPr>
        <w:autoSpaceDE w:val="0"/>
        <w:autoSpaceDN w:val="0"/>
        <w:adjustRightInd w:val="0"/>
        <w:spacing w:before="140" w:line="288" w:lineRule="auto"/>
        <w:ind w:left="851" w:hanging="851"/>
        <w:rPr>
          <w:rFonts w:ascii="Arial" w:hAnsi="Arial" w:cs="Arial"/>
          <w:b/>
          <w:color w:val="000000" w:themeColor="text1"/>
          <w:sz w:val="24"/>
          <w:szCs w:val="24"/>
          <w:u w:val="single"/>
        </w:rPr>
      </w:pPr>
      <w:r w:rsidRPr="003C3ADF">
        <w:rPr>
          <w:rFonts w:ascii="Arial" w:hAnsi="Arial" w:cs="Arial"/>
          <w:b/>
          <w:color w:val="000000" w:themeColor="text1"/>
          <w:sz w:val="24"/>
          <w:szCs w:val="24"/>
          <w:u w:val="single"/>
        </w:rPr>
        <w:t xml:space="preserve">APRESENTAÇÃO DAS </w:t>
      </w:r>
      <w:r>
        <w:rPr>
          <w:rFonts w:ascii="Arial" w:hAnsi="Arial" w:cs="Arial"/>
          <w:b/>
          <w:color w:val="000000" w:themeColor="text1"/>
          <w:sz w:val="24"/>
          <w:szCs w:val="24"/>
          <w:u w:val="single"/>
        </w:rPr>
        <w:t>DEMONSTRAÇÕES CONTÁBEIS</w:t>
      </w:r>
    </w:p>
    <w:p w14:paraId="7597FB38" w14:textId="77777777" w:rsidR="00B01D6F" w:rsidRPr="003C3AD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rPr>
      </w:pPr>
    </w:p>
    <w:p w14:paraId="628D7CBB" w14:textId="77777777" w:rsidR="00B01D6F" w:rsidRPr="003C3ADF" w:rsidRDefault="00B01D6F" w:rsidP="00B01D6F">
      <w:pPr>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rPr>
        <w:t>2.1</w:t>
      </w:r>
      <w:r w:rsidRPr="003C3ADF">
        <w:rPr>
          <w:rFonts w:ascii="Arial" w:hAnsi="Arial" w:cs="Arial"/>
          <w:b/>
          <w:color w:val="000000" w:themeColor="text1"/>
          <w:sz w:val="24"/>
          <w:szCs w:val="24"/>
        </w:rPr>
        <w:tab/>
        <w:t>Base de apresentação</w:t>
      </w:r>
    </w:p>
    <w:p w14:paraId="68F6EB05" w14:textId="77777777" w:rsidR="00B01D6F" w:rsidRDefault="00B01D6F" w:rsidP="00B01D6F">
      <w:pPr>
        <w:pStyle w:val="PargrafodaLista"/>
        <w:spacing w:before="140" w:line="288" w:lineRule="auto"/>
        <w:ind w:left="851"/>
        <w:rPr>
          <w:rFonts w:ascii="Arial" w:hAnsi="Arial" w:cs="Arial"/>
          <w:color w:val="000000" w:themeColor="text1"/>
          <w:sz w:val="24"/>
          <w:szCs w:val="24"/>
          <w:lang w:val="pt"/>
        </w:rPr>
      </w:pPr>
      <w:r w:rsidRPr="00BF3C74">
        <w:rPr>
          <w:rFonts w:ascii="Arial" w:hAnsi="Arial" w:cs="Arial"/>
          <w:color w:val="000000" w:themeColor="text1"/>
          <w:sz w:val="24"/>
          <w:szCs w:val="24"/>
        </w:rPr>
        <w:t xml:space="preserve">Declaração de conformidade: As </w:t>
      </w:r>
      <w:r>
        <w:rPr>
          <w:rFonts w:ascii="Arial" w:hAnsi="Arial" w:cs="Arial"/>
          <w:color w:val="000000" w:themeColor="text1"/>
          <w:sz w:val="24"/>
          <w:szCs w:val="24"/>
        </w:rPr>
        <w:t xml:space="preserve">demonstrações contábeis </w:t>
      </w:r>
      <w:r w:rsidRPr="00BF3C74">
        <w:rPr>
          <w:rFonts w:ascii="Arial" w:hAnsi="Arial" w:cs="Arial"/>
          <w:color w:val="000000" w:themeColor="text1"/>
          <w:sz w:val="24"/>
          <w:szCs w:val="24"/>
        </w:rPr>
        <w:t>foram elaboradas de acordo com as práticas contábeis</w:t>
      </w:r>
      <w:r w:rsidRPr="00BF3C74">
        <w:rPr>
          <w:rFonts w:ascii="Arial" w:hAnsi="Arial" w:cs="Arial"/>
          <w:color w:val="000000" w:themeColor="text1"/>
          <w:sz w:val="24"/>
          <w:szCs w:val="24"/>
          <w:lang w:val="pt"/>
        </w:rPr>
        <w:t xml:space="preserve"> adotadas no Brasil, com base nas disposições contidas na Lei das Sociedades Anônimas nº 6.404/76 e as alterações introduzidas pela Lei nº 11.638/07 e 11.941/09 e pronunciamentos emitidos pelo Comitê de Pronunciamentos Contábeis (CPC).</w:t>
      </w:r>
    </w:p>
    <w:p w14:paraId="63A31DE5" w14:textId="77777777" w:rsidR="00B01D6F" w:rsidRPr="00026C9C" w:rsidRDefault="00B01D6F" w:rsidP="00B01D6F">
      <w:pPr>
        <w:pStyle w:val="PargrafodaLista"/>
        <w:spacing w:before="140" w:line="288" w:lineRule="auto"/>
        <w:ind w:left="851"/>
        <w:rPr>
          <w:rFonts w:ascii="Arial" w:hAnsi="Arial" w:cs="Arial"/>
          <w:color w:val="000000" w:themeColor="text1"/>
          <w:sz w:val="28"/>
          <w:szCs w:val="24"/>
          <w:lang w:val="pt"/>
        </w:rPr>
      </w:pPr>
      <w:r w:rsidRPr="00026C9C">
        <w:rPr>
          <w:rFonts w:ascii="Arial" w:hAnsi="Arial" w:cs="Arial"/>
          <w:sz w:val="24"/>
        </w:rPr>
        <w:t xml:space="preserve">A emissão das demonstrações contábeis foi autorizada pela Administração em </w:t>
      </w:r>
      <w:r>
        <w:rPr>
          <w:rFonts w:ascii="Arial" w:hAnsi="Arial" w:cs="Arial"/>
          <w:sz w:val="24"/>
        </w:rPr>
        <w:t>16 de março de 2021</w:t>
      </w:r>
      <w:r w:rsidRPr="00026C9C">
        <w:rPr>
          <w:rFonts w:ascii="Arial" w:hAnsi="Arial" w:cs="Arial"/>
          <w:sz w:val="24"/>
        </w:rPr>
        <w:t>, após revistas, discutidas e aprovadas pela diretoria da</w:t>
      </w:r>
      <w:r>
        <w:rPr>
          <w:rFonts w:ascii="Arial" w:hAnsi="Arial" w:cs="Arial"/>
          <w:sz w:val="24"/>
        </w:rPr>
        <w:t xml:space="preserve"> SPDA. </w:t>
      </w:r>
    </w:p>
    <w:p w14:paraId="03BEB66F"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lang w:val="pt"/>
        </w:rPr>
      </w:pPr>
    </w:p>
    <w:p w14:paraId="46696471" w14:textId="77777777" w:rsidR="00B01D6F" w:rsidRPr="003C3ADF" w:rsidRDefault="00B01D6F" w:rsidP="00B01D6F">
      <w:pPr>
        <w:tabs>
          <w:tab w:val="left" w:pos="851"/>
        </w:tabs>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rPr>
        <w:t>2.2</w:t>
      </w:r>
      <w:r w:rsidRPr="003C3ADF">
        <w:rPr>
          <w:rFonts w:ascii="Arial" w:hAnsi="Arial" w:cs="Arial"/>
          <w:b/>
          <w:color w:val="000000" w:themeColor="text1"/>
          <w:sz w:val="24"/>
          <w:szCs w:val="24"/>
        </w:rPr>
        <w:tab/>
        <w:t>Base de mensuração</w:t>
      </w:r>
    </w:p>
    <w:p w14:paraId="543F0BA8" w14:textId="77777777" w:rsidR="00B01D6F" w:rsidRPr="003C3ADF" w:rsidRDefault="00B01D6F" w:rsidP="00B01D6F">
      <w:pPr>
        <w:pStyle w:val="PargrafodaLista"/>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lastRenderedPageBreak/>
        <w:t xml:space="preserve">As </w:t>
      </w:r>
      <w:r>
        <w:rPr>
          <w:rFonts w:ascii="Arial" w:hAnsi="Arial" w:cs="Arial"/>
          <w:color w:val="000000" w:themeColor="text1"/>
          <w:sz w:val="24"/>
          <w:szCs w:val="24"/>
        </w:rPr>
        <w:t>demonstrações contábeis f</w:t>
      </w:r>
      <w:r w:rsidRPr="003C3ADF">
        <w:rPr>
          <w:rFonts w:ascii="Arial" w:hAnsi="Arial" w:cs="Arial"/>
          <w:color w:val="000000" w:themeColor="text1"/>
          <w:sz w:val="24"/>
          <w:szCs w:val="24"/>
        </w:rPr>
        <w:t xml:space="preserve">oram preparadas com base no custo histórico, com exceção, principalmente, dos ativos financeiros registrados pelo valor justo por meio do resultado. </w:t>
      </w:r>
    </w:p>
    <w:p w14:paraId="11AF0640" w14:textId="77777777" w:rsidR="00B01D6F" w:rsidRPr="003C3ADF" w:rsidRDefault="00B01D6F" w:rsidP="00B01D6F">
      <w:pPr>
        <w:pStyle w:val="PargrafodaLista"/>
        <w:tabs>
          <w:tab w:val="left" w:pos="851"/>
        </w:tabs>
        <w:spacing w:before="140" w:line="288" w:lineRule="auto"/>
        <w:ind w:left="851" w:hanging="851"/>
        <w:rPr>
          <w:rFonts w:ascii="Arial" w:hAnsi="Arial" w:cs="Arial"/>
          <w:color w:val="000000" w:themeColor="text1"/>
          <w:sz w:val="24"/>
          <w:szCs w:val="24"/>
        </w:rPr>
      </w:pPr>
    </w:p>
    <w:p w14:paraId="028F6D0A" w14:textId="77777777" w:rsidR="00B01D6F" w:rsidRPr="003C3ADF" w:rsidRDefault="00B01D6F" w:rsidP="00B01D6F">
      <w:pPr>
        <w:tabs>
          <w:tab w:val="left" w:pos="851"/>
        </w:tabs>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rPr>
        <w:t>2.3</w:t>
      </w:r>
      <w:r w:rsidRPr="003C3ADF">
        <w:rPr>
          <w:rFonts w:ascii="Arial" w:hAnsi="Arial" w:cs="Arial"/>
          <w:b/>
          <w:color w:val="000000" w:themeColor="text1"/>
          <w:sz w:val="24"/>
          <w:szCs w:val="24"/>
        </w:rPr>
        <w:tab/>
        <w:t>Moeda funcional e moeda de apresentação</w:t>
      </w:r>
    </w:p>
    <w:p w14:paraId="5356DD6B" w14:textId="77777777" w:rsidR="00B01D6F" w:rsidRPr="003C3ADF" w:rsidRDefault="00B01D6F" w:rsidP="00B01D6F">
      <w:pPr>
        <w:pStyle w:val="PargrafodaLista"/>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As </w:t>
      </w:r>
      <w:r>
        <w:rPr>
          <w:rFonts w:ascii="Arial" w:hAnsi="Arial" w:cs="Arial"/>
          <w:color w:val="000000" w:themeColor="text1"/>
          <w:sz w:val="24"/>
          <w:szCs w:val="24"/>
        </w:rPr>
        <w:t xml:space="preserve">demonstrações contábeis </w:t>
      </w:r>
      <w:r w:rsidRPr="003C3ADF">
        <w:rPr>
          <w:rFonts w:ascii="Arial" w:hAnsi="Arial" w:cs="Arial"/>
          <w:color w:val="000000" w:themeColor="text1"/>
          <w:sz w:val="24"/>
          <w:szCs w:val="24"/>
        </w:rPr>
        <w:t>são apresentadas em Reais (R$) que é a moeda funcional da Companhia. As informações financeiras são apresentadas em unidades de reais, arredondadas para a unidade mais próxima, exceto quando indicado de outra forma.</w:t>
      </w:r>
    </w:p>
    <w:p w14:paraId="467921F9"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p>
    <w:p w14:paraId="30191E9B" w14:textId="77777777" w:rsidR="00B01D6F" w:rsidRPr="003C3ADF" w:rsidRDefault="00B01D6F" w:rsidP="00B01D6F">
      <w:pPr>
        <w:tabs>
          <w:tab w:val="left" w:pos="851"/>
        </w:tabs>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rPr>
        <w:t>2.4</w:t>
      </w:r>
      <w:r w:rsidRPr="003C3ADF">
        <w:rPr>
          <w:rFonts w:ascii="Arial" w:hAnsi="Arial" w:cs="Arial"/>
          <w:b/>
          <w:color w:val="000000" w:themeColor="text1"/>
          <w:sz w:val="24"/>
          <w:szCs w:val="24"/>
        </w:rPr>
        <w:tab/>
        <w:t xml:space="preserve">Uso de estimativas e julgamentos </w:t>
      </w:r>
    </w:p>
    <w:p w14:paraId="4EB7EF48" w14:textId="77777777" w:rsidR="00B01D6F" w:rsidRPr="003C3ADF" w:rsidRDefault="00B01D6F" w:rsidP="00B01D6F">
      <w:pPr>
        <w:pStyle w:val="PargrafodaLista"/>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 preparação das </w:t>
      </w:r>
      <w:r>
        <w:rPr>
          <w:rFonts w:ascii="Arial" w:hAnsi="Arial" w:cs="Arial"/>
          <w:color w:val="000000" w:themeColor="text1"/>
          <w:sz w:val="24"/>
          <w:szCs w:val="24"/>
        </w:rPr>
        <w:t xml:space="preserve">demonstrações contábeis </w:t>
      </w:r>
      <w:r w:rsidRPr="003C3ADF">
        <w:rPr>
          <w:rFonts w:ascii="Arial" w:hAnsi="Arial" w:cs="Arial"/>
          <w:color w:val="000000" w:themeColor="text1"/>
          <w:sz w:val="24"/>
          <w:szCs w:val="24"/>
        </w:rPr>
        <w:t>de acordo com as práticas contábeis adotadas no Brasil exige que a Administração faça julgamentos, estimativas e premissas que afetam a aplicação de políticas contábeis e os valores reportados de ativos, passivos, receitas e despesas. Os resultados reais podem divergir dessas estimativas.</w:t>
      </w:r>
      <w:r>
        <w:rPr>
          <w:rFonts w:ascii="Arial" w:hAnsi="Arial" w:cs="Arial"/>
          <w:color w:val="000000" w:themeColor="text1"/>
          <w:sz w:val="24"/>
          <w:szCs w:val="24"/>
        </w:rPr>
        <w:t xml:space="preserve"> </w:t>
      </w:r>
      <w:r w:rsidRPr="003C3ADF">
        <w:rPr>
          <w:rFonts w:ascii="Arial" w:hAnsi="Arial" w:cs="Arial"/>
          <w:color w:val="000000" w:themeColor="text1"/>
          <w:sz w:val="24"/>
          <w:szCs w:val="24"/>
        </w:rPr>
        <w:t xml:space="preserve">As estimativas e as premissas são revistas de uma maneira continua pela Administração. Os ajustes originários das revisões das estimativas contábeis são reconhecidos no resultado do </w:t>
      </w:r>
      <w:r>
        <w:rPr>
          <w:rFonts w:ascii="Arial" w:hAnsi="Arial" w:cs="Arial"/>
          <w:color w:val="000000" w:themeColor="text1"/>
          <w:sz w:val="24"/>
          <w:szCs w:val="24"/>
        </w:rPr>
        <w:t>período</w:t>
      </w:r>
      <w:r w:rsidRPr="003C3ADF">
        <w:rPr>
          <w:rFonts w:ascii="Arial" w:hAnsi="Arial" w:cs="Arial"/>
          <w:color w:val="000000" w:themeColor="text1"/>
          <w:sz w:val="24"/>
          <w:szCs w:val="24"/>
        </w:rPr>
        <w:t xml:space="preserve"> em que são revisadas e em quaisquer exercícios futuros afetados.</w:t>
      </w:r>
    </w:p>
    <w:p w14:paraId="0163883C" w14:textId="77777777" w:rsidR="00B01D6F" w:rsidRPr="003C3ADF" w:rsidRDefault="00B01D6F" w:rsidP="00B01D6F">
      <w:pPr>
        <w:spacing w:before="140" w:line="288" w:lineRule="auto"/>
        <w:ind w:left="851"/>
        <w:rPr>
          <w:rFonts w:ascii="Arial" w:hAnsi="Arial" w:cs="Arial"/>
          <w:color w:val="000000" w:themeColor="text1"/>
          <w:sz w:val="24"/>
          <w:szCs w:val="24"/>
        </w:rPr>
      </w:pPr>
    </w:p>
    <w:p w14:paraId="626E0890" w14:textId="77777777" w:rsidR="00B01D6F" w:rsidRPr="003C3ADF" w:rsidRDefault="00B01D6F" w:rsidP="00B01D6F">
      <w:pPr>
        <w:pStyle w:val="PargrafodaLista"/>
        <w:keepNext/>
        <w:widowControl w:val="0"/>
        <w:numPr>
          <w:ilvl w:val="0"/>
          <w:numId w:val="2"/>
        </w:numPr>
        <w:tabs>
          <w:tab w:val="left" w:pos="851"/>
        </w:tabs>
        <w:autoSpaceDE w:val="0"/>
        <w:autoSpaceDN w:val="0"/>
        <w:adjustRightInd w:val="0"/>
        <w:spacing w:before="140" w:line="288" w:lineRule="auto"/>
        <w:ind w:left="851" w:hanging="851"/>
        <w:rPr>
          <w:rFonts w:ascii="Arial" w:hAnsi="Arial" w:cs="Arial"/>
          <w:b/>
          <w:color w:val="000000" w:themeColor="text1"/>
          <w:sz w:val="24"/>
          <w:szCs w:val="24"/>
          <w:u w:val="single"/>
        </w:rPr>
      </w:pPr>
      <w:r w:rsidRPr="003C3ADF">
        <w:rPr>
          <w:rFonts w:ascii="Arial" w:hAnsi="Arial" w:cs="Arial"/>
          <w:b/>
          <w:color w:val="000000" w:themeColor="text1"/>
          <w:sz w:val="24"/>
          <w:szCs w:val="24"/>
          <w:u w:val="single"/>
        </w:rPr>
        <w:t>PRINCIPAIS PRÁTICAS CONTÁBEIS</w:t>
      </w:r>
    </w:p>
    <w:p w14:paraId="324B60F2" w14:textId="77777777" w:rsidR="00B01D6F" w:rsidRPr="003C3ADF" w:rsidRDefault="00B01D6F" w:rsidP="00B01D6F">
      <w:pPr>
        <w:pStyle w:val="PargrafodaLista"/>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As principais práticas, descritas abaixo, têm sido aplicadas de maneira consistente para os períodos apresentados nessas </w:t>
      </w:r>
      <w:r>
        <w:rPr>
          <w:rFonts w:ascii="Arial" w:hAnsi="Arial" w:cs="Arial"/>
          <w:color w:val="000000" w:themeColor="text1"/>
          <w:sz w:val="24"/>
          <w:szCs w:val="24"/>
        </w:rPr>
        <w:t>demonstrações contábeis.</w:t>
      </w:r>
      <w:r w:rsidRPr="003C3ADF">
        <w:rPr>
          <w:rFonts w:ascii="Arial" w:hAnsi="Arial" w:cs="Arial"/>
          <w:color w:val="000000" w:themeColor="text1"/>
          <w:sz w:val="24"/>
          <w:szCs w:val="24"/>
        </w:rPr>
        <w:t xml:space="preserve"> </w:t>
      </w:r>
    </w:p>
    <w:p w14:paraId="10D2E0AF" w14:textId="77777777" w:rsidR="00B01D6F" w:rsidRPr="003C3ADF" w:rsidRDefault="00B01D6F" w:rsidP="00B01D6F">
      <w:pPr>
        <w:tabs>
          <w:tab w:val="left" w:pos="851"/>
        </w:tabs>
        <w:autoSpaceDE w:val="0"/>
        <w:autoSpaceDN w:val="0"/>
        <w:adjustRightInd w:val="0"/>
        <w:spacing w:before="140" w:line="288" w:lineRule="auto"/>
        <w:ind w:left="851" w:hanging="851"/>
        <w:rPr>
          <w:rFonts w:ascii="Arial" w:hAnsi="Arial" w:cs="Arial"/>
          <w:color w:val="000000" w:themeColor="text1"/>
          <w:sz w:val="24"/>
          <w:szCs w:val="24"/>
        </w:rPr>
      </w:pPr>
    </w:p>
    <w:p w14:paraId="050258F8" w14:textId="77777777" w:rsidR="00B01D6F" w:rsidRPr="003C3ADF" w:rsidRDefault="00B01D6F" w:rsidP="00B01D6F">
      <w:pPr>
        <w:tabs>
          <w:tab w:val="left" w:pos="851"/>
        </w:tabs>
        <w:autoSpaceDE w:val="0"/>
        <w:autoSpaceDN w:val="0"/>
        <w:adjustRightInd w:val="0"/>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rPr>
        <w:t>3.1</w:t>
      </w:r>
      <w:r w:rsidRPr="003C3ADF">
        <w:rPr>
          <w:rFonts w:ascii="Arial" w:hAnsi="Arial" w:cs="Arial"/>
          <w:b/>
          <w:color w:val="000000" w:themeColor="text1"/>
          <w:sz w:val="24"/>
          <w:szCs w:val="24"/>
        </w:rPr>
        <w:tab/>
        <w:t>Reconhecimento de receitas e despesas</w:t>
      </w:r>
    </w:p>
    <w:p w14:paraId="461BC8D5" w14:textId="77777777" w:rsidR="00B01D6F" w:rsidRDefault="00B01D6F" w:rsidP="00B01D6F">
      <w:pPr>
        <w:pStyle w:val="PargrafodaLista"/>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As receitas e despesas são registradas de acordo com o regime de competência, o qual estabelece que sejam incluídas na apuração dos períodos em que ocorrerem, simultaneamente, quando se correlacionarem e independentemente de recebimento de pagamento. Esse conceito é aplicado para as principais receitas geradas pelas atividades da SPDA, a saber</w:t>
      </w:r>
      <w:r>
        <w:rPr>
          <w:rFonts w:ascii="Arial" w:hAnsi="Arial" w:cs="Arial"/>
          <w:color w:val="000000" w:themeColor="text1"/>
          <w:sz w:val="24"/>
          <w:szCs w:val="24"/>
        </w:rPr>
        <w:t xml:space="preserve">: (i) </w:t>
      </w:r>
      <w:r w:rsidRPr="003C3ADF">
        <w:rPr>
          <w:rFonts w:ascii="Arial" w:hAnsi="Arial" w:cs="Arial"/>
          <w:color w:val="000000" w:themeColor="text1"/>
          <w:sz w:val="24"/>
          <w:szCs w:val="24"/>
        </w:rPr>
        <w:t>Receita líquida de juros e de atualização monetária</w:t>
      </w:r>
      <w:r>
        <w:rPr>
          <w:rFonts w:ascii="Arial" w:hAnsi="Arial" w:cs="Arial"/>
          <w:color w:val="000000" w:themeColor="text1"/>
          <w:sz w:val="24"/>
          <w:szCs w:val="24"/>
        </w:rPr>
        <w:t>; (</w:t>
      </w:r>
      <w:proofErr w:type="spellStart"/>
      <w:r>
        <w:rPr>
          <w:rFonts w:ascii="Arial" w:hAnsi="Arial" w:cs="Arial"/>
          <w:color w:val="000000" w:themeColor="text1"/>
          <w:sz w:val="24"/>
          <w:szCs w:val="24"/>
        </w:rPr>
        <w:t>ii</w:t>
      </w:r>
      <w:proofErr w:type="spellEnd"/>
      <w:r>
        <w:rPr>
          <w:rFonts w:ascii="Arial" w:hAnsi="Arial" w:cs="Arial"/>
          <w:color w:val="000000" w:themeColor="text1"/>
          <w:sz w:val="24"/>
          <w:szCs w:val="24"/>
        </w:rPr>
        <w:t>)</w:t>
      </w:r>
      <w:r w:rsidRPr="003C3ADF">
        <w:rPr>
          <w:rFonts w:ascii="Arial" w:hAnsi="Arial" w:cs="Arial"/>
          <w:color w:val="000000" w:themeColor="text1"/>
          <w:sz w:val="24"/>
          <w:szCs w:val="24"/>
        </w:rPr>
        <w:t xml:space="preserve"> receitas e as despesas de juros e atualização monetária </w:t>
      </w:r>
      <w:r w:rsidRPr="003C3ADF">
        <w:rPr>
          <w:rFonts w:ascii="Arial" w:hAnsi="Arial" w:cs="Arial"/>
          <w:color w:val="000000" w:themeColor="text1"/>
          <w:sz w:val="24"/>
          <w:szCs w:val="24"/>
        </w:rPr>
        <w:lastRenderedPageBreak/>
        <w:t>decorrentes dos ativos e passivos que rendem e pagam juros e atualização monetária</w:t>
      </w:r>
      <w:r>
        <w:rPr>
          <w:rFonts w:ascii="Arial" w:hAnsi="Arial" w:cs="Arial"/>
          <w:color w:val="000000" w:themeColor="text1"/>
          <w:sz w:val="24"/>
          <w:szCs w:val="24"/>
        </w:rPr>
        <w:t>.</w:t>
      </w:r>
    </w:p>
    <w:p w14:paraId="32F469B3" w14:textId="77777777" w:rsidR="00B01D6F" w:rsidRPr="003C3ADF" w:rsidRDefault="00B01D6F" w:rsidP="00B01D6F">
      <w:pPr>
        <w:tabs>
          <w:tab w:val="left" w:pos="851"/>
        </w:tabs>
        <w:spacing w:before="140" w:line="288" w:lineRule="auto"/>
        <w:ind w:left="851" w:hanging="851"/>
        <w:rPr>
          <w:rFonts w:ascii="Arial" w:hAnsi="Arial" w:cs="Arial"/>
          <w:color w:val="000000" w:themeColor="text1"/>
          <w:sz w:val="24"/>
          <w:szCs w:val="24"/>
        </w:rPr>
      </w:pPr>
    </w:p>
    <w:p w14:paraId="6587B518" w14:textId="77777777" w:rsidR="00B01D6F" w:rsidRPr="003C3ADF" w:rsidRDefault="00B01D6F" w:rsidP="00B01D6F">
      <w:pPr>
        <w:tabs>
          <w:tab w:val="left" w:pos="851"/>
        </w:tabs>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rPr>
        <w:t>3.2</w:t>
      </w:r>
      <w:r w:rsidRPr="003C3ADF">
        <w:rPr>
          <w:rFonts w:ascii="Arial" w:hAnsi="Arial" w:cs="Arial"/>
          <w:b/>
          <w:color w:val="000000" w:themeColor="text1"/>
          <w:sz w:val="24"/>
          <w:szCs w:val="24"/>
        </w:rPr>
        <w:tab/>
        <w:t>Instrumentos financeiros não derivativos ativos e passivos</w:t>
      </w:r>
    </w:p>
    <w:p w14:paraId="223B34FC" w14:textId="77777777" w:rsidR="00B01D6F" w:rsidRPr="003C3ADF" w:rsidRDefault="00B01D6F" w:rsidP="00B01D6F">
      <w:pPr>
        <w:spacing w:before="140" w:line="288" w:lineRule="auto"/>
        <w:ind w:left="851"/>
        <w:rPr>
          <w:rFonts w:ascii="Arial" w:hAnsi="Arial" w:cs="Arial"/>
          <w:color w:val="000000" w:themeColor="text1"/>
          <w:sz w:val="24"/>
          <w:szCs w:val="24"/>
        </w:rPr>
      </w:pPr>
    </w:p>
    <w:p w14:paraId="546C642A" w14:textId="77777777" w:rsidR="00B01D6F" w:rsidRDefault="00B01D6F" w:rsidP="00B01D6F">
      <w:pPr>
        <w:shd w:val="clear" w:color="auto" w:fill="FFFFFF"/>
        <w:tabs>
          <w:tab w:val="left" w:pos="851"/>
        </w:tabs>
        <w:spacing w:before="140" w:line="288" w:lineRule="auto"/>
        <w:ind w:left="851" w:hanging="851"/>
        <w:rPr>
          <w:rFonts w:ascii="Arial" w:hAnsi="Arial" w:cs="Arial"/>
          <w:b/>
          <w:bCs/>
          <w:color w:val="000000" w:themeColor="text1"/>
          <w:sz w:val="24"/>
          <w:szCs w:val="24"/>
        </w:rPr>
      </w:pPr>
      <w:r w:rsidRPr="003C3ADF">
        <w:rPr>
          <w:rFonts w:ascii="Arial" w:hAnsi="Arial" w:cs="Arial"/>
          <w:b/>
          <w:bCs/>
          <w:color w:val="000000" w:themeColor="text1"/>
          <w:sz w:val="24"/>
          <w:szCs w:val="24"/>
        </w:rPr>
        <w:t>3.2.1</w:t>
      </w:r>
      <w:r w:rsidRPr="003C3ADF">
        <w:rPr>
          <w:rFonts w:ascii="Arial" w:hAnsi="Arial" w:cs="Arial"/>
          <w:b/>
          <w:bCs/>
          <w:color w:val="000000" w:themeColor="text1"/>
          <w:sz w:val="24"/>
          <w:szCs w:val="24"/>
        </w:rPr>
        <w:tab/>
        <w:t>Ativos financeiros não derivativos</w:t>
      </w:r>
    </w:p>
    <w:p w14:paraId="5D4B7713" w14:textId="77777777" w:rsidR="00B01D6F" w:rsidRPr="003C3AD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Os ativos financeiros são reconhecidos inicialmente ao valor justo, acrescidos, no caso de ativos não designados a valor justo por meio do resultado, dos custos de transação que sejam diretamente atribuíveis à aquisição do ativo financeiro.</w:t>
      </w:r>
    </w:p>
    <w:p w14:paraId="3323E93F" w14:textId="77777777" w:rsidR="00B01D6F" w:rsidRPr="003C3ADF" w:rsidRDefault="00B01D6F" w:rsidP="00B01D6F">
      <w:pPr>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 SPDA classifica os ativos financeiros não derivativos nas seguintes categorias: ativos financeiros registrados pelo valor justo por meio do resultado, </w:t>
      </w:r>
      <w:bookmarkStart w:id="8" w:name="_Hlk31806987"/>
      <w:r w:rsidRPr="003C3ADF">
        <w:rPr>
          <w:rFonts w:ascii="Arial" w:hAnsi="Arial" w:cs="Arial"/>
          <w:color w:val="000000" w:themeColor="text1"/>
          <w:sz w:val="24"/>
          <w:szCs w:val="24"/>
        </w:rPr>
        <w:t xml:space="preserve">empréstimos e recebíveis e ativos financeiros </w:t>
      </w:r>
      <w:r>
        <w:rPr>
          <w:rFonts w:ascii="Arial" w:hAnsi="Arial" w:cs="Arial"/>
          <w:color w:val="000000" w:themeColor="text1"/>
          <w:sz w:val="24"/>
          <w:szCs w:val="24"/>
        </w:rPr>
        <w:t>registrados pelo custo amortizado</w:t>
      </w:r>
      <w:r w:rsidRPr="003C3ADF">
        <w:rPr>
          <w:rFonts w:ascii="Arial" w:hAnsi="Arial" w:cs="Arial"/>
          <w:color w:val="000000" w:themeColor="text1"/>
          <w:sz w:val="24"/>
          <w:szCs w:val="24"/>
        </w:rPr>
        <w:t>.</w:t>
      </w:r>
    </w:p>
    <w:bookmarkEnd w:id="8"/>
    <w:p w14:paraId="03B7EB75" w14:textId="77777777" w:rsidR="00B01D6F" w:rsidRDefault="00B01D6F" w:rsidP="00B01D6F">
      <w:pPr>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Na data das </w:t>
      </w:r>
      <w:r>
        <w:rPr>
          <w:rFonts w:ascii="Arial" w:hAnsi="Arial" w:cs="Arial"/>
          <w:color w:val="000000" w:themeColor="text1"/>
          <w:sz w:val="24"/>
          <w:szCs w:val="24"/>
        </w:rPr>
        <w:t xml:space="preserve">demonstrações contábeis </w:t>
      </w:r>
      <w:r w:rsidRPr="003C3ADF">
        <w:rPr>
          <w:rFonts w:ascii="Arial" w:hAnsi="Arial" w:cs="Arial"/>
          <w:color w:val="000000" w:themeColor="text1"/>
          <w:sz w:val="24"/>
          <w:szCs w:val="24"/>
        </w:rPr>
        <w:t>somente as categorias a seguir possuíam ativos financeiros registrados para as quais detalhamos o critério de mensuração:</w:t>
      </w:r>
    </w:p>
    <w:p w14:paraId="41D0AB9D" w14:textId="77777777" w:rsidR="00B01D6F" w:rsidRPr="00DB6A6D" w:rsidRDefault="00B01D6F" w:rsidP="00B01D6F">
      <w:pPr>
        <w:tabs>
          <w:tab w:val="left" w:pos="851"/>
        </w:tabs>
        <w:spacing w:before="140" w:line="288" w:lineRule="auto"/>
        <w:ind w:left="851"/>
        <w:rPr>
          <w:rFonts w:ascii="Arial" w:hAnsi="Arial"/>
          <w:b/>
          <w:color w:val="000000" w:themeColor="text1"/>
          <w:sz w:val="24"/>
        </w:rPr>
      </w:pPr>
      <w:r>
        <w:rPr>
          <w:rFonts w:ascii="Arial" w:hAnsi="Arial" w:cs="Arial"/>
          <w:color w:val="000000" w:themeColor="text1"/>
          <w:sz w:val="24"/>
          <w:szCs w:val="24"/>
        </w:rPr>
        <w:t xml:space="preserve"> </w:t>
      </w:r>
    </w:p>
    <w:p w14:paraId="7D548424" w14:textId="77777777" w:rsidR="00B01D6F" w:rsidRDefault="00B01D6F" w:rsidP="00B01D6F">
      <w:pPr>
        <w:shd w:val="clear" w:color="auto" w:fill="FFFFFF"/>
        <w:tabs>
          <w:tab w:val="left" w:pos="851"/>
        </w:tabs>
        <w:spacing w:before="140" w:line="288" w:lineRule="auto"/>
        <w:ind w:left="851" w:hanging="851"/>
        <w:rPr>
          <w:rFonts w:ascii="Arial" w:hAnsi="Arial" w:cs="Arial"/>
          <w:b/>
          <w:bCs/>
          <w:color w:val="000000" w:themeColor="text1"/>
          <w:sz w:val="24"/>
          <w:szCs w:val="24"/>
        </w:rPr>
      </w:pPr>
      <w:r w:rsidRPr="003C3ADF">
        <w:rPr>
          <w:rFonts w:ascii="Arial" w:hAnsi="Arial" w:cs="Arial"/>
          <w:b/>
          <w:bCs/>
          <w:color w:val="000000" w:themeColor="text1"/>
          <w:sz w:val="24"/>
          <w:szCs w:val="24"/>
        </w:rPr>
        <w:t>3.2.1.1</w:t>
      </w:r>
      <w:r w:rsidRPr="003C3ADF">
        <w:rPr>
          <w:rFonts w:ascii="Arial" w:hAnsi="Arial" w:cs="Arial"/>
          <w:b/>
          <w:bCs/>
          <w:color w:val="000000" w:themeColor="text1"/>
          <w:sz w:val="24"/>
          <w:szCs w:val="24"/>
        </w:rPr>
        <w:tab/>
        <w:t xml:space="preserve">Ativos financeiros mensurados ao valor justo por meio do resultado </w:t>
      </w:r>
    </w:p>
    <w:p w14:paraId="2E5E5EAD" w14:textId="77777777" w:rsidR="00B01D6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São ativos financeiros mantidos para negociação ativa e frequente e para os quais existe evidência de um histórico recente de vendas no curto prazo. Os ganhos e perdas decorrentes de variações do valor justo mensurado são registrados no resultado financeiro da </w:t>
      </w:r>
      <w:r>
        <w:rPr>
          <w:rFonts w:ascii="Arial" w:hAnsi="Arial" w:cs="Arial"/>
          <w:color w:val="000000" w:themeColor="text1"/>
          <w:sz w:val="24"/>
          <w:szCs w:val="24"/>
        </w:rPr>
        <w:t>Companhia</w:t>
      </w:r>
      <w:r w:rsidRPr="003C3ADF">
        <w:rPr>
          <w:rFonts w:ascii="Arial" w:hAnsi="Arial" w:cs="Arial"/>
          <w:color w:val="000000" w:themeColor="text1"/>
          <w:sz w:val="24"/>
          <w:szCs w:val="24"/>
        </w:rPr>
        <w:t xml:space="preserve"> como incorridos. Os ativos dessa categoria são classificados como ativos circulantes.</w:t>
      </w:r>
    </w:p>
    <w:p w14:paraId="7562E797" w14:textId="77777777" w:rsidR="00B01D6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Os ativos financeiros registrados pelo valor justo por meio de resultado incluem principalmente o caixa e os equivalentes de caixa e os títulos e valores mobiliários.</w:t>
      </w:r>
    </w:p>
    <w:p w14:paraId="6E5B7667" w14:textId="77777777" w:rsidR="00B01D6F" w:rsidRPr="003C3AD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p>
    <w:p w14:paraId="45DA32A5" w14:textId="77777777" w:rsidR="00B01D6F" w:rsidRDefault="00B01D6F" w:rsidP="00B01D6F">
      <w:pPr>
        <w:shd w:val="clear" w:color="auto" w:fill="FFFFFF"/>
        <w:tabs>
          <w:tab w:val="left" w:pos="851"/>
        </w:tabs>
        <w:spacing w:before="140" w:line="288" w:lineRule="auto"/>
        <w:ind w:left="851" w:hanging="851"/>
        <w:rPr>
          <w:rFonts w:ascii="Arial" w:hAnsi="Arial" w:cs="Arial"/>
          <w:b/>
          <w:bCs/>
          <w:color w:val="000000" w:themeColor="text1"/>
          <w:sz w:val="24"/>
          <w:szCs w:val="24"/>
        </w:rPr>
      </w:pPr>
      <w:r w:rsidRPr="003C3ADF">
        <w:rPr>
          <w:rFonts w:ascii="Arial" w:hAnsi="Arial" w:cs="Arial"/>
          <w:b/>
          <w:bCs/>
          <w:color w:val="000000" w:themeColor="text1"/>
          <w:sz w:val="24"/>
          <w:szCs w:val="24"/>
        </w:rPr>
        <w:t>3.2.1.2</w:t>
      </w:r>
      <w:r w:rsidRPr="003C3ADF">
        <w:rPr>
          <w:rFonts w:ascii="Arial" w:hAnsi="Arial" w:cs="Arial"/>
          <w:b/>
          <w:bCs/>
          <w:color w:val="000000" w:themeColor="text1"/>
          <w:sz w:val="24"/>
          <w:szCs w:val="24"/>
        </w:rPr>
        <w:tab/>
        <w:t>Empréstimos e recebíveis</w:t>
      </w:r>
    </w:p>
    <w:p w14:paraId="5ED5CD10" w14:textId="77777777" w:rsidR="00B01D6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Empréstimos e recebíveis são ativos financeiros com pagamentos fixos ou calculáveis que não são cotados no mercado ativo. Tais ativos são reconhecidos inicialmente pelo valor justo acrescido de quaisquer custos </w:t>
      </w:r>
      <w:r w:rsidRPr="003C3ADF">
        <w:rPr>
          <w:rFonts w:ascii="Arial" w:hAnsi="Arial" w:cs="Arial"/>
          <w:color w:val="000000" w:themeColor="text1"/>
          <w:sz w:val="24"/>
          <w:szCs w:val="24"/>
        </w:rPr>
        <w:lastRenderedPageBreak/>
        <w:t>de transação atribuíveis. Após o reconhecimento inicial, os empréstimos e recebíveis são medidos pelo custo amortizado através do método dos juros efetivos, decrescidos de qualquer perda por redução ao valor recuperável.</w:t>
      </w:r>
    </w:p>
    <w:p w14:paraId="4B28D8F2" w14:textId="77777777" w:rsidR="00B01D6F" w:rsidRPr="003C3AD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p>
    <w:p w14:paraId="79179899" w14:textId="77777777" w:rsidR="00B01D6F" w:rsidRPr="003C3ADF" w:rsidRDefault="00B01D6F" w:rsidP="00B01D6F">
      <w:pPr>
        <w:pStyle w:val="PargrafodaLista"/>
        <w:numPr>
          <w:ilvl w:val="0"/>
          <w:numId w:val="3"/>
        </w:numPr>
        <w:shd w:val="clear" w:color="auto" w:fill="FFFFFF"/>
        <w:tabs>
          <w:tab w:val="left" w:pos="851"/>
        </w:tabs>
        <w:spacing w:before="140" w:line="288" w:lineRule="auto"/>
        <w:ind w:left="851" w:hanging="851"/>
        <w:rPr>
          <w:rFonts w:ascii="Arial" w:hAnsi="Arial" w:cs="Arial"/>
          <w:color w:val="000000" w:themeColor="text1"/>
          <w:sz w:val="24"/>
          <w:szCs w:val="24"/>
        </w:rPr>
      </w:pPr>
      <w:r w:rsidRPr="003C3ADF">
        <w:rPr>
          <w:rFonts w:ascii="Arial" w:hAnsi="Arial" w:cs="Arial"/>
          <w:b/>
          <w:bCs/>
          <w:color w:val="000000" w:themeColor="text1"/>
          <w:sz w:val="24"/>
          <w:szCs w:val="24"/>
        </w:rPr>
        <w:t>Identificação e mensuração de redução ao valor recuperável dos ativos financeiros (</w:t>
      </w:r>
      <w:proofErr w:type="spellStart"/>
      <w:r w:rsidRPr="008B17E9">
        <w:rPr>
          <w:rFonts w:ascii="Arial" w:hAnsi="Arial" w:cs="Arial"/>
          <w:b/>
          <w:bCs/>
          <w:i/>
          <w:color w:val="000000" w:themeColor="text1"/>
          <w:sz w:val="24"/>
          <w:szCs w:val="24"/>
        </w:rPr>
        <w:t>impairment</w:t>
      </w:r>
      <w:proofErr w:type="spellEnd"/>
      <w:r w:rsidRPr="003C3ADF">
        <w:rPr>
          <w:rFonts w:ascii="Arial" w:hAnsi="Arial" w:cs="Arial"/>
          <w:b/>
          <w:bCs/>
          <w:color w:val="000000" w:themeColor="text1"/>
          <w:sz w:val="24"/>
          <w:szCs w:val="24"/>
        </w:rPr>
        <w:t>)</w:t>
      </w:r>
    </w:p>
    <w:p w14:paraId="194619E0" w14:textId="77777777" w:rsidR="00B01D6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Em cada data de balanço a SPDA avalia o saldo contábil líquido dos ativos financeiros com o objetivo de analisar eventos ou mudanças nas </w:t>
      </w:r>
      <w:proofErr w:type="gramStart"/>
      <w:r w:rsidRPr="003C3ADF">
        <w:rPr>
          <w:rFonts w:ascii="Arial" w:hAnsi="Arial" w:cs="Arial"/>
          <w:color w:val="000000" w:themeColor="text1"/>
          <w:sz w:val="24"/>
          <w:szCs w:val="24"/>
        </w:rPr>
        <w:t>circunstancias</w:t>
      </w:r>
      <w:proofErr w:type="gramEnd"/>
      <w:r w:rsidRPr="003C3ADF">
        <w:rPr>
          <w:rFonts w:ascii="Arial" w:hAnsi="Arial" w:cs="Arial"/>
          <w:color w:val="000000" w:themeColor="text1"/>
          <w:sz w:val="24"/>
          <w:szCs w:val="24"/>
        </w:rPr>
        <w:t xml:space="preserve"> econômicas e operacionais que possam indicar deterioração ou perda de seu valor recuperável.</w:t>
      </w:r>
    </w:p>
    <w:p w14:paraId="315B5641" w14:textId="77777777" w:rsidR="00B01D6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Se há evidências objetivas de que o valor líquido excede o valor recuperável, então é constituída provisão ajustando o saldo contábil líquido ao valor recuperável.</w:t>
      </w:r>
    </w:p>
    <w:p w14:paraId="1808D814" w14:textId="77777777" w:rsidR="00B01D6F" w:rsidRPr="003C3AD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p>
    <w:p w14:paraId="2656304A" w14:textId="77777777" w:rsidR="00B01D6F" w:rsidRDefault="00B01D6F" w:rsidP="00B01D6F">
      <w:pPr>
        <w:pStyle w:val="PargrafodaLista"/>
        <w:numPr>
          <w:ilvl w:val="0"/>
          <w:numId w:val="3"/>
        </w:numPr>
        <w:shd w:val="clear" w:color="auto" w:fill="FFFFFF"/>
        <w:tabs>
          <w:tab w:val="left" w:pos="851"/>
        </w:tabs>
        <w:spacing w:before="140" w:line="288" w:lineRule="auto"/>
        <w:ind w:left="851" w:hanging="851"/>
        <w:rPr>
          <w:rFonts w:ascii="Arial" w:hAnsi="Arial" w:cs="Arial"/>
          <w:b/>
          <w:bCs/>
          <w:color w:val="000000" w:themeColor="text1"/>
          <w:sz w:val="24"/>
          <w:szCs w:val="24"/>
        </w:rPr>
      </w:pPr>
      <w:r w:rsidRPr="003C3ADF">
        <w:rPr>
          <w:rFonts w:ascii="Arial" w:hAnsi="Arial" w:cs="Arial"/>
          <w:b/>
          <w:bCs/>
          <w:color w:val="000000" w:themeColor="text1"/>
          <w:sz w:val="24"/>
          <w:szCs w:val="24"/>
        </w:rPr>
        <w:t>Passivos financeiros não derivativos</w:t>
      </w:r>
    </w:p>
    <w:p w14:paraId="53874320" w14:textId="77777777" w:rsidR="00B01D6F" w:rsidRDefault="00B01D6F" w:rsidP="00B01D6F">
      <w:pPr>
        <w:shd w:val="clear" w:color="auto" w:fill="FFFFFF"/>
        <w:tabs>
          <w:tab w:val="left" w:pos="851"/>
        </w:tabs>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 SPDA classifica passivos financeiros não derivativos na categoria de outros passivos financeiros. Tais passivos são reconhecidos inicialmente pelo valor justo acrescido de quaisquer custos de transação atribuíveis. Após o reconhecimento inicial esses passivos são medidos pelo custo amortizado através do método de juros efetivos.</w:t>
      </w:r>
    </w:p>
    <w:p w14:paraId="0726FDF7" w14:textId="77777777" w:rsidR="00B01D6F" w:rsidRDefault="00B01D6F" w:rsidP="00B01D6F">
      <w:pPr>
        <w:shd w:val="clear" w:color="auto" w:fill="FFFFFF"/>
        <w:tabs>
          <w:tab w:val="left" w:pos="851"/>
        </w:tabs>
        <w:spacing w:before="140" w:line="288" w:lineRule="auto"/>
        <w:ind w:left="851" w:firstLine="6"/>
        <w:rPr>
          <w:rFonts w:ascii="Arial" w:hAnsi="Arial" w:cs="Arial"/>
          <w:color w:val="000000" w:themeColor="text1"/>
          <w:sz w:val="24"/>
          <w:szCs w:val="24"/>
        </w:rPr>
      </w:pPr>
      <w:r w:rsidRPr="003C3ADF">
        <w:rPr>
          <w:rFonts w:ascii="Arial" w:hAnsi="Arial" w:cs="Arial"/>
          <w:color w:val="000000" w:themeColor="text1"/>
          <w:sz w:val="24"/>
          <w:szCs w:val="24"/>
        </w:rPr>
        <w:t>Os passivos financeiros não derivativos incluem principalmente obrigações com mutuários, fornecedores e outras conta</w:t>
      </w:r>
      <w:r>
        <w:rPr>
          <w:rFonts w:ascii="Arial" w:hAnsi="Arial" w:cs="Arial"/>
          <w:color w:val="000000" w:themeColor="text1"/>
          <w:sz w:val="24"/>
          <w:szCs w:val="24"/>
        </w:rPr>
        <w:t xml:space="preserve">s </w:t>
      </w:r>
      <w:r w:rsidRPr="003C3ADF">
        <w:rPr>
          <w:rFonts w:ascii="Arial" w:hAnsi="Arial" w:cs="Arial"/>
          <w:color w:val="000000" w:themeColor="text1"/>
          <w:sz w:val="24"/>
          <w:szCs w:val="24"/>
        </w:rPr>
        <w:t>a pagar.</w:t>
      </w:r>
      <w:r>
        <w:rPr>
          <w:rFonts w:ascii="Arial" w:hAnsi="Arial" w:cs="Arial"/>
          <w:color w:val="000000" w:themeColor="text1"/>
          <w:sz w:val="24"/>
          <w:szCs w:val="24"/>
        </w:rPr>
        <w:t xml:space="preserve"> </w:t>
      </w:r>
    </w:p>
    <w:p w14:paraId="7DE9B050" w14:textId="77777777" w:rsidR="00B01D6F" w:rsidRDefault="00B01D6F" w:rsidP="00B01D6F">
      <w:pPr>
        <w:shd w:val="clear" w:color="auto" w:fill="FFFFFF"/>
        <w:tabs>
          <w:tab w:val="left" w:pos="851"/>
        </w:tabs>
        <w:spacing w:before="140" w:line="288" w:lineRule="auto"/>
        <w:ind w:left="851" w:firstLine="6"/>
        <w:rPr>
          <w:rFonts w:ascii="Arial" w:hAnsi="Arial" w:cs="Arial"/>
          <w:b/>
          <w:bCs/>
          <w:color w:val="000000" w:themeColor="text1"/>
          <w:sz w:val="24"/>
          <w:szCs w:val="24"/>
        </w:rPr>
      </w:pPr>
    </w:p>
    <w:p w14:paraId="091DE720" w14:textId="77777777" w:rsidR="00B01D6F" w:rsidRDefault="00B01D6F" w:rsidP="00B01D6F">
      <w:pPr>
        <w:pStyle w:val="PargrafodaLista"/>
        <w:numPr>
          <w:ilvl w:val="0"/>
          <w:numId w:val="3"/>
        </w:numPr>
        <w:shd w:val="clear" w:color="auto" w:fill="FFFFFF"/>
        <w:tabs>
          <w:tab w:val="left" w:pos="851"/>
        </w:tabs>
        <w:spacing w:before="140" w:line="288" w:lineRule="auto"/>
        <w:ind w:left="851" w:hanging="851"/>
        <w:rPr>
          <w:rFonts w:ascii="Arial" w:hAnsi="Arial" w:cs="Arial"/>
          <w:b/>
          <w:bCs/>
          <w:color w:val="000000" w:themeColor="text1"/>
          <w:sz w:val="24"/>
          <w:szCs w:val="24"/>
        </w:rPr>
      </w:pPr>
      <w:r w:rsidRPr="003C3ADF">
        <w:rPr>
          <w:rFonts w:ascii="Arial" w:hAnsi="Arial" w:cs="Arial"/>
          <w:b/>
          <w:bCs/>
          <w:color w:val="000000" w:themeColor="text1"/>
          <w:sz w:val="24"/>
          <w:szCs w:val="24"/>
        </w:rPr>
        <w:t>Baixa de ativos e passivos financeiros</w:t>
      </w:r>
    </w:p>
    <w:p w14:paraId="5B38660E" w14:textId="77777777" w:rsidR="00B01D6F" w:rsidRDefault="00B01D6F" w:rsidP="00B01D6F">
      <w:pPr>
        <w:shd w:val="clear" w:color="auto" w:fill="FFFFFF"/>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Ativos financeiros são baixados quando expiram os direitos contratuais sobre os fluxos de caixa ou quando os direitos de receber os fluxos de caixa contratuais são transferidos em uma transação na qual todos os riscos e benefícios de propriedade do ativo financeiro são substancialmente transferidos.</w:t>
      </w:r>
    </w:p>
    <w:p w14:paraId="1DB0001A" w14:textId="77777777" w:rsidR="00B01D6F" w:rsidRDefault="00B01D6F" w:rsidP="00B01D6F">
      <w:pPr>
        <w:shd w:val="clear" w:color="auto" w:fill="FFFFFF"/>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 baixa de passivos financeiros é efetuada quando suas obrigações contratuais são extintas, canceladas ou quando expiram. </w:t>
      </w:r>
    </w:p>
    <w:p w14:paraId="0400B732" w14:textId="77777777" w:rsidR="00B01D6F" w:rsidRDefault="00B01D6F" w:rsidP="00B01D6F">
      <w:pPr>
        <w:shd w:val="clear" w:color="auto" w:fill="FFFFFF"/>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 SPDA classifica passivos financeiros não derivativos na categoria de outros passivos financeiros. Tais passivos são reconhecidos inicialmente </w:t>
      </w:r>
      <w:r w:rsidRPr="003C3ADF">
        <w:rPr>
          <w:rFonts w:ascii="Arial" w:hAnsi="Arial" w:cs="Arial"/>
          <w:color w:val="000000" w:themeColor="text1"/>
          <w:sz w:val="24"/>
          <w:szCs w:val="24"/>
        </w:rPr>
        <w:lastRenderedPageBreak/>
        <w:t>pelo valor justo acrescido de quaisquer custos de transação atribuíveis. Após o reconhecimento inicial, esses passivos são medidos pelo custo amortizado através do método de juros efetivos.</w:t>
      </w:r>
    </w:p>
    <w:p w14:paraId="2A80B329" w14:textId="77777777" w:rsidR="00B01D6F" w:rsidRPr="003C3ADF" w:rsidRDefault="00B01D6F" w:rsidP="00B01D6F">
      <w:pPr>
        <w:shd w:val="clear" w:color="auto" w:fill="FFFFFF"/>
        <w:spacing w:before="140" w:line="288" w:lineRule="auto"/>
        <w:ind w:left="851"/>
        <w:rPr>
          <w:rFonts w:ascii="Arial" w:hAnsi="Arial" w:cs="Arial"/>
          <w:color w:val="000000" w:themeColor="text1"/>
          <w:sz w:val="24"/>
          <w:szCs w:val="24"/>
        </w:rPr>
      </w:pPr>
    </w:p>
    <w:p w14:paraId="2665F600" w14:textId="77777777" w:rsidR="00B01D6F" w:rsidRDefault="00B01D6F" w:rsidP="00B01D6F">
      <w:pPr>
        <w:pStyle w:val="PargrafodaLista"/>
        <w:numPr>
          <w:ilvl w:val="0"/>
          <w:numId w:val="3"/>
        </w:numPr>
        <w:shd w:val="clear" w:color="auto" w:fill="FFFFFF"/>
        <w:tabs>
          <w:tab w:val="left" w:pos="851"/>
        </w:tabs>
        <w:spacing w:before="140" w:line="288" w:lineRule="auto"/>
        <w:ind w:left="851" w:hanging="851"/>
        <w:rPr>
          <w:rFonts w:ascii="Arial" w:hAnsi="Arial" w:cs="Arial"/>
          <w:b/>
          <w:bCs/>
          <w:color w:val="000000" w:themeColor="text1"/>
          <w:sz w:val="24"/>
          <w:szCs w:val="24"/>
        </w:rPr>
      </w:pPr>
      <w:r w:rsidRPr="003C3ADF">
        <w:rPr>
          <w:rFonts w:ascii="Arial" w:hAnsi="Arial" w:cs="Arial"/>
          <w:b/>
          <w:bCs/>
          <w:color w:val="000000" w:themeColor="text1"/>
          <w:sz w:val="24"/>
          <w:szCs w:val="24"/>
        </w:rPr>
        <w:t>Instrumentos financeiros derivativos</w:t>
      </w:r>
    </w:p>
    <w:p w14:paraId="309B2A21" w14:textId="77777777" w:rsidR="00B01D6F" w:rsidRDefault="00B01D6F" w:rsidP="00B01D6F">
      <w:pPr>
        <w:shd w:val="clear" w:color="auto" w:fill="FFFFFF"/>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Referem-se às operações realizadas no mercado futuro de derivativos registradas na rubrica Títulos e Valores Mobiliários pelo custo de aquisição e ajustados diariamente ao valor de mercado com base nas cotações divulgadas pel</w:t>
      </w:r>
      <w:r>
        <w:rPr>
          <w:rFonts w:ascii="Arial" w:hAnsi="Arial" w:cs="Arial"/>
          <w:color w:val="000000" w:themeColor="text1"/>
          <w:sz w:val="24"/>
          <w:szCs w:val="24"/>
        </w:rPr>
        <w:t>a B3 S.A.– Brasil, Bolsa, Balcão.</w:t>
      </w:r>
    </w:p>
    <w:p w14:paraId="4BABFC72" w14:textId="77777777" w:rsidR="00B01D6F" w:rsidRPr="003C3ADF" w:rsidRDefault="00B01D6F" w:rsidP="00B01D6F">
      <w:pPr>
        <w:shd w:val="clear" w:color="auto" w:fill="FFFFFF"/>
        <w:spacing w:before="140" w:line="288" w:lineRule="auto"/>
        <w:ind w:left="851"/>
        <w:rPr>
          <w:rFonts w:ascii="Arial" w:hAnsi="Arial" w:cs="Arial"/>
          <w:color w:val="000000" w:themeColor="text1"/>
          <w:sz w:val="24"/>
          <w:szCs w:val="24"/>
        </w:rPr>
      </w:pPr>
    </w:p>
    <w:p w14:paraId="20006DB1" w14:textId="77777777" w:rsidR="00B01D6F" w:rsidRPr="003C3ADF" w:rsidRDefault="00B01D6F" w:rsidP="00B01D6F">
      <w:pPr>
        <w:tabs>
          <w:tab w:val="left" w:pos="851"/>
        </w:tabs>
        <w:autoSpaceDE w:val="0"/>
        <w:autoSpaceDN w:val="0"/>
        <w:adjustRightInd w:val="0"/>
        <w:spacing w:before="140" w:line="288" w:lineRule="auto"/>
        <w:ind w:left="851"/>
        <w:rPr>
          <w:rFonts w:ascii="Arial" w:hAnsi="Arial" w:cs="Arial"/>
          <w:b/>
          <w:bCs/>
          <w:color w:val="000000" w:themeColor="text1"/>
          <w:sz w:val="24"/>
          <w:szCs w:val="24"/>
        </w:rPr>
      </w:pPr>
      <w:r w:rsidRPr="00E27E14">
        <w:rPr>
          <w:rFonts w:ascii="Arial" w:hAnsi="Arial" w:cs="Arial"/>
          <w:b/>
          <w:bCs/>
          <w:color w:val="000000" w:themeColor="text1"/>
          <w:sz w:val="24"/>
          <w:szCs w:val="24"/>
        </w:rPr>
        <w:t>3.2.1.3</w:t>
      </w:r>
      <w:r w:rsidRPr="00E27E14">
        <w:rPr>
          <w:rFonts w:ascii="Arial" w:hAnsi="Arial" w:cs="Arial"/>
          <w:b/>
          <w:bCs/>
          <w:color w:val="000000" w:themeColor="text1"/>
          <w:sz w:val="24"/>
          <w:szCs w:val="24"/>
        </w:rPr>
        <w:tab/>
        <w:t>Investimentos em Coligadas</w:t>
      </w:r>
    </w:p>
    <w:p w14:paraId="4B7CF5B1" w14:textId="77777777" w:rsidR="00B01D6F" w:rsidRPr="003C3AD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Os investimentos em controladas e coligada</w:t>
      </w:r>
      <w:r>
        <w:rPr>
          <w:rFonts w:ascii="Arial" w:hAnsi="Arial" w:cs="Arial"/>
          <w:color w:val="000000" w:themeColor="text1"/>
          <w:sz w:val="24"/>
          <w:szCs w:val="24"/>
        </w:rPr>
        <w:t>s</w:t>
      </w:r>
      <w:r w:rsidRPr="003C3ADF">
        <w:rPr>
          <w:rFonts w:ascii="Arial" w:hAnsi="Arial" w:cs="Arial"/>
          <w:color w:val="000000" w:themeColor="text1"/>
          <w:sz w:val="24"/>
          <w:szCs w:val="24"/>
        </w:rPr>
        <w:t xml:space="preserve"> são avaliados pelo método de equivalência patrimonial.</w:t>
      </w:r>
    </w:p>
    <w:p w14:paraId="13EA71B4" w14:textId="77777777" w:rsidR="00B01D6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O investimento da Companhia em sua coligada é contabilizado com base no método da equivalência patrimonial. Uma coligada é uma entidade sobre a qual a Companhia exerce influência significativa. Com base no método da equivalência patrimonial, o investimento na coligada é contabilizado no balanço patrimonial ao custo, adicionado das mudanças após a aquisição da participação societária na coligada. O ágio relacionado com a coligada é incluído no valor contábil do investimento, não sendo amortizado. </w:t>
      </w:r>
    </w:p>
    <w:p w14:paraId="2418B72C" w14:textId="77777777" w:rsidR="00B01D6F" w:rsidRPr="003C3AD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Em função de o ágio fundamentado em rentabilidade futura (“</w:t>
      </w:r>
      <w:proofErr w:type="spellStart"/>
      <w:r w:rsidRPr="003C3ADF">
        <w:rPr>
          <w:rFonts w:ascii="Arial" w:hAnsi="Arial" w:cs="Arial"/>
          <w:color w:val="000000" w:themeColor="text1"/>
          <w:sz w:val="24"/>
          <w:szCs w:val="24"/>
        </w:rPr>
        <w:t>goodwill</w:t>
      </w:r>
      <w:proofErr w:type="spellEnd"/>
      <w:r w:rsidRPr="003C3ADF">
        <w:rPr>
          <w:rFonts w:ascii="Arial" w:hAnsi="Arial" w:cs="Arial"/>
          <w:color w:val="000000" w:themeColor="text1"/>
          <w:sz w:val="24"/>
          <w:szCs w:val="24"/>
        </w:rPr>
        <w:t xml:space="preserve">”) integrar o valor contábil do investimento na coligada (não é reconhecido separadamente), ele não é testado separadamente em relação ao seu valor recuperável. A demonstração do resultado reflete a parcela dos resultados das operações da coligada. Quando uma mudança for diretamente reconhecida no patrimônio da coligada, a Companhia reconhece sua parcela nas variações ocorridas e divulga esse fato, quando aplicável, na demonstração das mutações do patrimônio líquido. Os ganhos e perdas não realizados, resultantes de transações entre o Grupo e a coligada, são eliminados de acordo com a participação mantida na coligada. </w:t>
      </w:r>
    </w:p>
    <w:p w14:paraId="6337CFF9" w14:textId="77777777" w:rsidR="00B01D6F" w:rsidRPr="003C3AD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 participação societária na coligada é demonstrada na demonstração do resultado como equivalência patrimonial, representando o lucro líquido atribuível aos acionistas da Companhia.</w:t>
      </w:r>
    </w:p>
    <w:p w14:paraId="6F327E1D" w14:textId="77777777" w:rsidR="00B01D6F" w:rsidRPr="003C3ADF" w:rsidRDefault="00B01D6F" w:rsidP="00B01D6F">
      <w:pPr>
        <w:autoSpaceDE w:val="0"/>
        <w:autoSpaceDN w:val="0"/>
        <w:adjustRightInd w:val="0"/>
        <w:spacing w:before="140" w:line="288" w:lineRule="auto"/>
        <w:ind w:left="851"/>
        <w:rPr>
          <w:rFonts w:ascii="Arial" w:hAnsi="Arial" w:cs="Arial"/>
          <w:b/>
          <w:color w:val="000000" w:themeColor="text1"/>
          <w:sz w:val="24"/>
          <w:szCs w:val="24"/>
        </w:rPr>
      </w:pPr>
    </w:p>
    <w:p w14:paraId="7F1D05A2" w14:textId="77777777" w:rsidR="00B01D6F" w:rsidRPr="003C3ADF" w:rsidRDefault="00B01D6F" w:rsidP="00B01D6F">
      <w:pPr>
        <w:tabs>
          <w:tab w:val="left" w:pos="851"/>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bCs/>
          <w:color w:val="000000" w:themeColor="text1"/>
          <w:sz w:val="24"/>
          <w:szCs w:val="24"/>
        </w:rPr>
        <w:t>3.2.1.4</w:t>
      </w:r>
      <w:r w:rsidRPr="003C3ADF">
        <w:rPr>
          <w:rFonts w:ascii="Arial" w:hAnsi="Arial" w:cs="Arial"/>
          <w:b/>
          <w:bCs/>
          <w:color w:val="000000" w:themeColor="text1"/>
          <w:sz w:val="24"/>
          <w:szCs w:val="24"/>
        </w:rPr>
        <w:tab/>
      </w:r>
      <w:r w:rsidRPr="003C3ADF">
        <w:rPr>
          <w:rFonts w:ascii="Arial" w:hAnsi="Arial" w:cs="Arial"/>
          <w:b/>
          <w:color w:val="000000" w:themeColor="text1"/>
          <w:sz w:val="24"/>
          <w:szCs w:val="24"/>
        </w:rPr>
        <w:t>Caixa e equivalentes de caixa</w:t>
      </w:r>
    </w:p>
    <w:p w14:paraId="176E15A9"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Caixa e equivalentes de caixa são representados por depósitos bancários, aplicações financeiras e caixa com prazos originais na data da efetiva aplicação iguais ou inferiores a 90 dias, com baixo risco de mudança de valor, em razão de alteração nas taxas de juros e que são usadas pela </w:t>
      </w:r>
      <w:r>
        <w:rPr>
          <w:rFonts w:ascii="Arial" w:hAnsi="Arial" w:cs="Arial"/>
          <w:color w:val="000000" w:themeColor="text1"/>
          <w:sz w:val="24"/>
          <w:szCs w:val="24"/>
        </w:rPr>
        <w:t>Companhia</w:t>
      </w:r>
      <w:r w:rsidRPr="003C3ADF">
        <w:rPr>
          <w:rFonts w:ascii="Arial" w:hAnsi="Arial" w:cs="Arial"/>
          <w:color w:val="000000" w:themeColor="text1"/>
          <w:sz w:val="24"/>
          <w:szCs w:val="24"/>
        </w:rPr>
        <w:t xml:space="preserve"> para atender compromissos de curto prazo.</w:t>
      </w:r>
    </w:p>
    <w:p w14:paraId="7541A6F8"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rPr>
      </w:pPr>
    </w:p>
    <w:p w14:paraId="72AF693C"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bCs/>
          <w:color w:val="000000" w:themeColor="text1"/>
          <w:sz w:val="24"/>
          <w:szCs w:val="24"/>
        </w:rPr>
        <w:t>3.2.1.5</w:t>
      </w:r>
      <w:r w:rsidRPr="003C3ADF">
        <w:rPr>
          <w:rFonts w:ascii="Arial" w:hAnsi="Arial" w:cs="Arial"/>
          <w:b/>
          <w:bCs/>
          <w:color w:val="000000" w:themeColor="text1"/>
          <w:sz w:val="24"/>
          <w:szCs w:val="24"/>
        </w:rPr>
        <w:tab/>
      </w:r>
      <w:r w:rsidRPr="003C3ADF">
        <w:rPr>
          <w:rFonts w:ascii="Arial" w:hAnsi="Arial" w:cs="Arial"/>
          <w:b/>
          <w:color w:val="000000" w:themeColor="text1"/>
          <w:sz w:val="24"/>
          <w:szCs w:val="24"/>
        </w:rPr>
        <w:t>Imobilizado</w:t>
      </w:r>
    </w:p>
    <w:p w14:paraId="4E65076D"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O grupo do ativo imobilizado é representado pelos ativos tangíveis e está registrado contabilmente pelo custo de aquisição, deduzido de depreciação acumulada. A depreciação </w:t>
      </w:r>
      <w:r>
        <w:rPr>
          <w:rFonts w:ascii="Arial" w:hAnsi="Arial" w:cs="Arial"/>
          <w:color w:val="000000" w:themeColor="text1"/>
          <w:sz w:val="24"/>
          <w:szCs w:val="24"/>
        </w:rPr>
        <w:t>é</w:t>
      </w:r>
      <w:r w:rsidRPr="003C3ADF">
        <w:rPr>
          <w:rFonts w:ascii="Arial" w:hAnsi="Arial" w:cs="Arial"/>
          <w:color w:val="000000" w:themeColor="text1"/>
          <w:sz w:val="24"/>
          <w:szCs w:val="24"/>
        </w:rPr>
        <w:t xml:space="preserve"> calculada pelo método linear com base na vida útil econômica estimada dos bens.</w:t>
      </w:r>
    </w:p>
    <w:p w14:paraId="14DAB857"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As vidas úteis e taxas estimadas dos bens do ativo imobilizado são as seguintes:</w:t>
      </w:r>
    </w:p>
    <w:p w14:paraId="25DEAFFB"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6F1E83">
        <w:rPr>
          <w:noProof/>
        </w:rPr>
        <w:drawing>
          <wp:inline distT="0" distB="0" distL="0" distR="0" wp14:anchorId="7E6889F0" wp14:editId="0B80B49A">
            <wp:extent cx="3724275" cy="6286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628650"/>
                    </a:xfrm>
                    <a:prstGeom prst="rect">
                      <a:avLst/>
                    </a:prstGeom>
                    <a:noFill/>
                    <a:ln>
                      <a:noFill/>
                    </a:ln>
                  </pic:spPr>
                </pic:pic>
              </a:graphicData>
            </a:graphic>
          </wp:inline>
        </w:drawing>
      </w:r>
    </w:p>
    <w:p w14:paraId="6B1209DF"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2E119A1D" w14:textId="77777777" w:rsidR="00B01D6F" w:rsidRDefault="00B01D6F" w:rsidP="00B01D6F">
      <w:pPr>
        <w:widowControl w:val="0"/>
        <w:tabs>
          <w:tab w:val="left" w:pos="851"/>
        </w:tabs>
        <w:autoSpaceDE w:val="0"/>
        <w:autoSpaceDN w:val="0"/>
        <w:adjustRightInd w:val="0"/>
        <w:spacing w:before="140" w:line="288" w:lineRule="auto"/>
        <w:ind w:left="851"/>
        <w:rPr>
          <w:rFonts w:ascii="Arial" w:hAnsi="Arial" w:cs="Arial"/>
          <w:b/>
          <w:bCs/>
          <w:color w:val="000000" w:themeColor="text1"/>
          <w:sz w:val="24"/>
          <w:szCs w:val="24"/>
        </w:rPr>
      </w:pPr>
      <w:r w:rsidRPr="00896BD7">
        <w:rPr>
          <w:rFonts w:ascii="Arial" w:hAnsi="Arial" w:cs="Arial"/>
          <w:b/>
          <w:bCs/>
          <w:color w:val="000000" w:themeColor="text1"/>
          <w:sz w:val="24"/>
          <w:szCs w:val="24"/>
        </w:rPr>
        <w:t>3.2.1.6 Intangível</w:t>
      </w:r>
      <w:r>
        <w:rPr>
          <w:rFonts w:ascii="Arial" w:hAnsi="Arial" w:cs="Arial"/>
          <w:b/>
          <w:bCs/>
          <w:color w:val="000000" w:themeColor="text1"/>
          <w:sz w:val="24"/>
          <w:szCs w:val="24"/>
        </w:rPr>
        <w:tab/>
      </w:r>
    </w:p>
    <w:p w14:paraId="745205CD" w14:textId="77777777" w:rsidR="00B01D6F" w:rsidRPr="00896BD7"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896BD7">
        <w:rPr>
          <w:rFonts w:ascii="Arial" w:hAnsi="Arial" w:cs="Arial"/>
          <w:color w:val="000000" w:themeColor="text1"/>
          <w:sz w:val="24"/>
          <w:szCs w:val="24"/>
        </w:rPr>
        <w:t xml:space="preserve">O grupo do intangível </w:t>
      </w:r>
      <w:r>
        <w:rPr>
          <w:rFonts w:ascii="Arial" w:hAnsi="Arial" w:cs="Arial"/>
          <w:color w:val="000000" w:themeColor="text1"/>
          <w:sz w:val="24"/>
          <w:szCs w:val="24"/>
        </w:rPr>
        <w:t>representa um</w:t>
      </w:r>
      <w:r w:rsidRPr="00896BD7">
        <w:rPr>
          <w:rFonts w:ascii="Arial" w:hAnsi="Arial" w:cs="Arial"/>
          <w:color w:val="000000" w:themeColor="text1"/>
          <w:sz w:val="24"/>
          <w:szCs w:val="24"/>
        </w:rPr>
        <w:t xml:space="preserve"> desmembramento do </w:t>
      </w:r>
      <w:r>
        <w:rPr>
          <w:rFonts w:ascii="Arial" w:hAnsi="Arial" w:cs="Arial"/>
          <w:color w:val="000000" w:themeColor="text1"/>
          <w:sz w:val="24"/>
          <w:szCs w:val="24"/>
        </w:rPr>
        <w:t xml:space="preserve">ativo </w:t>
      </w:r>
      <w:r w:rsidRPr="00896BD7">
        <w:rPr>
          <w:rFonts w:ascii="Arial" w:hAnsi="Arial" w:cs="Arial"/>
          <w:color w:val="000000" w:themeColor="text1"/>
          <w:sz w:val="24"/>
          <w:szCs w:val="24"/>
        </w:rPr>
        <w:t>imobilizado</w:t>
      </w:r>
      <w:r>
        <w:rPr>
          <w:rFonts w:ascii="Arial" w:hAnsi="Arial" w:cs="Arial"/>
          <w:color w:val="000000" w:themeColor="text1"/>
          <w:sz w:val="24"/>
          <w:szCs w:val="24"/>
        </w:rPr>
        <w:t>;</w:t>
      </w:r>
      <w:r w:rsidRPr="00896BD7">
        <w:rPr>
          <w:rFonts w:ascii="Arial" w:hAnsi="Arial" w:cs="Arial"/>
          <w:color w:val="000000" w:themeColor="text1"/>
          <w:sz w:val="24"/>
          <w:szCs w:val="24"/>
        </w:rPr>
        <w:t xml:space="preserve"> </w:t>
      </w:r>
      <w:r>
        <w:rPr>
          <w:rFonts w:ascii="Arial" w:hAnsi="Arial" w:cs="Arial"/>
          <w:color w:val="000000" w:themeColor="text1"/>
          <w:sz w:val="24"/>
          <w:szCs w:val="24"/>
        </w:rPr>
        <w:t>representa os direitos que tenham por objeto bens corpóreos destinados à manutenção da companhia ou exercidos com essa finalidade, sendo contabilizado pelo custo de aquisição, deduzido pela amortização acumulada de acordo com o pronunciamento técnico contábil CPC 04.</w:t>
      </w:r>
    </w:p>
    <w:p w14:paraId="09B57D51" w14:textId="77777777" w:rsidR="00B01D6F" w:rsidRPr="00896BD7" w:rsidRDefault="00B01D6F" w:rsidP="00B01D6F">
      <w:pPr>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p>
    <w:p w14:paraId="12953903"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bCs/>
          <w:color w:val="000000" w:themeColor="text1"/>
          <w:sz w:val="24"/>
          <w:szCs w:val="24"/>
        </w:rPr>
        <w:t>3.2.1.</w:t>
      </w:r>
      <w:r>
        <w:rPr>
          <w:rFonts w:ascii="Arial" w:hAnsi="Arial" w:cs="Arial"/>
          <w:b/>
          <w:bCs/>
          <w:color w:val="000000" w:themeColor="text1"/>
          <w:sz w:val="24"/>
          <w:szCs w:val="24"/>
        </w:rPr>
        <w:t>7</w:t>
      </w:r>
      <w:r w:rsidRPr="003C3ADF">
        <w:rPr>
          <w:rFonts w:ascii="Arial" w:hAnsi="Arial" w:cs="Arial"/>
          <w:b/>
          <w:bCs/>
          <w:color w:val="000000" w:themeColor="text1"/>
          <w:sz w:val="24"/>
          <w:szCs w:val="24"/>
        </w:rPr>
        <w:tab/>
      </w:r>
      <w:r w:rsidRPr="003C3ADF">
        <w:rPr>
          <w:rFonts w:ascii="Arial" w:hAnsi="Arial" w:cs="Arial"/>
          <w:b/>
          <w:color w:val="000000" w:themeColor="text1"/>
          <w:sz w:val="24"/>
          <w:szCs w:val="24"/>
        </w:rPr>
        <w:t>Redução ao valor recuperável de ativos não financeiros</w:t>
      </w:r>
    </w:p>
    <w:p w14:paraId="01B8DE7E"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Os ativos sujeitos a depreciação e amortização são revisados para a verificação de redução ao valor recuperável sempre que eventos ou mudanças nas </w:t>
      </w:r>
      <w:proofErr w:type="gramStart"/>
      <w:r w:rsidRPr="003C3ADF">
        <w:rPr>
          <w:rFonts w:ascii="Arial" w:hAnsi="Arial" w:cs="Arial"/>
          <w:color w:val="000000" w:themeColor="text1"/>
          <w:sz w:val="24"/>
          <w:szCs w:val="24"/>
        </w:rPr>
        <w:t>circunstancias</w:t>
      </w:r>
      <w:proofErr w:type="gramEnd"/>
      <w:r w:rsidRPr="003C3ADF">
        <w:rPr>
          <w:rFonts w:ascii="Arial" w:hAnsi="Arial" w:cs="Arial"/>
          <w:color w:val="000000" w:themeColor="text1"/>
          <w:sz w:val="24"/>
          <w:szCs w:val="24"/>
        </w:rPr>
        <w:t xml:space="preserve"> indicarem que o valor contábil pode não ser recuperável. Uma perda ou</w:t>
      </w:r>
      <w:r>
        <w:rPr>
          <w:rFonts w:ascii="Arial" w:hAnsi="Arial" w:cs="Arial"/>
          <w:color w:val="000000" w:themeColor="text1"/>
          <w:sz w:val="24"/>
          <w:szCs w:val="24"/>
        </w:rPr>
        <w:t xml:space="preserve"> redução ao valor recuperável é </w:t>
      </w:r>
      <w:r w:rsidRPr="003C3ADF">
        <w:rPr>
          <w:rFonts w:ascii="Arial" w:hAnsi="Arial" w:cs="Arial"/>
          <w:color w:val="000000" w:themeColor="text1"/>
          <w:sz w:val="24"/>
          <w:szCs w:val="24"/>
        </w:rPr>
        <w:t xml:space="preserve">reconhecida quando o valor contábil do ativo excede seu valor </w:t>
      </w:r>
      <w:r w:rsidRPr="003C3ADF">
        <w:rPr>
          <w:rFonts w:ascii="Arial" w:hAnsi="Arial" w:cs="Arial"/>
          <w:color w:val="000000" w:themeColor="text1"/>
          <w:sz w:val="24"/>
          <w:szCs w:val="24"/>
        </w:rPr>
        <w:lastRenderedPageBreak/>
        <w:t>recuperável. Este último</w:t>
      </w:r>
      <w:r>
        <w:rPr>
          <w:rFonts w:ascii="Arial" w:hAnsi="Arial" w:cs="Arial"/>
          <w:color w:val="000000" w:themeColor="text1"/>
          <w:sz w:val="24"/>
          <w:szCs w:val="24"/>
        </w:rPr>
        <w:t xml:space="preserve"> é</w:t>
      </w:r>
      <w:r w:rsidRPr="003C3ADF">
        <w:rPr>
          <w:rFonts w:ascii="Arial" w:hAnsi="Arial" w:cs="Arial"/>
          <w:color w:val="000000" w:themeColor="text1"/>
          <w:sz w:val="24"/>
          <w:szCs w:val="24"/>
        </w:rPr>
        <w:t xml:space="preserve"> o valor mais alto entre o valor justo de um ativo menos os custos de venda e o valor em uso. Não houve indicativos de </w:t>
      </w:r>
      <w:proofErr w:type="gramStart"/>
      <w:r w:rsidRPr="003C3ADF">
        <w:rPr>
          <w:rFonts w:ascii="Arial" w:hAnsi="Arial" w:cs="Arial"/>
          <w:color w:val="000000" w:themeColor="text1"/>
          <w:sz w:val="24"/>
          <w:szCs w:val="24"/>
        </w:rPr>
        <w:t>evidencia</w:t>
      </w:r>
      <w:proofErr w:type="gramEnd"/>
      <w:r w:rsidRPr="003C3ADF">
        <w:rPr>
          <w:rFonts w:ascii="Arial" w:hAnsi="Arial" w:cs="Arial"/>
          <w:color w:val="000000" w:themeColor="text1"/>
          <w:sz w:val="24"/>
          <w:szCs w:val="24"/>
        </w:rPr>
        <w:t xml:space="preserve"> de redução ao valor recuperável dos ativos não financeiros. </w:t>
      </w:r>
    </w:p>
    <w:p w14:paraId="2C3C364E"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1CFC2076"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bCs/>
          <w:color w:val="000000" w:themeColor="text1"/>
          <w:sz w:val="24"/>
          <w:szCs w:val="24"/>
        </w:rPr>
        <w:t>3.2.1.</w:t>
      </w:r>
      <w:r>
        <w:rPr>
          <w:rFonts w:ascii="Arial" w:hAnsi="Arial" w:cs="Arial"/>
          <w:b/>
          <w:bCs/>
          <w:color w:val="000000" w:themeColor="text1"/>
          <w:sz w:val="24"/>
          <w:szCs w:val="24"/>
        </w:rPr>
        <w:t>8</w:t>
      </w:r>
      <w:r w:rsidRPr="003C3ADF">
        <w:rPr>
          <w:rFonts w:ascii="Arial" w:hAnsi="Arial" w:cs="Arial"/>
          <w:b/>
          <w:bCs/>
          <w:color w:val="000000" w:themeColor="text1"/>
          <w:sz w:val="24"/>
          <w:szCs w:val="24"/>
        </w:rPr>
        <w:tab/>
      </w:r>
      <w:r w:rsidRPr="003C3ADF">
        <w:rPr>
          <w:rFonts w:ascii="Arial" w:hAnsi="Arial" w:cs="Arial"/>
          <w:b/>
          <w:color w:val="000000" w:themeColor="text1"/>
          <w:sz w:val="24"/>
          <w:szCs w:val="24"/>
        </w:rPr>
        <w:t>Provisões</w:t>
      </w:r>
    </w:p>
    <w:p w14:paraId="0F761C59"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Uma provisão é reconhecida em função de um evento passado, se a Companhia tem uma obrigação legal ou construtiva que possa ser estimada de maneira confiável, e é provável que um recurso econômico seja exigido para liquidar a obrigação. As provisões são constituídas tendo como base nas melhores estimativas disponíveis. </w:t>
      </w:r>
    </w:p>
    <w:p w14:paraId="412A2EC4"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Quando for provável que uma obrigação exista na data do balanço a SPDA reconhece uma provisão e quando não for provável que uma obrigação presente exista na data do balanço a SPDA divulga a </w:t>
      </w:r>
      <w:proofErr w:type="gramStart"/>
      <w:r w:rsidRPr="003C3ADF">
        <w:rPr>
          <w:rFonts w:ascii="Arial" w:hAnsi="Arial" w:cs="Arial"/>
          <w:color w:val="000000" w:themeColor="text1"/>
          <w:sz w:val="24"/>
          <w:szCs w:val="24"/>
        </w:rPr>
        <w:t>contingencia</w:t>
      </w:r>
      <w:proofErr w:type="gramEnd"/>
      <w:r w:rsidRPr="003C3ADF">
        <w:rPr>
          <w:rFonts w:ascii="Arial" w:hAnsi="Arial" w:cs="Arial"/>
          <w:color w:val="000000" w:themeColor="text1"/>
          <w:sz w:val="24"/>
          <w:szCs w:val="24"/>
        </w:rPr>
        <w:t xml:space="preserve"> passiva, a menos que seja remota a possibilidade de saída de recursos.</w:t>
      </w:r>
    </w:p>
    <w:p w14:paraId="0A50E408"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5C48BDAD"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bCs/>
          <w:color w:val="000000" w:themeColor="text1"/>
          <w:sz w:val="24"/>
          <w:szCs w:val="24"/>
        </w:rPr>
        <w:t>3.2.1.</w:t>
      </w:r>
      <w:r>
        <w:rPr>
          <w:rFonts w:ascii="Arial" w:hAnsi="Arial" w:cs="Arial"/>
          <w:b/>
          <w:bCs/>
          <w:color w:val="000000" w:themeColor="text1"/>
          <w:sz w:val="24"/>
          <w:szCs w:val="24"/>
        </w:rPr>
        <w:t>9</w:t>
      </w:r>
      <w:r w:rsidRPr="003C3ADF">
        <w:rPr>
          <w:rFonts w:ascii="Arial" w:hAnsi="Arial" w:cs="Arial"/>
          <w:b/>
          <w:bCs/>
          <w:color w:val="000000" w:themeColor="text1"/>
          <w:sz w:val="24"/>
          <w:szCs w:val="24"/>
        </w:rPr>
        <w:tab/>
      </w:r>
      <w:r w:rsidRPr="003C3ADF">
        <w:rPr>
          <w:rFonts w:ascii="Arial" w:hAnsi="Arial" w:cs="Arial"/>
          <w:b/>
          <w:color w:val="000000" w:themeColor="text1"/>
          <w:sz w:val="24"/>
          <w:szCs w:val="24"/>
        </w:rPr>
        <w:t>Impostos e contribuições correntes e diferidos</w:t>
      </w:r>
    </w:p>
    <w:p w14:paraId="6DA18D95" w14:textId="77777777" w:rsidR="00B01D6F" w:rsidRPr="003C3ADF" w:rsidRDefault="00B01D6F" w:rsidP="00B01D6F">
      <w:pPr>
        <w:widowControl w:val="0"/>
        <w:tabs>
          <w:tab w:val="left" w:pos="1276"/>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color w:val="000000" w:themeColor="text1"/>
          <w:sz w:val="24"/>
          <w:szCs w:val="24"/>
        </w:rPr>
        <w:t>a)</w:t>
      </w:r>
      <w:r w:rsidRPr="003C3ADF">
        <w:rPr>
          <w:rFonts w:ascii="Arial" w:hAnsi="Arial" w:cs="Arial"/>
          <w:b/>
          <w:color w:val="000000" w:themeColor="text1"/>
          <w:sz w:val="24"/>
          <w:szCs w:val="24"/>
        </w:rPr>
        <w:tab/>
        <w:t>Correntes</w:t>
      </w:r>
    </w:p>
    <w:p w14:paraId="69C17102"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O imposto de renda foi apurado com base na alíquota de 15%, acrescido de adicional de 10% e a contribuição social com base na alíquota de 9%, ambas aplicáveis ao lucro tributável, e consideram a compensação de prejuízos fiscais e base negativa da contribuição social, limitada a 30% do lucro real.</w:t>
      </w:r>
    </w:p>
    <w:p w14:paraId="3D193883"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 despesa com imposto de renda e contribuição social compreende os impostos e contribuições sobre a renda correntes e diferidos, quando aplicável. Os impostos correntes são reconhecidos no resultado.</w:t>
      </w:r>
    </w:p>
    <w:p w14:paraId="0B99CAD1" w14:textId="77777777" w:rsidR="00B01D6F" w:rsidRPr="003C3ADF" w:rsidRDefault="00B01D6F" w:rsidP="00B01D6F">
      <w:pPr>
        <w:pStyle w:val="PargrafodaLista"/>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A contribuição ao PIS é calculada com a alíquota de 0,65% e a contribuição à COFINS com a alíquota de 4%, conforme estabelecido no Decreto nº 8.426, de 1º de abril de 2015, aplicadas sobre uma base de cálculo constituída sobre as receitas financeiras auferidas mensalmente.</w:t>
      </w:r>
    </w:p>
    <w:p w14:paraId="26066382" w14:textId="77777777" w:rsidR="00B01D6F" w:rsidRPr="003C3ADF" w:rsidRDefault="00B01D6F" w:rsidP="00B01D6F">
      <w:pPr>
        <w:pStyle w:val="PargrafodaLista"/>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 xml:space="preserve">Para receitas operacionais de natureza não financeira as alíquotas são de 1,65% para PIS e 7,6% para COFINS, segundo a legislação vigente, podendo creditar os custos e despesas utilizados como insumos na sua </w:t>
      </w:r>
      <w:r w:rsidRPr="003C3ADF">
        <w:rPr>
          <w:rFonts w:ascii="Arial" w:hAnsi="Arial" w:cs="Arial"/>
          <w:color w:val="000000" w:themeColor="text1"/>
          <w:sz w:val="24"/>
          <w:szCs w:val="24"/>
          <w:lang w:val="pt"/>
        </w:rPr>
        <w:lastRenderedPageBreak/>
        <w:t xml:space="preserve">realização. </w:t>
      </w:r>
    </w:p>
    <w:p w14:paraId="5E2432D0"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Os impostos e contribuições a recuperar oriundos de pagamentos a maior de exercícios anteriores e de estimativa recolhidas/compensadas no </w:t>
      </w:r>
      <w:r>
        <w:rPr>
          <w:rFonts w:ascii="Arial" w:hAnsi="Arial" w:cs="Arial"/>
          <w:color w:val="000000" w:themeColor="text1"/>
          <w:sz w:val="24"/>
          <w:szCs w:val="24"/>
        </w:rPr>
        <w:t>exercício acumulado em 31 de dezembro de 2020</w:t>
      </w:r>
      <w:r w:rsidRPr="003C3ADF">
        <w:rPr>
          <w:rFonts w:ascii="Arial" w:hAnsi="Arial" w:cs="Arial"/>
          <w:color w:val="000000" w:themeColor="text1"/>
          <w:sz w:val="24"/>
          <w:szCs w:val="24"/>
        </w:rPr>
        <w:t xml:space="preserve"> foram reconhecidos contabilmente com base no direito sobre esses créditos mensurados ao valor recuperável esperado ou pago para o ente tributante.</w:t>
      </w:r>
    </w:p>
    <w:p w14:paraId="2DBE456F"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 provisão </w:t>
      </w:r>
      <w:r>
        <w:rPr>
          <w:rFonts w:ascii="Arial" w:hAnsi="Arial" w:cs="Arial"/>
          <w:color w:val="000000" w:themeColor="text1"/>
          <w:sz w:val="24"/>
          <w:szCs w:val="24"/>
        </w:rPr>
        <w:t>é</w:t>
      </w:r>
      <w:r w:rsidRPr="003C3ADF">
        <w:rPr>
          <w:rFonts w:ascii="Arial" w:hAnsi="Arial" w:cs="Arial"/>
          <w:color w:val="000000" w:themeColor="text1"/>
          <w:sz w:val="24"/>
          <w:szCs w:val="24"/>
        </w:rPr>
        <w:t xml:space="preserve"> ajustada periodicamente e leva em consideração além do potencial de realização o fato dos respectivos impostos e contribuições contarem ou não com pedidos de restituição/compensação e/ou revisão do órgão regulador com relação à apuração desses valores.</w:t>
      </w:r>
    </w:p>
    <w:p w14:paraId="777A6E11"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Os créditos são corrigidos pela taxa SELIC conforme disposto no artigo 39 </w:t>
      </w:r>
      <w:r>
        <w:rPr>
          <w:rFonts w:ascii="Arial" w:hAnsi="Arial" w:cs="Arial"/>
          <w:color w:val="000000" w:themeColor="text1"/>
          <w:sz w:val="24"/>
          <w:szCs w:val="24"/>
        </w:rPr>
        <w:t xml:space="preserve">§ 4º </w:t>
      </w:r>
      <w:r w:rsidRPr="003C3ADF">
        <w:rPr>
          <w:rFonts w:ascii="Arial" w:hAnsi="Arial" w:cs="Arial"/>
          <w:color w:val="000000" w:themeColor="text1"/>
          <w:sz w:val="24"/>
          <w:szCs w:val="24"/>
        </w:rPr>
        <w:t>da Lei nº 9.250/1995 e vem sendo utilizados em compensações no pagamento de tributos.</w:t>
      </w:r>
    </w:p>
    <w:p w14:paraId="2EDD6B9A"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7F75BC4C" w14:textId="77777777" w:rsidR="00B01D6F" w:rsidRPr="003C3ADF" w:rsidRDefault="00B01D6F" w:rsidP="00B01D6F">
      <w:pPr>
        <w:widowControl w:val="0"/>
        <w:tabs>
          <w:tab w:val="left" w:pos="1276"/>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color w:val="000000" w:themeColor="text1"/>
          <w:sz w:val="24"/>
          <w:szCs w:val="24"/>
        </w:rPr>
        <w:t>b)</w:t>
      </w:r>
      <w:r w:rsidRPr="003C3ADF">
        <w:rPr>
          <w:rFonts w:ascii="Arial" w:hAnsi="Arial" w:cs="Arial"/>
          <w:b/>
          <w:color w:val="000000" w:themeColor="text1"/>
          <w:sz w:val="24"/>
          <w:szCs w:val="24"/>
        </w:rPr>
        <w:tab/>
        <w:t>Diferidos</w:t>
      </w:r>
    </w:p>
    <w:p w14:paraId="62C5A924"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O IRPJ e CSLL diferidos foram calculados sobre as diferenças entre os saldos dos ativos e passivos das demonstrações financeiras e as correspondentes bases fiscais utilizadas no cálculo do IRPJ e CSLL correntes. O IRPJ e a CSLL diferidos são reconhecidos no montante provável em que os lucros tributáveis futuros serão suficientes para deduzir todas as diferenças temporárias, os prejuízos fiscais do IRPJ e bases negativas de CSLL.</w:t>
      </w:r>
    </w:p>
    <w:p w14:paraId="53F6BBE5"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3B9316A9" w14:textId="77777777" w:rsidR="00B01D6F" w:rsidRPr="003C3ADF" w:rsidRDefault="00B01D6F" w:rsidP="00B01D6F">
      <w:pPr>
        <w:widowControl w:val="0"/>
        <w:tabs>
          <w:tab w:val="left" w:pos="851"/>
        </w:tabs>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bCs/>
          <w:color w:val="000000" w:themeColor="text1"/>
          <w:sz w:val="24"/>
          <w:szCs w:val="24"/>
        </w:rPr>
        <w:t>3.2.1.</w:t>
      </w:r>
      <w:r>
        <w:rPr>
          <w:rFonts w:ascii="Arial" w:hAnsi="Arial" w:cs="Arial"/>
          <w:b/>
          <w:bCs/>
          <w:color w:val="000000" w:themeColor="text1"/>
          <w:sz w:val="24"/>
          <w:szCs w:val="24"/>
        </w:rPr>
        <w:t>10</w:t>
      </w:r>
      <w:r w:rsidRPr="003C3ADF">
        <w:rPr>
          <w:rFonts w:ascii="Arial" w:hAnsi="Arial" w:cs="Arial"/>
          <w:b/>
          <w:bCs/>
          <w:color w:val="000000" w:themeColor="text1"/>
          <w:sz w:val="24"/>
          <w:szCs w:val="24"/>
        </w:rPr>
        <w:tab/>
      </w:r>
      <w:r w:rsidRPr="003C3ADF">
        <w:rPr>
          <w:rFonts w:ascii="Arial" w:hAnsi="Arial" w:cs="Arial"/>
          <w:b/>
          <w:color w:val="000000" w:themeColor="text1"/>
          <w:sz w:val="24"/>
          <w:szCs w:val="24"/>
        </w:rPr>
        <w:t>Outros ativos e passivos</w:t>
      </w:r>
    </w:p>
    <w:p w14:paraId="14D91C67"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Os ativos estão demonstrados pelos valores de realização, incluindo, quando aplicável, os rendimentos e as variações monetárias auferidas (em base </w:t>
      </w:r>
      <w:proofErr w:type="spellStart"/>
      <w:r w:rsidRPr="003C3ADF">
        <w:rPr>
          <w:rFonts w:ascii="Arial" w:hAnsi="Arial" w:cs="Arial"/>
          <w:color w:val="000000" w:themeColor="text1"/>
          <w:sz w:val="24"/>
          <w:szCs w:val="24"/>
        </w:rPr>
        <w:t>pro-rata</w:t>
      </w:r>
      <w:proofErr w:type="spellEnd"/>
      <w:r w:rsidRPr="003C3ADF">
        <w:rPr>
          <w:rFonts w:ascii="Arial" w:hAnsi="Arial" w:cs="Arial"/>
          <w:color w:val="000000" w:themeColor="text1"/>
          <w:sz w:val="24"/>
          <w:szCs w:val="24"/>
        </w:rPr>
        <w:t xml:space="preserve"> die) e provisão para perda, quando julgada necessária. Os passivos demonstrados incluem valores conhecidos e mensuráveis, acrescido dos encargos e das variações monetárias incorridas até as datas dos balanços. </w:t>
      </w:r>
    </w:p>
    <w:p w14:paraId="68234813"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2C90E4A2" w14:textId="77777777" w:rsidR="00B01D6F" w:rsidRPr="00026C9C" w:rsidRDefault="00B01D6F" w:rsidP="00B01D6F">
      <w:pPr>
        <w:pStyle w:val="PargrafodaLista"/>
        <w:widowControl w:val="0"/>
        <w:numPr>
          <w:ilvl w:val="0"/>
          <w:numId w:val="2"/>
        </w:numPr>
        <w:tabs>
          <w:tab w:val="left" w:pos="851"/>
        </w:tabs>
        <w:autoSpaceDE w:val="0"/>
        <w:autoSpaceDN w:val="0"/>
        <w:adjustRightInd w:val="0"/>
        <w:spacing w:before="140" w:line="288" w:lineRule="auto"/>
        <w:ind w:left="851"/>
        <w:rPr>
          <w:rFonts w:ascii="Arial" w:hAnsi="Arial" w:cs="Arial"/>
          <w:b/>
          <w:bCs/>
          <w:color w:val="000000" w:themeColor="text1"/>
          <w:sz w:val="24"/>
          <w:szCs w:val="24"/>
          <w:u w:val="single"/>
        </w:rPr>
      </w:pPr>
      <w:r>
        <w:rPr>
          <w:rFonts w:ascii="Arial" w:hAnsi="Arial" w:cs="Arial"/>
          <w:b/>
          <w:bCs/>
          <w:color w:val="000000" w:themeColor="text1"/>
          <w:sz w:val="24"/>
          <w:szCs w:val="24"/>
        </w:rPr>
        <w:t xml:space="preserve">        </w:t>
      </w:r>
      <w:r w:rsidRPr="00026C9C">
        <w:rPr>
          <w:rFonts w:ascii="Arial" w:hAnsi="Arial" w:cs="Arial"/>
          <w:b/>
          <w:bCs/>
          <w:color w:val="000000" w:themeColor="text1"/>
          <w:sz w:val="24"/>
          <w:szCs w:val="24"/>
          <w:u w:val="single"/>
        </w:rPr>
        <w:t>IMPACTOS FINANCEIROS – COVID 19</w:t>
      </w:r>
    </w:p>
    <w:p w14:paraId="4D9FEBA0" w14:textId="77777777" w:rsidR="00B01D6F" w:rsidRPr="00026C9C"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026C9C">
        <w:rPr>
          <w:rFonts w:ascii="Arial" w:hAnsi="Arial" w:cs="Arial"/>
          <w:color w:val="000000" w:themeColor="text1"/>
          <w:sz w:val="24"/>
          <w:szCs w:val="24"/>
        </w:rPr>
        <w:t xml:space="preserve">Os efeitos econômicos decorrentes da propagação do Coronavírus </w:t>
      </w:r>
      <w:r w:rsidRPr="00026C9C">
        <w:rPr>
          <w:rFonts w:ascii="Arial" w:hAnsi="Arial" w:cs="Arial"/>
          <w:color w:val="000000" w:themeColor="text1"/>
          <w:sz w:val="24"/>
          <w:szCs w:val="24"/>
        </w:rPr>
        <w:lastRenderedPageBreak/>
        <w:t xml:space="preserve">(COVID-19) e das medidas governamentais tomadas para evitá-la foram percebidos a partir das oscilações derivadas substancialmente da variação da taxa SELIC. As expectativas da Companhia, dada sua estrutura conservadora de ativos, é de recuperação das perdas financeiras tão logo a pandemia esteja controlada. </w:t>
      </w:r>
    </w:p>
    <w:p w14:paraId="0B1F2BA0"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45D94C14" w14:textId="77777777" w:rsidR="00B01D6F" w:rsidRPr="003C3ADF"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b/>
          <w:color w:val="000000" w:themeColor="text1"/>
          <w:sz w:val="24"/>
          <w:szCs w:val="24"/>
          <w:u w:val="single"/>
        </w:rPr>
      </w:pPr>
      <w:r w:rsidRPr="003C3ADF">
        <w:rPr>
          <w:rFonts w:ascii="Arial" w:hAnsi="Arial" w:cs="Arial"/>
          <w:b/>
          <w:color w:val="000000" w:themeColor="text1"/>
          <w:sz w:val="24"/>
          <w:szCs w:val="24"/>
          <w:u w:val="single"/>
        </w:rPr>
        <w:t>CAIXA E EQUIVALENTES DE CAIXA</w:t>
      </w:r>
    </w:p>
    <w:p w14:paraId="3C486286" w14:textId="77777777" w:rsidR="00B01D6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 composição do saldo é a seguinte:</w:t>
      </w:r>
    </w:p>
    <w:p w14:paraId="3FF87E8E" w14:textId="77777777" w:rsidR="00B01D6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rPr>
      </w:pPr>
      <w:r w:rsidRPr="00BA3AB6">
        <w:rPr>
          <w:noProof/>
        </w:rPr>
        <w:drawing>
          <wp:inline distT="0" distB="0" distL="0" distR="0" wp14:anchorId="639D2786" wp14:editId="1F0226A2">
            <wp:extent cx="5667375" cy="6667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375" cy="666750"/>
                    </a:xfrm>
                    <a:prstGeom prst="rect">
                      <a:avLst/>
                    </a:prstGeom>
                    <a:noFill/>
                    <a:ln>
                      <a:noFill/>
                    </a:ln>
                  </pic:spPr>
                </pic:pic>
              </a:graphicData>
            </a:graphic>
          </wp:inline>
        </w:drawing>
      </w:r>
    </w:p>
    <w:p w14:paraId="3B1BD930"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b/>
          <w:color w:val="000000" w:themeColor="text1"/>
          <w:sz w:val="24"/>
          <w:szCs w:val="24"/>
        </w:rPr>
        <w:t xml:space="preserve">Caixa: </w:t>
      </w:r>
      <w:r w:rsidRPr="003C3ADF">
        <w:rPr>
          <w:rFonts w:ascii="Arial" w:hAnsi="Arial" w:cs="Arial"/>
          <w:color w:val="000000" w:themeColor="text1"/>
          <w:sz w:val="24"/>
          <w:szCs w:val="24"/>
        </w:rPr>
        <w:t>Abrangem saldos do fundo fixo de caixa em espécie.</w:t>
      </w:r>
    </w:p>
    <w:p w14:paraId="3667EAD8"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b/>
          <w:color w:val="000000" w:themeColor="text1"/>
          <w:sz w:val="24"/>
          <w:szCs w:val="24"/>
        </w:rPr>
        <w:t xml:space="preserve">Aplicações Financeiras: </w:t>
      </w:r>
      <w:r w:rsidRPr="003C3ADF">
        <w:rPr>
          <w:rFonts w:ascii="Arial" w:hAnsi="Arial" w:cs="Arial"/>
          <w:color w:val="000000" w:themeColor="text1"/>
          <w:sz w:val="24"/>
          <w:szCs w:val="24"/>
        </w:rPr>
        <w:t>Referem-se ao valor das cotas do Fundo de Investimento BB Milênio 32 FI RF, administrado pela BB Gestão de Recursos – DTVM S.A.</w:t>
      </w:r>
    </w:p>
    <w:p w14:paraId="4BA9233B" w14:textId="77777777" w:rsidR="00B01D6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Esses ativos possuem classificação nível 1 de hierarquia de valor justo.</w:t>
      </w:r>
    </w:p>
    <w:p w14:paraId="32B96234" w14:textId="77777777" w:rsidR="00B01D6F" w:rsidRPr="003C3ADF" w:rsidRDefault="00B01D6F" w:rsidP="00B01D6F">
      <w:pPr>
        <w:widowControl w:val="0"/>
        <w:autoSpaceDE w:val="0"/>
        <w:autoSpaceDN w:val="0"/>
        <w:adjustRightInd w:val="0"/>
        <w:spacing w:before="140" w:line="288" w:lineRule="auto"/>
        <w:ind w:left="851"/>
        <w:rPr>
          <w:rFonts w:ascii="Arial" w:hAnsi="Arial" w:cs="Arial"/>
          <w:color w:val="000000" w:themeColor="text1"/>
          <w:sz w:val="24"/>
          <w:szCs w:val="24"/>
        </w:rPr>
      </w:pPr>
    </w:p>
    <w:p w14:paraId="0CF94195" w14:textId="77777777" w:rsidR="00B01D6F" w:rsidRPr="00DB6A6D" w:rsidRDefault="00B01D6F" w:rsidP="00B01D6F">
      <w:pPr>
        <w:pStyle w:val="PargrafodaLista"/>
        <w:keepNext/>
        <w:widowControl w:val="0"/>
        <w:numPr>
          <w:ilvl w:val="0"/>
          <w:numId w:val="2"/>
        </w:numPr>
        <w:tabs>
          <w:tab w:val="left" w:pos="851"/>
        </w:tabs>
        <w:autoSpaceDE w:val="0"/>
        <w:autoSpaceDN w:val="0"/>
        <w:adjustRightInd w:val="0"/>
        <w:spacing w:before="140" w:line="288" w:lineRule="auto"/>
        <w:ind w:left="851" w:hanging="851"/>
        <w:rPr>
          <w:rFonts w:ascii="Arial" w:hAnsi="Arial"/>
          <w:color w:val="000000" w:themeColor="text1"/>
          <w:sz w:val="24"/>
        </w:rPr>
      </w:pPr>
      <w:r w:rsidRPr="00F45052">
        <w:rPr>
          <w:rFonts w:ascii="Arial" w:hAnsi="Arial" w:cs="Arial"/>
          <w:b/>
          <w:color w:val="000000" w:themeColor="text1"/>
          <w:sz w:val="24"/>
          <w:szCs w:val="24"/>
          <w:u w:val="single"/>
        </w:rPr>
        <w:t>CRÉDITOS A RECEBER</w:t>
      </w:r>
    </w:p>
    <w:p w14:paraId="515598B1" w14:textId="77777777" w:rsidR="00B01D6F" w:rsidRPr="003C3AD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No dia 29 de março de 2016 foi assinado o Contrato de Cessão de Crédito e Outras Avenças entre a Prefeitura do Município de São Paulo – PMSP, a Companhia São Paulo de Desenvolvimento e Mobilização de Ativos – SPDA e Companhia Metropolitana de Habitação de São Paulo – COHAB, que teve por objeto a cessão, pela Prefeitura para a SPDA, da Carteira de Crédito Imobiliário - CCI oriunda de financiamentos imobiliários concedidos pela COHAB.</w:t>
      </w:r>
    </w:p>
    <w:p w14:paraId="5BCF948B"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No mencionado contrato ficou estabelecido que toda vez que um mutuário da CCI realizasse um evento de amortização extraordinária ou liquidação antecipada em relação a seu crédito, ou fosse </w:t>
      </w:r>
      <w:proofErr w:type="spellStart"/>
      <w:r w:rsidRPr="003C3ADF">
        <w:rPr>
          <w:rFonts w:ascii="Arial" w:hAnsi="Arial" w:cs="Arial"/>
          <w:color w:val="000000" w:themeColor="text1"/>
          <w:sz w:val="24"/>
          <w:szCs w:val="24"/>
        </w:rPr>
        <w:t>paga</w:t>
      </w:r>
      <w:proofErr w:type="spellEnd"/>
      <w:r w:rsidRPr="003C3ADF">
        <w:rPr>
          <w:rFonts w:ascii="Arial" w:hAnsi="Arial" w:cs="Arial"/>
          <w:color w:val="000000" w:themeColor="text1"/>
          <w:sz w:val="24"/>
          <w:szCs w:val="24"/>
        </w:rPr>
        <w:t xml:space="preserve"> uma indenização securitária em relação ao imóvel objeto do financiamento, com relação aos créditos cedidos à SPDA, esta deveria repassar para a Caixa Econômica Federal – CEF os valores recebidos. Nos termos do referido Contrato, ainda, ficou estabelecido que os valores repassados para a CEF fossem reembolsados pela PMSP à Companhia preferencialmente </w:t>
      </w:r>
      <w:r>
        <w:rPr>
          <w:rFonts w:ascii="Arial" w:hAnsi="Arial" w:cs="Arial"/>
          <w:color w:val="000000" w:themeColor="text1"/>
          <w:sz w:val="24"/>
          <w:szCs w:val="24"/>
        </w:rPr>
        <w:t>c</w:t>
      </w:r>
      <w:r w:rsidRPr="003C3ADF">
        <w:rPr>
          <w:rFonts w:ascii="Arial" w:hAnsi="Arial" w:cs="Arial"/>
          <w:color w:val="000000" w:themeColor="text1"/>
          <w:sz w:val="24"/>
          <w:szCs w:val="24"/>
        </w:rPr>
        <w:t xml:space="preserve">om a compensação de eventuais créditos que a </w:t>
      </w:r>
      <w:r w:rsidRPr="003C3ADF">
        <w:rPr>
          <w:rFonts w:ascii="Arial" w:hAnsi="Arial" w:cs="Arial"/>
          <w:color w:val="000000" w:themeColor="text1"/>
          <w:sz w:val="24"/>
          <w:szCs w:val="24"/>
        </w:rPr>
        <w:lastRenderedPageBreak/>
        <w:t>PMSP detivesse contra a SPDA, especialmente os relativos a adiantamentos para futuro aumento de capital ou dividendo.</w:t>
      </w:r>
    </w:p>
    <w:p w14:paraId="458274F5"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Inobstante o fato </w:t>
      </w:r>
      <w:proofErr w:type="gramStart"/>
      <w:r>
        <w:rPr>
          <w:rFonts w:ascii="Arial" w:hAnsi="Arial" w:cs="Arial"/>
          <w:color w:val="000000" w:themeColor="text1"/>
          <w:sz w:val="24"/>
          <w:szCs w:val="24"/>
        </w:rPr>
        <w:t>da</w:t>
      </w:r>
      <w:proofErr w:type="gramEnd"/>
      <w:r>
        <w:rPr>
          <w:rFonts w:ascii="Arial" w:hAnsi="Arial" w:cs="Arial"/>
          <w:color w:val="000000" w:themeColor="text1"/>
          <w:sz w:val="24"/>
          <w:szCs w:val="24"/>
        </w:rPr>
        <w:t xml:space="preserve"> CCI ter sido integralizada pela Companhia no SPDA Habitação Fundo de Investimento em Direitos Creditórios Não Padronizados (“FIDC”), a SPDA, por força do mesmo Contrato, ainda é obrigada a fazer os referidos repasses à CEF, para os quais deverá pedir reembolso à PMSP.</w:t>
      </w:r>
    </w:p>
    <w:p w14:paraId="38CDBA63"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 composição do saldo é a seguinte:</w:t>
      </w:r>
    </w:p>
    <w:p w14:paraId="47744A92"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BA3AB6">
        <w:rPr>
          <w:noProof/>
        </w:rPr>
        <w:drawing>
          <wp:inline distT="0" distB="0" distL="0" distR="0" wp14:anchorId="3090DE5C" wp14:editId="40AF2A2A">
            <wp:extent cx="5562600" cy="5334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533400"/>
                    </a:xfrm>
                    <a:prstGeom prst="rect">
                      <a:avLst/>
                    </a:prstGeom>
                    <a:noFill/>
                    <a:ln>
                      <a:noFill/>
                    </a:ln>
                  </pic:spPr>
                </pic:pic>
              </a:graphicData>
            </a:graphic>
          </wp:inline>
        </w:drawing>
      </w:r>
    </w:p>
    <w:p w14:paraId="535D9E60"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p>
    <w:p w14:paraId="4991B2D3" w14:textId="77777777" w:rsidR="00B01D6F" w:rsidRPr="003C3ADF"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color w:val="000000" w:themeColor="text1"/>
          <w:sz w:val="24"/>
          <w:szCs w:val="24"/>
        </w:rPr>
      </w:pPr>
      <w:r w:rsidRPr="003C3ADF">
        <w:rPr>
          <w:rFonts w:ascii="Arial" w:hAnsi="Arial" w:cs="Arial"/>
          <w:b/>
          <w:color w:val="000000" w:themeColor="text1"/>
          <w:sz w:val="24"/>
          <w:szCs w:val="24"/>
          <w:u w:val="single"/>
        </w:rPr>
        <w:t>IMPOSTOS E CONTRIBUIÇÕES A RECUPERAR</w:t>
      </w:r>
    </w:p>
    <w:p w14:paraId="75861C58" w14:textId="77777777" w:rsidR="00B01D6F" w:rsidRDefault="00B01D6F" w:rsidP="00B01D6F">
      <w:pPr>
        <w:autoSpaceDE w:val="0"/>
        <w:autoSpaceDN w:val="0"/>
        <w:adjustRightInd w:val="0"/>
        <w:spacing w:before="140" w:line="288" w:lineRule="auto"/>
        <w:ind w:left="851"/>
        <w:rPr>
          <w:rFonts w:ascii="Arial" w:hAnsi="Arial" w:cs="Arial"/>
          <w:noProof/>
          <w:sz w:val="24"/>
        </w:rPr>
      </w:pPr>
      <w:r w:rsidRPr="003C3ADF">
        <w:rPr>
          <w:rFonts w:ascii="Arial" w:hAnsi="Arial" w:cs="Arial"/>
          <w:color w:val="000000" w:themeColor="text1"/>
          <w:sz w:val="24"/>
          <w:szCs w:val="24"/>
        </w:rPr>
        <w:t xml:space="preserve">Os créditos de impostos e contribuições a compensar estão assim distribuídos em </w:t>
      </w:r>
      <w:r>
        <w:rPr>
          <w:rFonts w:ascii="Arial" w:hAnsi="Arial" w:cs="Arial"/>
          <w:color w:val="000000" w:themeColor="text1"/>
          <w:sz w:val="24"/>
          <w:szCs w:val="24"/>
        </w:rPr>
        <w:t>31 de dezembro de 2020</w:t>
      </w:r>
      <w:r w:rsidRPr="003C3ADF">
        <w:rPr>
          <w:rFonts w:ascii="Arial" w:hAnsi="Arial" w:cs="Arial"/>
          <w:color w:val="000000" w:themeColor="text1"/>
          <w:sz w:val="24"/>
          <w:szCs w:val="24"/>
        </w:rPr>
        <w:t>:</w:t>
      </w:r>
    </w:p>
    <w:p w14:paraId="34FA580D"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BA3AB6">
        <w:rPr>
          <w:noProof/>
        </w:rPr>
        <w:drawing>
          <wp:inline distT="0" distB="0" distL="0" distR="0" wp14:anchorId="1AF176AF" wp14:editId="3C62E0DB">
            <wp:extent cx="5553075" cy="10572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3075" cy="1057275"/>
                    </a:xfrm>
                    <a:prstGeom prst="rect">
                      <a:avLst/>
                    </a:prstGeom>
                    <a:noFill/>
                    <a:ln>
                      <a:noFill/>
                    </a:ln>
                  </pic:spPr>
                </pic:pic>
              </a:graphicData>
            </a:graphic>
          </wp:inline>
        </w:drawing>
      </w:r>
    </w:p>
    <w:p w14:paraId="0310BCC6"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 </w:t>
      </w:r>
    </w:p>
    <w:p w14:paraId="3426A76F" w14:textId="77777777" w:rsidR="00B01D6F" w:rsidRPr="00086DC3"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color w:val="000000" w:themeColor="text1"/>
          <w:sz w:val="24"/>
          <w:szCs w:val="24"/>
        </w:rPr>
      </w:pPr>
      <w:r w:rsidRPr="003C3ADF">
        <w:rPr>
          <w:rFonts w:ascii="Arial" w:hAnsi="Arial" w:cs="Arial"/>
          <w:b/>
          <w:color w:val="000000" w:themeColor="text1"/>
          <w:sz w:val="24"/>
          <w:szCs w:val="24"/>
          <w:u w:val="single"/>
        </w:rPr>
        <w:t xml:space="preserve">IMPOSTOS </w:t>
      </w:r>
      <w:r>
        <w:rPr>
          <w:rFonts w:ascii="Arial" w:hAnsi="Arial" w:cs="Arial"/>
          <w:b/>
          <w:color w:val="000000" w:themeColor="text1"/>
          <w:sz w:val="24"/>
          <w:szCs w:val="24"/>
          <w:u w:val="single"/>
        </w:rPr>
        <w:t>DE RENDA E CONTRIBUIÇÃO SOCIAL</w:t>
      </w:r>
    </w:p>
    <w:p w14:paraId="49F22D4F" w14:textId="77777777" w:rsidR="00B01D6F" w:rsidRDefault="00B01D6F" w:rsidP="00B01D6F">
      <w:pPr>
        <w:autoSpaceDE w:val="0"/>
        <w:autoSpaceDN w:val="0"/>
        <w:adjustRightInd w:val="0"/>
        <w:spacing w:before="140" w:line="288" w:lineRule="auto"/>
        <w:ind w:left="851"/>
        <w:rPr>
          <w:rFonts w:ascii="Arial" w:hAnsi="Arial" w:cs="Arial"/>
          <w:sz w:val="24"/>
          <w:szCs w:val="24"/>
        </w:rPr>
      </w:pPr>
      <w:r w:rsidRPr="00884C49">
        <w:rPr>
          <w:rFonts w:ascii="Arial" w:hAnsi="Arial" w:cs="Arial"/>
          <w:sz w:val="24"/>
        </w:rPr>
        <w:t xml:space="preserve">A provisão para imposto de renda e contribuição social se baseia no lucro tributável, </w:t>
      </w:r>
      <w:r>
        <w:rPr>
          <w:rFonts w:ascii="Arial" w:hAnsi="Arial" w:cs="Arial"/>
          <w:sz w:val="24"/>
        </w:rPr>
        <w:t xml:space="preserve">quando existente, </w:t>
      </w:r>
      <w:r w:rsidRPr="00884C49">
        <w:rPr>
          <w:rFonts w:ascii="Arial" w:hAnsi="Arial" w:cs="Arial"/>
          <w:sz w:val="24"/>
        </w:rPr>
        <w:t xml:space="preserve">de acordo com a legislação e alíquotas vigentes, assim o tributo corrente é aquele a pagar esperado sobre o lucro tributável do </w:t>
      </w:r>
      <w:r>
        <w:rPr>
          <w:rFonts w:ascii="Arial" w:hAnsi="Arial" w:cs="Arial"/>
          <w:sz w:val="24"/>
        </w:rPr>
        <w:t>período</w:t>
      </w:r>
      <w:r w:rsidRPr="00884C49">
        <w:rPr>
          <w:rFonts w:ascii="Arial" w:hAnsi="Arial" w:cs="Arial"/>
          <w:sz w:val="24"/>
        </w:rPr>
        <w:t>, a</w:t>
      </w:r>
      <w:r>
        <w:rPr>
          <w:rFonts w:ascii="Arial" w:hAnsi="Arial" w:cs="Arial"/>
          <w:sz w:val="24"/>
        </w:rPr>
        <w:t>s</w:t>
      </w:r>
      <w:r w:rsidRPr="00884C49">
        <w:rPr>
          <w:rFonts w:ascii="Arial" w:hAnsi="Arial" w:cs="Arial"/>
          <w:sz w:val="24"/>
        </w:rPr>
        <w:t xml:space="preserve"> taxas de tributos decretadas ou substantivamente decretadas na data de apresentação das </w:t>
      </w:r>
      <w:r>
        <w:rPr>
          <w:rFonts w:ascii="Arial" w:hAnsi="Arial" w:cs="Arial"/>
          <w:sz w:val="24"/>
        </w:rPr>
        <w:t>demonstrações contábeis</w:t>
      </w:r>
      <w:r w:rsidRPr="00884C49">
        <w:rPr>
          <w:rFonts w:ascii="Arial" w:hAnsi="Arial" w:cs="Arial"/>
          <w:sz w:val="24"/>
        </w:rPr>
        <w:t>, e qualquer ajuste aos tributos a pagar com relação a exercícios anteriores</w:t>
      </w:r>
      <w:r w:rsidRPr="00703DE1">
        <w:rPr>
          <w:rFonts w:ascii="Arial" w:hAnsi="Arial" w:cs="Arial"/>
        </w:rPr>
        <w:t>.</w:t>
      </w:r>
      <w:r>
        <w:rPr>
          <w:rFonts w:ascii="Arial" w:hAnsi="Arial" w:cs="Arial"/>
        </w:rPr>
        <w:t xml:space="preserve"> </w:t>
      </w:r>
      <w:r w:rsidRPr="00DD359F">
        <w:rPr>
          <w:rFonts w:ascii="Arial" w:hAnsi="Arial" w:cs="Arial"/>
          <w:color w:val="000000" w:themeColor="text1"/>
          <w:sz w:val="24"/>
          <w:szCs w:val="24"/>
          <w:lang w:val="pt"/>
        </w:rPr>
        <w:t xml:space="preserve">Para o </w:t>
      </w:r>
      <w:r>
        <w:rPr>
          <w:rFonts w:ascii="Arial" w:hAnsi="Arial" w:cs="Arial"/>
          <w:color w:val="000000" w:themeColor="text1"/>
          <w:sz w:val="24"/>
          <w:szCs w:val="24"/>
          <w:lang w:val="pt"/>
        </w:rPr>
        <w:t>exercício acumulado findo em 31 de dezembro de 2020</w:t>
      </w:r>
      <w:r w:rsidRPr="00DD359F">
        <w:rPr>
          <w:rFonts w:ascii="Arial" w:hAnsi="Arial" w:cs="Arial"/>
          <w:color w:val="000000" w:themeColor="text1"/>
          <w:sz w:val="24"/>
          <w:szCs w:val="24"/>
          <w:lang w:val="pt"/>
        </w:rPr>
        <w:t xml:space="preserve"> a Companhia provisionou</w:t>
      </w:r>
      <w:r w:rsidRPr="00DD359F">
        <w:rPr>
          <w:rFonts w:ascii="Arial" w:hAnsi="Arial" w:cs="Arial"/>
          <w:sz w:val="24"/>
          <w:szCs w:val="24"/>
        </w:rPr>
        <w:t xml:space="preserve"> as parcelas de imposto de renda e contribuição social sobre o lucro mensalmente, obedecendo ao regime de competência, efetuando recolhimento dos tributo</w:t>
      </w:r>
      <w:r>
        <w:rPr>
          <w:rFonts w:ascii="Arial" w:hAnsi="Arial" w:cs="Arial"/>
          <w:sz w:val="24"/>
          <w:szCs w:val="24"/>
        </w:rPr>
        <w:t xml:space="preserve">s com base na estimativa mensal ou no regime de retenção na fonte em relação às amortizações de investimentos e os impostos e contribuições a recuperar descritos no item 6 decorrem da diferença entre o tributo </w:t>
      </w:r>
      <w:r>
        <w:rPr>
          <w:rFonts w:ascii="Arial" w:hAnsi="Arial" w:cs="Arial"/>
          <w:sz w:val="24"/>
          <w:szCs w:val="24"/>
        </w:rPr>
        <w:lastRenderedPageBreak/>
        <w:t xml:space="preserve">efetivamente apurado e este recolhimento com base na estimativa ou realizado na fonte. </w:t>
      </w:r>
    </w:p>
    <w:p w14:paraId="6AC11453"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 seguir, demonstrativo do cálculo do </w:t>
      </w:r>
      <w:r>
        <w:rPr>
          <w:rFonts w:ascii="Arial" w:hAnsi="Arial" w:cs="Arial"/>
          <w:color w:val="000000" w:themeColor="text1"/>
          <w:sz w:val="24"/>
          <w:szCs w:val="24"/>
        </w:rPr>
        <w:t>IRPJ e CSLL</w:t>
      </w:r>
      <w:r w:rsidRPr="003C3ADF">
        <w:rPr>
          <w:rFonts w:ascii="Arial" w:hAnsi="Arial" w:cs="Arial"/>
          <w:color w:val="000000" w:themeColor="text1"/>
          <w:sz w:val="24"/>
          <w:szCs w:val="24"/>
        </w:rPr>
        <w:t xml:space="preserve"> de </w:t>
      </w:r>
      <w:r>
        <w:rPr>
          <w:rFonts w:ascii="Arial" w:hAnsi="Arial" w:cs="Arial"/>
          <w:color w:val="000000" w:themeColor="text1"/>
          <w:sz w:val="24"/>
          <w:szCs w:val="24"/>
        </w:rPr>
        <w:t>janeiro a dezembro de 2020</w:t>
      </w:r>
      <w:r w:rsidRPr="003C3ADF">
        <w:rPr>
          <w:rFonts w:ascii="Arial" w:hAnsi="Arial" w:cs="Arial"/>
          <w:color w:val="000000" w:themeColor="text1"/>
          <w:sz w:val="24"/>
          <w:szCs w:val="24"/>
        </w:rPr>
        <w:t>:</w:t>
      </w:r>
    </w:p>
    <w:p w14:paraId="0C35B22F"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p>
    <w:p w14:paraId="03017C7C"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8C6C88">
        <w:rPr>
          <w:noProof/>
        </w:rPr>
        <w:drawing>
          <wp:inline distT="0" distB="0" distL="0" distR="0" wp14:anchorId="3858FDC3" wp14:editId="490BF143">
            <wp:extent cx="5676900" cy="18954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6900" cy="1895475"/>
                    </a:xfrm>
                    <a:prstGeom prst="rect">
                      <a:avLst/>
                    </a:prstGeom>
                    <a:noFill/>
                    <a:ln>
                      <a:noFill/>
                    </a:ln>
                  </pic:spPr>
                </pic:pic>
              </a:graphicData>
            </a:graphic>
          </wp:inline>
        </w:drawing>
      </w:r>
    </w:p>
    <w:p w14:paraId="6B11587E"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p>
    <w:p w14:paraId="137CC381" w14:textId="77777777" w:rsidR="00B01D6F" w:rsidRPr="003C3ADF"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u w:val="single"/>
        </w:rPr>
        <w:t>TÍTULOS E VALORES MOBILIÁRIOS</w:t>
      </w:r>
    </w:p>
    <w:p w14:paraId="3464DB4B"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Em 01 de novembro de 2016 foi iniciada a operação do </w:t>
      </w:r>
      <w:r>
        <w:rPr>
          <w:rFonts w:ascii="Arial" w:hAnsi="Arial" w:cs="Arial"/>
          <w:color w:val="000000" w:themeColor="text1"/>
          <w:sz w:val="24"/>
          <w:szCs w:val="24"/>
        </w:rPr>
        <w:t>FIDC</w:t>
      </w:r>
      <w:r w:rsidRPr="003C3ADF">
        <w:rPr>
          <w:rFonts w:ascii="Arial" w:hAnsi="Arial" w:cs="Arial"/>
          <w:color w:val="000000" w:themeColor="text1"/>
          <w:sz w:val="24"/>
          <w:szCs w:val="24"/>
        </w:rPr>
        <w:t>, sob a forma de condomínio fechado, regido pela Resolução CMN n</w:t>
      </w:r>
      <w:r>
        <w:rPr>
          <w:rFonts w:ascii="Arial" w:hAnsi="Arial" w:cs="Arial"/>
          <w:color w:val="000000" w:themeColor="text1"/>
          <w:sz w:val="24"/>
          <w:szCs w:val="24"/>
        </w:rPr>
        <w:t>º</w:t>
      </w:r>
      <w:r w:rsidRPr="003C3ADF">
        <w:rPr>
          <w:rFonts w:ascii="Arial" w:hAnsi="Arial" w:cs="Arial"/>
          <w:color w:val="000000" w:themeColor="text1"/>
          <w:sz w:val="24"/>
          <w:szCs w:val="24"/>
        </w:rPr>
        <w:t xml:space="preserve"> 2.907/2001, pela Instrução CVM n</w:t>
      </w:r>
      <w:r>
        <w:rPr>
          <w:rFonts w:ascii="Arial" w:hAnsi="Arial" w:cs="Arial"/>
          <w:color w:val="000000" w:themeColor="text1"/>
          <w:sz w:val="24"/>
          <w:szCs w:val="24"/>
        </w:rPr>
        <w:t>°</w:t>
      </w:r>
      <w:r w:rsidRPr="003C3ADF">
        <w:rPr>
          <w:rFonts w:ascii="Arial" w:hAnsi="Arial" w:cs="Arial"/>
          <w:color w:val="000000" w:themeColor="text1"/>
          <w:sz w:val="24"/>
          <w:szCs w:val="24"/>
        </w:rPr>
        <w:t xml:space="preserve"> 356/01 e 444/2006, pelo</w:t>
      </w:r>
      <w:r>
        <w:rPr>
          <w:rFonts w:ascii="Arial" w:hAnsi="Arial" w:cs="Arial"/>
          <w:color w:val="000000" w:themeColor="text1"/>
          <w:sz w:val="24"/>
          <w:szCs w:val="24"/>
        </w:rPr>
        <w:t xml:space="preserve"> seu</w:t>
      </w:r>
      <w:r w:rsidRPr="003C3ADF">
        <w:rPr>
          <w:rFonts w:ascii="Arial" w:hAnsi="Arial" w:cs="Arial"/>
          <w:color w:val="000000" w:themeColor="text1"/>
          <w:sz w:val="24"/>
          <w:szCs w:val="24"/>
        </w:rPr>
        <w:t xml:space="preserve"> Regulamento e pelas demais disposições legais e regulamentares aplicáveis, com a finalidade específica de adquirir direitos creditórios representados pela CCI </w:t>
      </w:r>
      <w:r>
        <w:rPr>
          <w:rFonts w:ascii="Arial" w:hAnsi="Arial" w:cs="Arial"/>
          <w:color w:val="000000" w:themeColor="text1"/>
          <w:sz w:val="24"/>
          <w:szCs w:val="24"/>
        </w:rPr>
        <w:t>nele integralizada pela</w:t>
      </w:r>
      <w:r w:rsidRPr="003C3ADF">
        <w:rPr>
          <w:rFonts w:ascii="Arial" w:hAnsi="Arial" w:cs="Arial"/>
          <w:color w:val="000000" w:themeColor="text1"/>
          <w:sz w:val="24"/>
          <w:szCs w:val="24"/>
        </w:rPr>
        <w:t xml:space="preserve"> SPDA.</w:t>
      </w:r>
    </w:p>
    <w:p w14:paraId="1C3DA543"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Em 01 de novembro de 2016 a SPDA transferiu a CCI ao </w:t>
      </w:r>
      <w:r>
        <w:rPr>
          <w:rFonts w:ascii="Arial" w:hAnsi="Arial" w:cs="Arial"/>
          <w:color w:val="000000" w:themeColor="text1"/>
          <w:sz w:val="24"/>
          <w:szCs w:val="24"/>
        </w:rPr>
        <w:t xml:space="preserve">FIDC </w:t>
      </w:r>
      <w:r w:rsidRPr="003C3ADF">
        <w:rPr>
          <w:rFonts w:ascii="Arial" w:hAnsi="Arial" w:cs="Arial"/>
          <w:color w:val="000000" w:themeColor="text1"/>
          <w:sz w:val="24"/>
          <w:szCs w:val="24"/>
        </w:rPr>
        <w:t>pelo valor de R$ 194.979.126,05</w:t>
      </w:r>
      <w:r>
        <w:rPr>
          <w:rFonts w:ascii="Arial" w:hAnsi="Arial" w:cs="Arial"/>
          <w:color w:val="000000" w:themeColor="text1"/>
          <w:sz w:val="24"/>
          <w:szCs w:val="24"/>
        </w:rPr>
        <w:t>, referente a 194,97912605 cotas</w:t>
      </w:r>
      <w:r w:rsidRPr="003C3ADF">
        <w:rPr>
          <w:rFonts w:ascii="Arial" w:hAnsi="Arial" w:cs="Arial"/>
          <w:color w:val="000000" w:themeColor="text1"/>
          <w:sz w:val="24"/>
          <w:szCs w:val="24"/>
        </w:rPr>
        <w:t>.</w:t>
      </w:r>
    </w:p>
    <w:p w14:paraId="03F9CD17" w14:textId="77777777" w:rsidR="00B01D6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As cotas foram ajustadas a</w:t>
      </w:r>
      <w:r>
        <w:rPr>
          <w:rFonts w:ascii="Arial" w:hAnsi="Arial" w:cs="Arial"/>
          <w:color w:val="000000" w:themeColor="text1"/>
          <w:sz w:val="24"/>
          <w:szCs w:val="24"/>
        </w:rPr>
        <w:t>o</w:t>
      </w:r>
      <w:r w:rsidRPr="003C3ADF">
        <w:rPr>
          <w:rFonts w:ascii="Arial" w:hAnsi="Arial" w:cs="Arial"/>
          <w:color w:val="000000" w:themeColor="text1"/>
          <w:sz w:val="24"/>
          <w:szCs w:val="24"/>
        </w:rPr>
        <w:t xml:space="preserve"> seu </w:t>
      </w:r>
      <w:r w:rsidRPr="000962E1">
        <w:rPr>
          <w:rFonts w:ascii="Arial" w:hAnsi="Arial" w:cs="Arial"/>
          <w:color w:val="000000" w:themeColor="text1"/>
          <w:sz w:val="24"/>
          <w:szCs w:val="24"/>
        </w:rPr>
        <w:t>valor justo</w:t>
      </w:r>
      <w:r>
        <w:rPr>
          <w:rFonts w:ascii="Arial" w:hAnsi="Arial" w:cs="Arial"/>
          <w:color w:val="000000" w:themeColor="text1"/>
          <w:sz w:val="24"/>
          <w:szCs w:val="24"/>
        </w:rPr>
        <w:t xml:space="preserve"> </w:t>
      </w:r>
      <w:r w:rsidRPr="003C3ADF">
        <w:rPr>
          <w:rFonts w:ascii="Arial" w:hAnsi="Arial" w:cs="Arial"/>
          <w:color w:val="000000" w:themeColor="text1"/>
          <w:sz w:val="24"/>
          <w:szCs w:val="24"/>
        </w:rPr>
        <w:t xml:space="preserve">em </w:t>
      </w:r>
      <w:r>
        <w:rPr>
          <w:rFonts w:ascii="Arial" w:hAnsi="Arial" w:cs="Arial"/>
          <w:color w:val="000000" w:themeColor="text1"/>
          <w:sz w:val="24"/>
          <w:szCs w:val="24"/>
        </w:rPr>
        <w:t>31/12/2020</w:t>
      </w:r>
      <w:r w:rsidRPr="003C3ADF">
        <w:rPr>
          <w:rFonts w:ascii="Arial" w:hAnsi="Arial" w:cs="Arial"/>
          <w:color w:val="000000" w:themeColor="text1"/>
          <w:sz w:val="24"/>
          <w:szCs w:val="24"/>
        </w:rPr>
        <w:t>, conforme movimentação abaixo demonstrada:</w:t>
      </w:r>
      <w:r>
        <w:rPr>
          <w:rFonts w:ascii="Arial" w:hAnsi="Arial" w:cs="Arial"/>
          <w:color w:val="000000" w:themeColor="text1"/>
          <w:sz w:val="24"/>
          <w:szCs w:val="24"/>
        </w:rPr>
        <w:t xml:space="preserve"> </w:t>
      </w:r>
    </w:p>
    <w:p w14:paraId="213DA55A" w14:textId="77777777" w:rsidR="00B01D6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  </w:t>
      </w:r>
      <w:r>
        <w:t xml:space="preserve">                 </w:t>
      </w:r>
      <w:r>
        <w:rPr>
          <w:rFonts w:ascii="Arial" w:hAnsi="Arial" w:cs="Arial"/>
          <w:color w:val="000000" w:themeColor="text1"/>
          <w:sz w:val="24"/>
          <w:szCs w:val="24"/>
        </w:rPr>
        <w:t xml:space="preserve"> </w:t>
      </w:r>
      <w:r w:rsidRPr="00B638FD">
        <w:rPr>
          <w:noProof/>
        </w:rPr>
        <w:drawing>
          <wp:inline distT="0" distB="0" distL="0" distR="0" wp14:anchorId="6A3385DB" wp14:editId="55A31FB0">
            <wp:extent cx="4248150" cy="11715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48150" cy="1171575"/>
                    </a:xfrm>
                    <a:prstGeom prst="rect">
                      <a:avLst/>
                    </a:prstGeom>
                    <a:noFill/>
                    <a:ln>
                      <a:noFill/>
                    </a:ln>
                  </pic:spPr>
                </pic:pic>
              </a:graphicData>
            </a:graphic>
          </wp:inline>
        </w:drawing>
      </w:r>
      <w:r>
        <w:rPr>
          <w:rFonts w:ascii="Arial" w:hAnsi="Arial" w:cs="Arial"/>
          <w:color w:val="000000" w:themeColor="text1"/>
          <w:sz w:val="24"/>
          <w:szCs w:val="24"/>
        </w:rPr>
        <w:t xml:space="preserve">   </w:t>
      </w:r>
    </w:p>
    <w:p w14:paraId="54FD37CC" w14:textId="77777777" w:rsidR="00B01D6F" w:rsidRDefault="00B01D6F" w:rsidP="00B01D6F">
      <w:pPr>
        <w:tabs>
          <w:tab w:val="left" w:pos="851"/>
        </w:tabs>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Pr="00452E23">
        <w:rPr>
          <w:noProof/>
        </w:rPr>
        <w:drawing>
          <wp:inline distT="0" distB="0" distL="0" distR="0" wp14:anchorId="6E0389D0" wp14:editId="18CAD977">
            <wp:extent cx="5524500" cy="490220"/>
            <wp:effectExtent l="0" t="0" r="0" b="508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490220"/>
                    </a:xfrm>
                    <a:prstGeom prst="rect">
                      <a:avLst/>
                    </a:prstGeom>
                    <a:noFill/>
                    <a:ln>
                      <a:noFill/>
                    </a:ln>
                  </pic:spPr>
                </pic:pic>
              </a:graphicData>
            </a:graphic>
          </wp:inline>
        </w:drawing>
      </w:r>
      <w:r>
        <w:rPr>
          <w:noProof/>
        </w:rPr>
        <w:t xml:space="preserve">           </w:t>
      </w:r>
    </w:p>
    <w:p w14:paraId="11527F9A"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 xml:space="preserve">As cotas do FIDC foram classificadas como </w:t>
      </w:r>
      <w:r>
        <w:rPr>
          <w:rFonts w:ascii="Arial" w:hAnsi="Arial" w:cs="Arial"/>
          <w:color w:val="000000" w:themeColor="text1"/>
          <w:sz w:val="24"/>
          <w:szCs w:val="24"/>
        </w:rPr>
        <w:t>ativos financeiros mensurados</w:t>
      </w:r>
      <w:r w:rsidRPr="003C3ADF">
        <w:rPr>
          <w:rFonts w:ascii="Arial" w:hAnsi="Arial" w:cs="Arial"/>
          <w:color w:val="000000" w:themeColor="text1"/>
          <w:sz w:val="24"/>
          <w:szCs w:val="24"/>
        </w:rPr>
        <w:t xml:space="preserve"> ao valor justo </w:t>
      </w:r>
      <w:r>
        <w:rPr>
          <w:rFonts w:ascii="Arial" w:hAnsi="Arial" w:cs="Arial"/>
          <w:color w:val="000000" w:themeColor="text1"/>
          <w:sz w:val="24"/>
          <w:szCs w:val="24"/>
        </w:rPr>
        <w:t xml:space="preserve">por meio do </w:t>
      </w:r>
      <w:r w:rsidRPr="003C3ADF">
        <w:rPr>
          <w:rFonts w:ascii="Arial" w:hAnsi="Arial" w:cs="Arial"/>
          <w:color w:val="000000" w:themeColor="text1"/>
          <w:sz w:val="24"/>
          <w:szCs w:val="24"/>
        </w:rPr>
        <w:t>resultado</w:t>
      </w:r>
      <w:r>
        <w:rPr>
          <w:rFonts w:ascii="Arial" w:hAnsi="Arial" w:cs="Arial"/>
          <w:color w:val="000000" w:themeColor="text1"/>
          <w:sz w:val="24"/>
          <w:szCs w:val="24"/>
        </w:rPr>
        <w:t xml:space="preserve"> e tem sua marcação atualizada mensalmente pelo administrador do FIDC com base no valor presente do fluxo de caixa remanescente dos direitos creditórios a uma taxa de desconto definida pelo Comitê de Investimentos do FIDC e pela Companhia.</w:t>
      </w:r>
      <w:r w:rsidRPr="003C3ADF">
        <w:rPr>
          <w:rFonts w:ascii="Arial" w:hAnsi="Arial" w:cs="Arial"/>
          <w:color w:val="000000" w:themeColor="text1"/>
          <w:sz w:val="24"/>
          <w:szCs w:val="24"/>
        </w:rPr>
        <w:t xml:space="preserve"> </w:t>
      </w:r>
      <w:r>
        <w:rPr>
          <w:rFonts w:ascii="Arial" w:hAnsi="Arial" w:cs="Arial"/>
          <w:color w:val="000000" w:themeColor="text1"/>
          <w:sz w:val="24"/>
          <w:szCs w:val="24"/>
        </w:rPr>
        <w:t xml:space="preserve">O fluxo de caixa remanescente é reavaliado periodicamente pelo administrador do FIDC levando em conta os fatores econômicos e operacionais com impacto direto sobre a recuperação, informados pelo gestor do FIDC ou diante de informações relevantes que afetem de forma efetiva a expectativa de recebimento do direito creditório. </w:t>
      </w:r>
    </w:p>
    <w:p w14:paraId="24F5FF67"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Pelo fato de ambas serem calculadas por meio de metodologia estatística, tanto a revisão do apreçamento dos direitos creditórios quanto as suas eventuais provisões para perdas estão sujeitas a desvios e eventos atípicos que fogem do padrão de previsibilidade dos modelos estatísticos.</w:t>
      </w:r>
      <w:r w:rsidRPr="003C3ADF">
        <w:rPr>
          <w:rFonts w:ascii="Arial" w:hAnsi="Arial" w:cs="Arial"/>
          <w:color w:val="000000" w:themeColor="text1"/>
          <w:sz w:val="24"/>
          <w:szCs w:val="24"/>
        </w:rPr>
        <w:t xml:space="preserve"> </w:t>
      </w:r>
    </w:p>
    <w:p w14:paraId="0C53DEB3"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Tendo em vista que</w:t>
      </w:r>
      <w:r w:rsidRPr="003C3ADF">
        <w:rPr>
          <w:rFonts w:ascii="Arial" w:hAnsi="Arial" w:cs="Arial"/>
          <w:color w:val="000000" w:themeColor="text1"/>
          <w:sz w:val="24"/>
          <w:szCs w:val="24"/>
        </w:rPr>
        <w:t xml:space="preserve"> não há capacidade demonstrada </w:t>
      </w:r>
      <w:r>
        <w:rPr>
          <w:rFonts w:ascii="Arial" w:hAnsi="Arial" w:cs="Arial"/>
          <w:color w:val="000000" w:themeColor="text1"/>
          <w:sz w:val="24"/>
          <w:szCs w:val="24"/>
        </w:rPr>
        <w:t xml:space="preserve">de </w:t>
      </w:r>
      <w:r w:rsidRPr="003C3ADF">
        <w:rPr>
          <w:rFonts w:ascii="Arial" w:hAnsi="Arial" w:cs="Arial"/>
          <w:color w:val="000000" w:themeColor="text1"/>
          <w:sz w:val="24"/>
          <w:szCs w:val="24"/>
        </w:rPr>
        <w:t xml:space="preserve">que a Companhia tenha outros recursos financeiros disponíveis para continuar a financiar </w:t>
      </w:r>
      <w:r>
        <w:rPr>
          <w:rFonts w:ascii="Arial" w:hAnsi="Arial" w:cs="Arial"/>
          <w:color w:val="000000" w:themeColor="text1"/>
          <w:sz w:val="24"/>
          <w:szCs w:val="24"/>
        </w:rPr>
        <w:t>esse</w:t>
      </w:r>
      <w:r w:rsidRPr="003C3ADF">
        <w:rPr>
          <w:rFonts w:ascii="Arial" w:hAnsi="Arial" w:cs="Arial"/>
          <w:color w:val="000000" w:themeColor="text1"/>
          <w:sz w:val="24"/>
          <w:szCs w:val="24"/>
        </w:rPr>
        <w:t xml:space="preserve"> investimento até </w:t>
      </w:r>
      <w:r>
        <w:rPr>
          <w:rFonts w:ascii="Arial" w:hAnsi="Arial" w:cs="Arial"/>
          <w:color w:val="000000" w:themeColor="text1"/>
          <w:sz w:val="24"/>
          <w:szCs w:val="24"/>
        </w:rPr>
        <w:t>seu</w:t>
      </w:r>
      <w:r w:rsidRPr="003C3ADF">
        <w:rPr>
          <w:rFonts w:ascii="Arial" w:hAnsi="Arial" w:cs="Arial"/>
          <w:color w:val="000000" w:themeColor="text1"/>
          <w:sz w:val="24"/>
          <w:szCs w:val="24"/>
        </w:rPr>
        <w:t xml:space="preserve"> vencimento</w:t>
      </w:r>
      <w:r>
        <w:rPr>
          <w:rFonts w:ascii="Arial" w:hAnsi="Arial" w:cs="Arial"/>
          <w:color w:val="000000" w:themeColor="text1"/>
          <w:sz w:val="24"/>
          <w:szCs w:val="24"/>
        </w:rPr>
        <w:t xml:space="preserve"> e que,</w:t>
      </w:r>
      <w:r w:rsidRPr="003C3ADF">
        <w:rPr>
          <w:rFonts w:ascii="Arial" w:hAnsi="Arial" w:cs="Arial"/>
          <w:color w:val="000000" w:themeColor="text1"/>
          <w:sz w:val="24"/>
          <w:szCs w:val="24"/>
        </w:rPr>
        <w:t xml:space="preserve"> na prática</w:t>
      </w:r>
      <w:r>
        <w:rPr>
          <w:rFonts w:ascii="Arial" w:hAnsi="Arial" w:cs="Arial"/>
          <w:color w:val="000000" w:themeColor="text1"/>
          <w:sz w:val="24"/>
          <w:szCs w:val="24"/>
        </w:rPr>
        <w:t>,</w:t>
      </w:r>
      <w:r w:rsidRPr="003C3ADF">
        <w:rPr>
          <w:rFonts w:ascii="Arial" w:hAnsi="Arial" w:cs="Arial"/>
          <w:color w:val="000000" w:themeColor="text1"/>
          <w:sz w:val="24"/>
          <w:szCs w:val="24"/>
        </w:rPr>
        <w:t xml:space="preserve"> </w:t>
      </w:r>
      <w:r>
        <w:rPr>
          <w:rFonts w:ascii="Arial" w:hAnsi="Arial" w:cs="Arial"/>
          <w:color w:val="000000" w:themeColor="text1"/>
          <w:sz w:val="24"/>
          <w:szCs w:val="24"/>
        </w:rPr>
        <w:t>esse é</w:t>
      </w:r>
      <w:r w:rsidRPr="003C3ADF">
        <w:rPr>
          <w:rFonts w:ascii="Arial" w:hAnsi="Arial" w:cs="Arial"/>
          <w:color w:val="000000" w:themeColor="text1"/>
          <w:sz w:val="24"/>
          <w:szCs w:val="24"/>
        </w:rPr>
        <w:t xml:space="preserve"> o principal ativo financeiro da Companhia</w:t>
      </w:r>
      <w:r>
        <w:rPr>
          <w:rFonts w:ascii="Arial" w:hAnsi="Arial" w:cs="Arial"/>
          <w:color w:val="000000" w:themeColor="text1"/>
          <w:sz w:val="24"/>
          <w:szCs w:val="24"/>
        </w:rPr>
        <w:t>;</w:t>
      </w:r>
      <w:r w:rsidRPr="003C3ADF">
        <w:rPr>
          <w:rFonts w:ascii="Arial" w:hAnsi="Arial" w:cs="Arial"/>
          <w:color w:val="000000" w:themeColor="text1"/>
          <w:sz w:val="24"/>
          <w:szCs w:val="24"/>
        </w:rPr>
        <w:t xml:space="preserve"> as cotas do FIDC poderiam ser </w:t>
      </w:r>
      <w:r>
        <w:rPr>
          <w:rFonts w:ascii="Arial" w:hAnsi="Arial" w:cs="Arial"/>
          <w:color w:val="000000" w:themeColor="text1"/>
          <w:sz w:val="24"/>
          <w:szCs w:val="24"/>
        </w:rPr>
        <w:t>amortizadas</w:t>
      </w:r>
      <w:r w:rsidRPr="00F138AD">
        <w:rPr>
          <w:rFonts w:ascii="Arial" w:hAnsi="Arial" w:cs="Arial"/>
          <w:color w:val="000000" w:themeColor="text1"/>
          <w:sz w:val="24"/>
          <w:szCs w:val="24"/>
        </w:rPr>
        <w:t xml:space="preserve"> </w:t>
      </w:r>
      <w:r w:rsidRPr="003C3ADF">
        <w:rPr>
          <w:rFonts w:ascii="Arial" w:hAnsi="Arial" w:cs="Arial"/>
          <w:color w:val="000000" w:themeColor="text1"/>
          <w:sz w:val="24"/>
          <w:szCs w:val="24"/>
        </w:rPr>
        <w:t>em caso de necessidade de liquidez.</w:t>
      </w:r>
    </w:p>
    <w:p w14:paraId="0893290F"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Em 07 de maio de 2018, foram iniciadas as atividades do Caixa FI SPDA Projetos RF LP (“SPDA Projetos”), um fundo de renda fixa exclusivo da Companhia, capitalizado com R$ 31.122.196,85 (trinta e um milhões, cento e vinte e dois mil, cento e noventa e seis reais e oitenta e cinco centavos) decorrentes da amortização de cotas do FIDC. O SPDA Projetos tem por finalidade servir como garantia em projetos de Parcerias Público Privadas do Município, uma vez que a Companhia seja contratada para essa finalidade.</w:t>
      </w:r>
    </w:p>
    <w:p w14:paraId="109AE87D"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olor w:val="000000" w:themeColor="text1"/>
          <w:sz w:val="24"/>
        </w:rPr>
      </w:pPr>
      <w:r w:rsidRPr="00FF3D91">
        <w:rPr>
          <w:rFonts w:ascii="Arial" w:hAnsi="Arial"/>
          <w:color w:val="000000" w:themeColor="text1"/>
          <w:sz w:val="24"/>
        </w:rPr>
        <w:t>A composição do saldo é a seguinte:</w:t>
      </w:r>
      <w:r>
        <w:rPr>
          <w:rFonts w:ascii="Arial" w:hAnsi="Arial"/>
          <w:color w:val="000000" w:themeColor="text1"/>
          <w:sz w:val="24"/>
        </w:rPr>
        <w:t xml:space="preserve">                      </w:t>
      </w:r>
    </w:p>
    <w:p w14:paraId="21D5B431" w14:textId="77777777" w:rsidR="00B01D6F" w:rsidRDefault="00B01D6F" w:rsidP="00B01D6F">
      <w:pPr>
        <w:keepNext/>
        <w:widowControl w:val="0"/>
        <w:tabs>
          <w:tab w:val="left" w:pos="851"/>
        </w:tabs>
        <w:autoSpaceDE w:val="0"/>
        <w:autoSpaceDN w:val="0"/>
        <w:adjustRightInd w:val="0"/>
        <w:spacing w:before="140" w:line="288" w:lineRule="auto"/>
        <w:ind w:left="851"/>
      </w:pPr>
      <w:r>
        <w:t xml:space="preserve">                       </w:t>
      </w:r>
      <w:r w:rsidRPr="00452E23">
        <w:rPr>
          <w:noProof/>
        </w:rPr>
        <w:lastRenderedPageBreak/>
        <w:drawing>
          <wp:inline distT="0" distB="0" distL="0" distR="0" wp14:anchorId="39056919" wp14:editId="1F9DA6C5">
            <wp:extent cx="4248150" cy="3905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8150" cy="390525"/>
                    </a:xfrm>
                    <a:prstGeom prst="rect">
                      <a:avLst/>
                    </a:prstGeom>
                    <a:noFill/>
                    <a:ln>
                      <a:noFill/>
                    </a:ln>
                  </pic:spPr>
                </pic:pic>
              </a:graphicData>
            </a:graphic>
          </wp:inline>
        </w:drawing>
      </w:r>
      <w:r>
        <w:t xml:space="preserve">    </w:t>
      </w:r>
    </w:p>
    <w:p w14:paraId="1E6E78CB" w14:textId="77777777" w:rsidR="00B01D6F" w:rsidRDefault="00B01D6F" w:rsidP="00B01D6F">
      <w:pPr>
        <w:keepNext/>
        <w:widowControl w:val="0"/>
        <w:tabs>
          <w:tab w:val="left" w:pos="851"/>
        </w:tabs>
        <w:autoSpaceDE w:val="0"/>
        <w:autoSpaceDN w:val="0"/>
        <w:adjustRightInd w:val="0"/>
        <w:spacing w:before="140" w:line="288" w:lineRule="auto"/>
        <w:ind w:left="851"/>
        <w:rPr>
          <w:rFonts w:ascii="Arial" w:hAnsi="Arial" w:cs="Arial"/>
          <w:color w:val="000000" w:themeColor="text1"/>
          <w:sz w:val="24"/>
          <w:szCs w:val="24"/>
        </w:rPr>
      </w:pPr>
      <w:r>
        <w:t xml:space="preserve">         </w:t>
      </w:r>
      <w:r>
        <w:rPr>
          <w:rFonts w:ascii="Arial" w:hAnsi="Arial" w:cs="Arial"/>
          <w:color w:val="000000" w:themeColor="text1"/>
          <w:sz w:val="24"/>
          <w:szCs w:val="24"/>
        </w:rPr>
        <w:t xml:space="preserve">   </w:t>
      </w:r>
    </w:p>
    <w:p w14:paraId="0F1CD80B" w14:textId="77777777" w:rsidR="00B01D6F" w:rsidRPr="00BC331A"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b/>
          <w:color w:val="000000" w:themeColor="text1"/>
          <w:sz w:val="24"/>
          <w:szCs w:val="24"/>
          <w:u w:val="single"/>
        </w:rPr>
      </w:pPr>
      <w:r w:rsidRPr="00BC331A">
        <w:rPr>
          <w:rFonts w:ascii="Arial" w:hAnsi="Arial" w:cs="Arial"/>
          <w:b/>
          <w:color w:val="000000" w:themeColor="text1"/>
          <w:sz w:val="24"/>
          <w:szCs w:val="24"/>
          <w:u w:val="single"/>
        </w:rPr>
        <w:t xml:space="preserve">INVESTIMENTOS </w:t>
      </w:r>
    </w:p>
    <w:p w14:paraId="6098DEBC" w14:textId="77777777" w:rsidR="00B01D6F" w:rsidRPr="00DB6A6D" w:rsidRDefault="00B01D6F" w:rsidP="00B01D6F">
      <w:pPr>
        <w:autoSpaceDE w:val="0"/>
        <w:autoSpaceDN w:val="0"/>
        <w:adjustRightInd w:val="0"/>
        <w:spacing w:before="140" w:line="288" w:lineRule="auto"/>
        <w:ind w:left="851"/>
        <w:rPr>
          <w:rFonts w:ascii="Arial" w:hAnsi="Arial"/>
          <w:b/>
          <w:color w:val="000000" w:themeColor="text1"/>
          <w:sz w:val="24"/>
          <w:lang w:val="pt"/>
        </w:rPr>
      </w:pPr>
    </w:p>
    <w:p w14:paraId="63A5A9BD" w14:textId="77777777" w:rsidR="00B01D6F" w:rsidRPr="003C3ADF" w:rsidRDefault="00B01D6F" w:rsidP="00B01D6F">
      <w:pPr>
        <w:autoSpaceDE w:val="0"/>
        <w:autoSpaceDN w:val="0"/>
        <w:adjustRightInd w:val="0"/>
        <w:spacing w:before="140" w:line="288" w:lineRule="auto"/>
        <w:ind w:left="851"/>
        <w:rPr>
          <w:rFonts w:ascii="Arial" w:hAnsi="Arial" w:cs="Arial"/>
          <w:b/>
          <w:color w:val="000000" w:themeColor="text1"/>
          <w:sz w:val="24"/>
          <w:szCs w:val="24"/>
          <w:lang w:val="pt"/>
        </w:rPr>
      </w:pPr>
      <w:r w:rsidRPr="003C3ADF">
        <w:rPr>
          <w:rFonts w:ascii="Arial" w:hAnsi="Arial" w:cs="Arial"/>
          <w:b/>
          <w:color w:val="000000" w:themeColor="text1"/>
          <w:sz w:val="24"/>
          <w:szCs w:val="24"/>
          <w:lang w:val="pt"/>
        </w:rPr>
        <w:t>Investimento em Coligadas</w:t>
      </w:r>
      <w:r>
        <w:rPr>
          <w:rFonts w:ascii="Arial" w:hAnsi="Arial" w:cs="Arial"/>
          <w:b/>
          <w:color w:val="000000" w:themeColor="text1"/>
          <w:sz w:val="24"/>
          <w:szCs w:val="24"/>
          <w:lang w:val="pt"/>
        </w:rPr>
        <w:t>:</w:t>
      </w:r>
    </w:p>
    <w:p w14:paraId="656D9086"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Em 31/10/2016 a SPDA fez um investimento no valor</w:t>
      </w:r>
      <w:r>
        <w:rPr>
          <w:rFonts w:ascii="Arial" w:hAnsi="Arial" w:cs="Arial"/>
          <w:color w:val="000000" w:themeColor="text1"/>
          <w:sz w:val="24"/>
          <w:szCs w:val="24"/>
          <w:lang w:val="pt"/>
        </w:rPr>
        <w:t xml:space="preserve"> de</w:t>
      </w:r>
      <w:r w:rsidRPr="003C3ADF">
        <w:rPr>
          <w:rFonts w:ascii="Arial" w:hAnsi="Arial" w:cs="Arial"/>
          <w:color w:val="000000" w:themeColor="text1"/>
          <w:sz w:val="24"/>
          <w:szCs w:val="24"/>
          <w:lang w:val="pt"/>
        </w:rPr>
        <w:t xml:space="preserve"> R$</w:t>
      </w:r>
      <w:r>
        <w:rPr>
          <w:rFonts w:ascii="Arial" w:hAnsi="Arial" w:cs="Arial"/>
          <w:color w:val="000000" w:themeColor="text1"/>
          <w:sz w:val="24"/>
          <w:szCs w:val="24"/>
          <w:lang w:val="pt"/>
        </w:rPr>
        <w:t xml:space="preserve"> </w:t>
      </w:r>
      <w:r w:rsidRPr="003C3ADF">
        <w:rPr>
          <w:rFonts w:ascii="Arial" w:hAnsi="Arial" w:cs="Arial"/>
          <w:color w:val="000000" w:themeColor="text1"/>
          <w:sz w:val="24"/>
          <w:szCs w:val="24"/>
          <w:lang w:val="pt"/>
        </w:rPr>
        <w:t>1.000.000,00</w:t>
      </w:r>
      <w:r>
        <w:rPr>
          <w:rFonts w:ascii="Arial" w:hAnsi="Arial" w:cs="Arial"/>
          <w:color w:val="000000" w:themeColor="text1"/>
          <w:sz w:val="24"/>
          <w:szCs w:val="24"/>
          <w:lang w:val="pt"/>
        </w:rPr>
        <w:t xml:space="preserve"> (um milhão de reais)</w:t>
      </w:r>
      <w:r w:rsidRPr="003C3ADF">
        <w:rPr>
          <w:rFonts w:ascii="Arial" w:hAnsi="Arial" w:cs="Arial"/>
          <w:color w:val="000000" w:themeColor="text1"/>
          <w:sz w:val="24"/>
          <w:szCs w:val="24"/>
          <w:lang w:val="pt"/>
        </w:rPr>
        <w:t xml:space="preserve"> na Companhia Paulistana de Securitização – SP Securitização, na forma de integralização</w:t>
      </w:r>
      <w:r>
        <w:rPr>
          <w:rFonts w:ascii="Arial" w:hAnsi="Arial" w:cs="Arial"/>
          <w:color w:val="000000" w:themeColor="text1"/>
          <w:sz w:val="24"/>
          <w:szCs w:val="24"/>
          <w:lang w:val="pt"/>
        </w:rPr>
        <w:t xml:space="preserve"> de capital social,</w:t>
      </w:r>
      <w:r w:rsidRPr="003C3ADF">
        <w:rPr>
          <w:rFonts w:ascii="Arial" w:hAnsi="Arial" w:cs="Arial"/>
          <w:color w:val="000000" w:themeColor="text1"/>
          <w:sz w:val="24"/>
          <w:szCs w:val="24"/>
          <w:lang w:val="pt"/>
        </w:rPr>
        <w:t xml:space="preserve"> e passou a ter uma participação de 22,20% em seu capital social, sendo </w:t>
      </w:r>
      <w:r>
        <w:rPr>
          <w:rFonts w:ascii="Arial" w:hAnsi="Arial" w:cs="Arial"/>
          <w:color w:val="000000" w:themeColor="text1"/>
          <w:sz w:val="24"/>
          <w:szCs w:val="24"/>
          <w:lang w:val="pt"/>
        </w:rPr>
        <w:t xml:space="preserve">a SP Securitização </w:t>
      </w:r>
      <w:r w:rsidRPr="003C3ADF">
        <w:rPr>
          <w:rFonts w:ascii="Arial" w:hAnsi="Arial" w:cs="Arial"/>
          <w:color w:val="000000" w:themeColor="text1"/>
          <w:sz w:val="24"/>
          <w:szCs w:val="24"/>
          <w:lang w:val="pt"/>
        </w:rPr>
        <w:t>considerada, portanto</w:t>
      </w:r>
      <w:r>
        <w:rPr>
          <w:rFonts w:ascii="Arial" w:hAnsi="Arial" w:cs="Arial"/>
          <w:color w:val="000000" w:themeColor="text1"/>
          <w:sz w:val="24"/>
          <w:szCs w:val="24"/>
          <w:lang w:val="pt"/>
        </w:rPr>
        <w:t>,</w:t>
      </w:r>
      <w:r w:rsidRPr="003C3ADF">
        <w:rPr>
          <w:rFonts w:ascii="Arial" w:hAnsi="Arial" w:cs="Arial"/>
          <w:color w:val="000000" w:themeColor="text1"/>
          <w:sz w:val="24"/>
          <w:szCs w:val="24"/>
          <w:lang w:val="pt"/>
        </w:rPr>
        <w:t xml:space="preserve"> coligada, </w:t>
      </w:r>
      <w:r>
        <w:rPr>
          <w:rFonts w:ascii="Arial" w:hAnsi="Arial" w:cs="Arial"/>
          <w:color w:val="000000" w:themeColor="text1"/>
          <w:sz w:val="24"/>
          <w:szCs w:val="24"/>
          <w:lang w:val="pt"/>
        </w:rPr>
        <w:t xml:space="preserve">tendo a Companhia </w:t>
      </w:r>
      <w:r w:rsidRPr="003C3ADF">
        <w:rPr>
          <w:rFonts w:ascii="Arial" w:hAnsi="Arial" w:cs="Arial"/>
          <w:color w:val="000000" w:themeColor="text1"/>
          <w:sz w:val="24"/>
          <w:szCs w:val="24"/>
          <w:lang w:val="pt"/>
        </w:rPr>
        <w:t xml:space="preserve">influência significativa sobre </w:t>
      </w:r>
      <w:r>
        <w:rPr>
          <w:rFonts w:ascii="Arial" w:hAnsi="Arial" w:cs="Arial"/>
          <w:color w:val="000000" w:themeColor="text1"/>
          <w:sz w:val="24"/>
          <w:szCs w:val="24"/>
          <w:lang w:val="pt"/>
        </w:rPr>
        <w:t>a SP Securitização</w:t>
      </w:r>
      <w:r w:rsidRPr="003C3ADF">
        <w:rPr>
          <w:rFonts w:ascii="Arial" w:hAnsi="Arial" w:cs="Arial"/>
          <w:color w:val="000000" w:themeColor="text1"/>
          <w:sz w:val="24"/>
          <w:szCs w:val="24"/>
          <w:lang w:val="pt"/>
        </w:rPr>
        <w:t>.</w:t>
      </w:r>
    </w:p>
    <w:p w14:paraId="374E4EDB" w14:textId="77777777" w:rsidR="00B01D6F" w:rsidRDefault="00B01D6F" w:rsidP="00B01D6F">
      <w:pPr>
        <w:spacing w:before="140" w:line="288" w:lineRule="auto"/>
        <w:ind w:left="851"/>
        <w:rPr>
          <w:rFonts w:ascii="Arial" w:hAnsi="Arial" w:cs="Arial"/>
          <w:color w:val="000000" w:themeColor="text1"/>
          <w:sz w:val="24"/>
          <w:szCs w:val="24"/>
          <w:lang w:val="pt"/>
        </w:rPr>
      </w:pPr>
    </w:p>
    <w:p w14:paraId="5233E9CB"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Pr>
          <w:rFonts w:ascii="Arial" w:hAnsi="Arial" w:cs="Arial"/>
          <w:color w:val="000000" w:themeColor="text1"/>
          <w:sz w:val="24"/>
          <w:szCs w:val="24"/>
          <w:lang w:val="pt"/>
        </w:rPr>
        <w:t xml:space="preserve">O investimento foi </w:t>
      </w:r>
      <w:r w:rsidRPr="003C3ADF">
        <w:rPr>
          <w:rFonts w:ascii="Arial" w:hAnsi="Arial" w:cs="Arial"/>
          <w:color w:val="000000" w:themeColor="text1"/>
          <w:sz w:val="24"/>
          <w:szCs w:val="24"/>
          <w:lang w:val="pt"/>
        </w:rPr>
        <w:t>avaliado pelo Método de Equivalência Patrimonial (MEP):</w:t>
      </w:r>
    </w:p>
    <w:p w14:paraId="2C9D0077"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452E23">
        <w:rPr>
          <w:noProof/>
        </w:rPr>
        <w:drawing>
          <wp:inline distT="0" distB="0" distL="0" distR="0" wp14:anchorId="7E13A05D" wp14:editId="51FC16F4">
            <wp:extent cx="5610225" cy="63246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632460"/>
                    </a:xfrm>
                    <a:prstGeom prst="rect">
                      <a:avLst/>
                    </a:prstGeom>
                    <a:noFill/>
                    <a:ln>
                      <a:noFill/>
                    </a:ln>
                  </pic:spPr>
                </pic:pic>
              </a:graphicData>
            </a:graphic>
          </wp:inline>
        </w:drawing>
      </w:r>
    </w:p>
    <w:p w14:paraId="1E27A867"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452E23">
        <w:rPr>
          <w:noProof/>
        </w:rPr>
        <w:drawing>
          <wp:inline distT="0" distB="0" distL="0" distR="0" wp14:anchorId="4F09828E" wp14:editId="3AE25B5A">
            <wp:extent cx="4000500" cy="6000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0" cy="600075"/>
                    </a:xfrm>
                    <a:prstGeom prst="rect">
                      <a:avLst/>
                    </a:prstGeom>
                    <a:noFill/>
                    <a:ln>
                      <a:noFill/>
                    </a:ln>
                  </pic:spPr>
                </pic:pic>
              </a:graphicData>
            </a:graphic>
          </wp:inline>
        </w:drawing>
      </w:r>
    </w:p>
    <w:p w14:paraId="727442B8"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Pr>
          <w:noProof/>
        </w:rPr>
        <w:t xml:space="preserve"> </w:t>
      </w:r>
    </w:p>
    <w:p w14:paraId="71307BBC" w14:textId="77777777" w:rsidR="00B01D6F"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b/>
          <w:color w:val="000000" w:themeColor="text1"/>
          <w:sz w:val="24"/>
          <w:szCs w:val="24"/>
          <w:u w:val="single"/>
        </w:rPr>
      </w:pPr>
      <w:r>
        <w:rPr>
          <w:rFonts w:ascii="Arial" w:hAnsi="Arial" w:cs="Arial"/>
          <w:b/>
          <w:color w:val="000000" w:themeColor="text1"/>
          <w:sz w:val="24"/>
          <w:szCs w:val="24"/>
          <w:u w:val="single"/>
        </w:rPr>
        <w:t>IMOBILIZADO</w:t>
      </w:r>
    </w:p>
    <w:p w14:paraId="6C07D4E7"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As movimentações ocorridas nessa rubrica estão representadas a seguir:</w:t>
      </w:r>
    </w:p>
    <w:p w14:paraId="037F9AA2"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BD7FF0">
        <w:rPr>
          <w:noProof/>
        </w:rPr>
        <w:drawing>
          <wp:inline distT="0" distB="0" distL="0" distR="0" wp14:anchorId="18D75667" wp14:editId="181A6491">
            <wp:extent cx="5372100" cy="9048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904875"/>
                    </a:xfrm>
                    <a:prstGeom prst="rect">
                      <a:avLst/>
                    </a:prstGeom>
                    <a:noFill/>
                    <a:ln>
                      <a:noFill/>
                    </a:ln>
                  </pic:spPr>
                </pic:pic>
              </a:graphicData>
            </a:graphic>
          </wp:inline>
        </w:drawing>
      </w:r>
    </w:p>
    <w:p w14:paraId="515BDDF1" w14:textId="77777777" w:rsidR="00B01D6F" w:rsidRPr="00FC371E"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b/>
          <w:bCs/>
          <w:color w:val="000000" w:themeColor="text1"/>
          <w:sz w:val="24"/>
          <w:szCs w:val="24"/>
          <w:u w:val="single"/>
          <w:lang w:val="pt"/>
        </w:rPr>
      </w:pPr>
      <w:r w:rsidRPr="00FC371E">
        <w:rPr>
          <w:rFonts w:ascii="Arial" w:hAnsi="Arial" w:cs="Arial"/>
          <w:b/>
          <w:bCs/>
          <w:color w:val="000000" w:themeColor="text1"/>
          <w:sz w:val="24"/>
          <w:szCs w:val="24"/>
          <w:lang w:val="pt"/>
        </w:rPr>
        <w:t xml:space="preserve">  </w:t>
      </w:r>
      <w:r w:rsidRPr="00FC371E">
        <w:rPr>
          <w:rFonts w:ascii="Arial" w:hAnsi="Arial" w:cs="Arial"/>
          <w:b/>
          <w:bCs/>
          <w:color w:val="000000" w:themeColor="text1"/>
          <w:sz w:val="24"/>
          <w:szCs w:val="24"/>
          <w:u w:val="single"/>
          <w:lang w:val="pt"/>
        </w:rPr>
        <w:t>INTANGÍVEL</w:t>
      </w:r>
    </w:p>
    <w:p w14:paraId="4C5E3D05"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As movimentações ocorridas nessa rubrica estão representadas a seguir:</w:t>
      </w:r>
    </w:p>
    <w:p w14:paraId="5657B3D2"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BD7FF0">
        <w:rPr>
          <w:noProof/>
        </w:rPr>
        <w:lastRenderedPageBreak/>
        <w:drawing>
          <wp:inline distT="0" distB="0" distL="0" distR="0" wp14:anchorId="4790DC87" wp14:editId="1B68F652">
            <wp:extent cx="5372100" cy="6953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2100" cy="695325"/>
                    </a:xfrm>
                    <a:prstGeom prst="rect">
                      <a:avLst/>
                    </a:prstGeom>
                    <a:noFill/>
                    <a:ln>
                      <a:noFill/>
                    </a:ln>
                  </pic:spPr>
                </pic:pic>
              </a:graphicData>
            </a:graphic>
          </wp:inline>
        </w:drawing>
      </w:r>
    </w:p>
    <w:p w14:paraId="7D9A524E" w14:textId="77777777" w:rsidR="00B01D6F" w:rsidRPr="00FF3D91"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b/>
          <w:color w:val="000000" w:themeColor="text1"/>
          <w:sz w:val="24"/>
          <w:szCs w:val="24"/>
          <w:u w:val="single"/>
        </w:rPr>
      </w:pPr>
      <w:r w:rsidRPr="00FF3D91">
        <w:rPr>
          <w:rFonts w:ascii="Arial" w:hAnsi="Arial" w:cs="Arial"/>
          <w:b/>
          <w:color w:val="000000" w:themeColor="text1"/>
          <w:sz w:val="24"/>
          <w:szCs w:val="24"/>
          <w:u w:val="single"/>
        </w:rPr>
        <w:t>OBRIGAÇÕES COM FORNECEDORES</w:t>
      </w:r>
    </w:p>
    <w:p w14:paraId="2454846E" w14:textId="77777777" w:rsidR="00B01D6F" w:rsidRPr="00233389"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FF3D91">
        <w:rPr>
          <w:rFonts w:ascii="Arial" w:hAnsi="Arial" w:cs="Arial"/>
          <w:color w:val="000000" w:themeColor="text1"/>
          <w:sz w:val="24"/>
          <w:szCs w:val="24"/>
          <w:lang w:val="pt"/>
        </w:rPr>
        <w:t>A composição do saldo é a seguinte</w:t>
      </w:r>
      <w:r w:rsidRPr="00233389">
        <w:rPr>
          <w:rFonts w:ascii="Arial" w:hAnsi="Arial" w:cs="Arial"/>
          <w:color w:val="000000" w:themeColor="text1"/>
          <w:sz w:val="24"/>
          <w:szCs w:val="24"/>
          <w:lang w:val="pt"/>
        </w:rPr>
        <w:t>:</w:t>
      </w:r>
    </w:p>
    <w:p w14:paraId="596940CF"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452E23">
        <w:rPr>
          <w:noProof/>
        </w:rPr>
        <w:drawing>
          <wp:inline distT="0" distB="0" distL="0" distR="0" wp14:anchorId="24BE6203" wp14:editId="36C2C5BD">
            <wp:extent cx="5648325" cy="71437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8325" cy="714375"/>
                    </a:xfrm>
                    <a:prstGeom prst="rect">
                      <a:avLst/>
                    </a:prstGeom>
                    <a:noFill/>
                    <a:ln>
                      <a:noFill/>
                    </a:ln>
                  </pic:spPr>
                </pic:pic>
              </a:graphicData>
            </a:graphic>
          </wp:inline>
        </w:drawing>
      </w:r>
    </w:p>
    <w:p w14:paraId="35E81EAA"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
        </w:rPr>
      </w:pPr>
    </w:p>
    <w:p w14:paraId="24ED34F4" w14:textId="77777777" w:rsidR="00B01D6F" w:rsidRPr="00E544D9"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color w:val="000000" w:themeColor="text1"/>
          <w:sz w:val="24"/>
          <w:szCs w:val="24"/>
          <w:lang w:val="pt"/>
        </w:rPr>
      </w:pPr>
      <w:r w:rsidRPr="00E544D9">
        <w:rPr>
          <w:rFonts w:ascii="Arial" w:hAnsi="Arial" w:cs="Arial"/>
          <w:b/>
          <w:color w:val="000000" w:themeColor="text1"/>
          <w:sz w:val="24"/>
          <w:szCs w:val="24"/>
          <w:u w:val="single"/>
        </w:rPr>
        <w:t>OBRIGAÇÕES TRABALHISTAS E PREVIDENCIÁRIAS</w:t>
      </w:r>
    </w:p>
    <w:p w14:paraId="3B153C46" w14:textId="77777777" w:rsidR="00B01D6F" w:rsidRPr="00FF3D91" w:rsidRDefault="00B01D6F" w:rsidP="00B01D6F">
      <w:pPr>
        <w:pStyle w:val="PargrafodaLista"/>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FF3D91">
        <w:rPr>
          <w:rFonts w:ascii="Arial" w:hAnsi="Arial" w:cs="Arial"/>
          <w:color w:val="000000" w:themeColor="text1"/>
          <w:sz w:val="24"/>
          <w:szCs w:val="24"/>
        </w:rPr>
        <w:t>A composição do saldo é a seguinte:</w:t>
      </w:r>
    </w:p>
    <w:p w14:paraId="38B615C8" w14:textId="77777777" w:rsidR="00B01D6F" w:rsidRDefault="00B01D6F" w:rsidP="00B01D6F">
      <w:pPr>
        <w:pStyle w:val="PargrafodaLista"/>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452E23">
        <w:rPr>
          <w:noProof/>
        </w:rPr>
        <w:drawing>
          <wp:inline distT="0" distB="0" distL="0" distR="0" wp14:anchorId="6928A36C" wp14:editId="5712562D">
            <wp:extent cx="5581650" cy="15525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1650" cy="1552575"/>
                    </a:xfrm>
                    <a:prstGeom prst="rect">
                      <a:avLst/>
                    </a:prstGeom>
                    <a:noFill/>
                    <a:ln>
                      <a:noFill/>
                    </a:ln>
                  </pic:spPr>
                </pic:pic>
              </a:graphicData>
            </a:graphic>
          </wp:inline>
        </w:drawing>
      </w:r>
    </w:p>
    <w:p w14:paraId="3C6E7704" w14:textId="77777777" w:rsidR="00B01D6F" w:rsidRDefault="00B01D6F" w:rsidP="00B01D6F">
      <w:pPr>
        <w:pStyle w:val="PargrafodaLista"/>
        <w:tabs>
          <w:tab w:val="left" w:pos="851"/>
        </w:tabs>
        <w:autoSpaceDE w:val="0"/>
        <w:autoSpaceDN w:val="0"/>
        <w:adjustRightInd w:val="0"/>
        <w:spacing w:before="140" w:line="288" w:lineRule="auto"/>
        <w:ind w:left="851"/>
        <w:rPr>
          <w:rFonts w:ascii="Arial" w:hAnsi="Arial" w:cs="Arial"/>
          <w:color w:val="000000" w:themeColor="text1"/>
          <w:sz w:val="24"/>
          <w:szCs w:val="24"/>
        </w:rPr>
      </w:pPr>
    </w:p>
    <w:p w14:paraId="74D8BABA" w14:textId="77777777" w:rsidR="00B01D6F" w:rsidRPr="003C3ADF" w:rsidRDefault="00B01D6F" w:rsidP="00B01D6F">
      <w:pPr>
        <w:pStyle w:val="PargrafodaLista"/>
        <w:keepNext/>
        <w:widowControl w:val="0"/>
        <w:numPr>
          <w:ilvl w:val="0"/>
          <w:numId w:val="2"/>
        </w:numPr>
        <w:autoSpaceDE w:val="0"/>
        <w:autoSpaceDN w:val="0"/>
        <w:adjustRightInd w:val="0"/>
        <w:spacing w:before="140" w:line="288" w:lineRule="auto"/>
        <w:ind w:left="851" w:hanging="851"/>
        <w:rPr>
          <w:rFonts w:ascii="Arial" w:hAnsi="Arial" w:cs="Arial"/>
          <w:b/>
          <w:color w:val="000000" w:themeColor="text1"/>
          <w:sz w:val="24"/>
          <w:szCs w:val="24"/>
        </w:rPr>
      </w:pPr>
      <w:r w:rsidRPr="003C3ADF">
        <w:rPr>
          <w:rFonts w:ascii="Arial" w:hAnsi="Arial" w:cs="Arial"/>
          <w:b/>
          <w:color w:val="000000" w:themeColor="text1"/>
          <w:sz w:val="24"/>
          <w:szCs w:val="24"/>
          <w:u w:val="single"/>
        </w:rPr>
        <w:t>OBRIGAÇÕES TRIBUTÁRIAS</w:t>
      </w:r>
    </w:p>
    <w:p w14:paraId="39806F73" w14:textId="77777777" w:rsidR="00B01D6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A composição do saldo é a seguinte:</w:t>
      </w:r>
    </w:p>
    <w:p w14:paraId="0F406E9D" w14:textId="77777777" w:rsidR="00B01D6F" w:rsidRPr="003C3AD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rPr>
      </w:pPr>
      <w:r w:rsidRPr="00EF0E5A">
        <w:rPr>
          <w:noProof/>
        </w:rPr>
        <w:drawing>
          <wp:inline distT="0" distB="0" distL="0" distR="0" wp14:anchorId="7580E46C" wp14:editId="6CC7E889">
            <wp:extent cx="5629275" cy="1295400"/>
            <wp:effectExtent l="0" t="0" r="952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29275" cy="1295400"/>
                    </a:xfrm>
                    <a:prstGeom prst="rect">
                      <a:avLst/>
                    </a:prstGeom>
                    <a:noFill/>
                    <a:ln>
                      <a:noFill/>
                    </a:ln>
                  </pic:spPr>
                </pic:pic>
              </a:graphicData>
            </a:graphic>
          </wp:inline>
        </w:drawing>
      </w:r>
    </w:p>
    <w:p w14:paraId="35E03CBA" w14:textId="77777777" w:rsidR="00B01D6F" w:rsidRDefault="00B01D6F" w:rsidP="00B01D6F">
      <w:pPr>
        <w:spacing w:before="140" w:line="288" w:lineRule="auto"/>
        <w:ind w:left="851"/>
        <w:rPr>
          <w:rFonts w:ascii="Arial" w:hAnsi="Arial" w:cs="Arial"/>
          <w:color w:val="000000" w:themeColor="text1"/>
          <w:sz w:val="24"/>
          <w:szCs w:val="24"/>
        </w:rPr>
      </w:pPr>
    </w:p>
    <w:p w14:paraId="76866E2E" w14:textId="77777777" w:rsidR="00B01D6F" w:rsidRPr="003C3ADF"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b/>
          <w:color w:val="000000" w:themeColor="text1"/>
          <w:sz w:val="24"/>
          <w:szCs w:val="24"/>
          <w:u w:val="single"/>
        </w:rPr>
      </w:pPr>
      <w:r w:rsidRPr="003C3ADF">
        <w:rPr>
          <w:rFonts w:ascii="Arial" w:hAnsi="Arial" w:cs="Arial"/>
          <w:b/>
          <w:color w:val="000000" w:themeColor="text1"/>
          <w:sz w:val="24"/>
          <w:szCs w:val="24"/>
          <w:u w:val="single"/>
        </w:rPr>
        <w:t>AFAC</w:t>
      </w:r>
    </w:p>
    <w:p w14:paraId="1E3DC6E9"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A composição do saldo é a seguinte:</w:t>
      </w:r>
    </w:p>
    <w:p w14:paraId="43049736"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EF0E5A">
        <w:rPr>
          <w:noProof/>
        </w:rPr>
        <w:lastRenderedPageBreak/>
        <w:drawing>
          <wp:inline distT="0" distB="0" distL="0" distR="0" wp14:anchorId="4C30BFC9" wp14:editId="053A7124">
            <wp:extent cx="5581650" cy="61912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619125"/>
                    </a:xfrm>
                    <a:prstGeom prst="rect">
                      <a:avLst/>
                    </a:prstGeom>
                    <a:noFill/>
                    <a:ln>
                      <a:noFill/>
                    </a:ln>
                  </pic:spPr>
                </pic:pic>
              </a:graphicData>
            </a:graphic>
          </wp:inline>
        </w:drawing>
      </w:r>
    </w:p>
    <w:p w14:paraId="2229BFCC" w14:textId="77777777" w:rsidR="00B01D6F" w:rsidRPr="004754B6"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4754B6">
        <w:rPr>
          <w:rFonts w:ascii="Arial" w:hAnsi="Arial" w:cs="Arial"/>
          <w:color w:val="000000" w:themeColor="text1"/>
          <w:sz w:val="24"/>
          <w:szCs w:val="24"/>
          <w:lang w:val="pt"/>
        </w:rPr>
        <w:t xml:space="preserve">Em setembro de 2016 a RCB produziu um Laudo de Avaliação da Carteira de </w:t>
      </w:r>
      <w:proofErr w:type="gramStart"/>
      <w:r w:rsidRPr="004754B6">
        <w:rPr>
          <w:rFonts w:ascii="Arial" w:hAnsi="Arial" w:cs="Arial"/>
          <w:color w:val="000000" w:themeColor="text1"/>
          <w:sz w:val="24"/>
          <w:szCs w:val="24"/>
          <w:lang w:val="pt"/>
        </w:rPr>
        <w:t>Credito</w:t>
      </w:r>
      <w:proofErr w:type="gramEnd"/>
      <w:r w:rsidRPr="004754B6">
        <w:rPr>
          <w:rFonts w:ascii="Arial" w:hAnsi="Arial" w:cs="Arial"/>
          <w:color w:val="000000" w:themeColor="text1"/>
          <w:sz w:val="24"/>
          <w:szCs w:val="24"/>
          <w:lang w:val="pt"/>
        </w:rPr>
        <w:t xml:space="preserve"> Imobiliário (CCI). A carteira, que tinha um valor de face de R$ 1.057.229.289,91, foi avaliada em 30/09/2016 por R$ 197.366.683,00. Nesse momento, a Companhia São Paulo de Desenvolvimento e Mobilização de Ativos – SPDA já havia recebido, a título de amortizações do principal da CCI, de março a setembro de 2016, o valor de R$ 21.843.723,09.</w:t>
      </w:r>
    </w:p>
    <w:p w14:paraId="36AFAC08" w14:textId="77777777" w:rsidR="00B01D6F" w:rsidRPr="001002AB"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1002AB">
        <w:rPr>
          <w:rFonts w:ascii="Arial" w:hAnsi="Arial" w:cs="Arial"/>
          <w:color w:val="000000" w:themeColor="text1"/>
          <w:sz w:val="24"/>
          <w:szCs w:val="24"/>
          <w:lang w:val="pt"/>
        </w:rPr>
        <w:t xml:space="preserve">Em 13/10/2016 a Prefeitura do Município de São Paulo – PMSP integralizou o capital na SPDA no valor de R$ 195.826.850,00. Esse valor corresponde ao valor da CCI conforme o descrito no Laudo de Avaliação, de R$ 197.366.683,00, reduzido em R$ 1.539.833,00 por conta do repasse, pela SPDA, dos valores das amortizações extraordinárias dos mutuários à </w:t>
      </w:r>
      <w:r>
        <w:rPr>
          <w:rFonts w:ascii="Arial" w:hAnsi="Arial" w:cs="Arial"/>
          <w:color w:val="000000" w:themeColor="text1"/>
          <w:sz w:val="24"/>
          <w:szCs w:val="24"/>
          <w:lang w:val="pt"/>
        </w:rPr>
        <w:t>CEF</w:t>
      </w:r>
      <w:r w:rsidRPr="001002AB">
        <w:rPr>
          <w:rFonts w:ascii="Arial" w:hAnsi="Arial" w:cs="Arial"/>
          <w:color w:val="000000" w:themeColor="text1"/>
          <w:sz w:val="24"/>
          <w:szCs w:val="24"/>
          <w:lang w:val="pt"/>
        </w:rPr>
        <w:t>.</w:t>
      </w:r>
      <w:r>
        <w:rPr>
          <w:rFonts w:ascii="Arial" w:hAnsi="Arial" w:cs="Arial"/>
          <w:color w:val="000000" w:themeColor="text1"/>
          <w:sz w:val="24"/>
          <w:szCs w:val="24"/>
          <w:lang w:val="pt"/>
        </w:rPr>
        <w:t xml:space="preserve"> </w:t>
      </w:r>
      <w:r w:rsidRPr="001002AB">
        <w:rPr>
          <w:rFonts w:ascii="Arial" w:hAnsi="Arial" w:cs="Arial"/>
          <w:color w:val="000000" w:themeColor="text1"/>
          <w:sz w:val="24"/>
          <w:szCs w:val="24"/>
          <w:lang w:val="pt"/>
        </w:rPr>
        <w:t>Durante o mês de outubro de 2016 a SPDA recebeu a título de amortizações do principal da CCI o valor de R$ 3.368.353,96, levando o valor da CCI em 30/10/2016 para R$ 193.998.329,04.</w:t>
      </w:r>
    </w:p>
    <w:p w14:paraId="0C678E38" w14:textId="77777777" w:rsidR="00B01D6F" w:rsidRPr="001002AB"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1002AB">
        <w:rPr>
          <w:rFonts w:ascii="Arial" w:hAnsi="Arial" w:cs="Arial"/>
          <w:color w:val="000000" w:themeColor="text1"/>
          <w:sz w:val="24"/>
          <w:szCs w:val="24"/>
          <w:lang w:val="pt"/>
        </w:rPr>
        <w:t>Para a constituição do FIDC, a RCB teve que realizar uma nova avaliação da CCI com metodologia definida pelo Banco Paulista. Nessa nova avaliação o valor da CCI em 30/10/2016 foi de R$ 194.979.126,05. As diferentes metodologias de cálculo do valor da CCI geraram um ajuste contábil no valor de R$ 980.797,01.</w:t>
      </w:r>
    </w:p>
    <w:p w14:paraId="7BC7AF9D" w14:textId="77777777" w:rsidR="00B01D6F" w:rsidRPr="001002AB"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1002AB">
        <w:rPr>
          <w:rFonts w:ascii="Arial" w:hAnsi="Arial" w:cs="Arial"/>
          <w:color w:val="000000" w:themeColor="text1"/>
          <w:sz w:val="24"/>
          <w:szCs w:val="24"/>
          <w:lang w:val="pt"/>
        </w:rPr>
        <w:t>O valor do Adiantamento para Futuro Aumento de Capital – AFAC que a SPDA recebeu da PMSP deveria ser composto também pelo valor de amortizações do principal da CCI recebido pela SPDA entre os meses de março e setembro de 2016. Nesse caso, o AFAC deveria ser no valor de R$ 21.843.723,09, porém, com o ajuste contábil por conta das diferentes metodologias de avaliação da CCI o valor do AFAC passou a ser de R$ 22.824.520,10.</w:t>
      </w:r>
    </w:p>
    <w:p w14:paraId="36A91FDC"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1002AB">
        <w:rPr>
          <w:rFonts w:ascii="Arial" w:hAnsi="Arial" w:cs="Arial"/>
          <w:color w:val="000000" w:themeColor="text1"/>
          <w:sz w:val="24"/>
          <w:szCs w:val="24"/>
          <w:lang w:val="pt"/>
        </w:rPr>
        <w:t>Em 2016, o AFAC foi contabilizado por R$ 24.363.353,10 mediante informações contábeis, financeiras e administrativas disponíveis na data de sua produção e de acordo com ambiente dinâmico a que estava exposta. Posteriormente, na consolidação das informações, identificou-se distorção quanto aos registros contábeis efetuados à época, demonstrando necessidade de posterior ajuste.</w:t>
      </w:r>
      <w:r>
        <w:rPr>
          <w:rFonts w:ascii="Arial" w:hAnsi="Arial" w:cs="Arial"/>
          <w:color w:val="000000" w:themeColor="text1"/>
          <w:sz w:val="24"/>
          <w:szCs w:val="24"/>
          <w:lang w:val="pt"/>
        </w:rPr>
        <w:t xml:space="preserve"> </w:t>
      </w:r>
      <w:r w:rsidRPr="001002AB">
        <w:rPr>
          <w:rFonts w:ascii="Arial" w:hAnsi="Arial" w:cs="Arial"/>
          <w:color w:val="000000" w:themeColor="text1"/>
          <w:sz w:val="24"/>
          <w:szCs w:val="24"/>
          <w:lang w:val="pt"/>
        </w:rPr>
        <w:t xml:space="preserve">Em 2017 </w:t>
      </w:r>
      <w:r>
        <w:rPr>
          <w:rFonts w:ascii="Arial" w:hAnsi="Arial" w:cs="Arial"/>
          <w:color w:val="000000" w:themeColor="text1"/>
          <w:sz w:val="24"/>
          <w:szCs w:val="24"/>
          <w:lang w:val="pt"/>
        </w:rPr>
        <w:t>foi</w:t>
      </w:r>
      <w:r w:rsidRPr="001002AB">
        <w:rPr>
          <w:rFonts w:ascii="Arial" w:hAnsi="Arial" w:cs="Arial"/>
          <w:color w:val="000000" w:themeColor="text1"/>
          <w:sz w:val="24"/>
          <w:szCs w:val="24"/>
          <w:lang w:val="pt"/>
        </w:rPr>
        <w:t xml:space="preserve"> realizado o </w:t>
      </w:r>
      <w:r w:rsidRPr="001002AB">
        <w:rPr>
          <w:rFonts w:ascii="Arial" w:hAnsi="Arial" w:cs="Arial"/>
          <w:color w:val="000000" w:themeColor="text1"/>
          <w:sz w:val="24"/>
          <w:szCs w:val="24"/>
          <w:lang w:val="pt"/>
        </w:rPr>
        <w:lastRenderedPageBreak/>
        <w:t>ajuste contábil para o valor correto de AFAC. Ainda em 2016, quando da integralização de capital promovida pela PMSP, o valor de R$ 1.539.833,00 que foi abatido do capital social integralizado, por conta das amortizações extraordinárias, deveria ter sido reduzido da conta contábil 322 1.1.03.01.001.03 AMORTIZACOES EXTRAORDINARIAS - CEF, fechando o ano de 2016 com um saldo de R$ 1.671.222,37 e não R$ 3.211.055,37. Nenhum dos ajustes citados acima terá impacto em resultado.</w:t>
      </w:r>
    </w:p>
    <w:p w14:paraId="1137FE49"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p>
    <w:p w14:paraId="2C22F550" w14:textId="77777777" w:rsidR="00B01D6F"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s="Arial"/>
          <w:b/>
          <w:color w:val="000000" w:themeColor="text1"/>
          <w:sz w:val="24"/>
          <w:szCs w:val="24"/>
          <w:u w:val="single"/>
        </w:rPr>
      </w:pPr>
      <w:r>
        <w:rPr>
          <w:rFonts w:ascii="Arial" w:hAnsi="Arial" w:cs="Arial"/>
          <w:b/>
          <w:color w:val="000000" w:themeColor="text1"/>
          <w:sz w:val="24"/>
          <w:szCs w:val="24"/>
          <w:u w:val="single"/>
        </w:rPr>
        <w:t>IMPOSTO DE RENDA E CONTRIBUIÇÃO SOCIAL DIFERIDOS</w:t>
      </w:r>
    </w:p>
    <w:p w14:paraId="5429B9C8"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9012F5">
        <w:rPr>
          <w:rFonts w:ascii="Arial" w:hAnsi="Arial" w:cs="Arial"/>
          <w:color w:val="000000" w:themeColor="text1"/>
          <w:sz w:val="24"/>
          <w:szCs w:val="24"/>
          <w:lang w:val="pt"/>
        </w:rPr>
        <w:t>O IRPJ e CSLL diferidos foram calculados sobre a receita de ajuste a valor justo referente às cotas do FIDC. O IRPJ e a CSLL diferidos foram reconhecidos no montante provável em que os lucros tributáveis futuros serão suficientes para deduzir todas as diferenças temporárias, os prejuízos fiscais do IRPJ e bases negativas de CSLL e serão compensadas fiscalmente à medida da sua realização</w:t>
      </w:r>
      <w:r>
        <w:rPr>
          <w:rFonts w:ascii="Arial" w:hAnsi="Arial" w:cs="Arial"/>
          <w:color w:val="000000" w:themeColor="text1"/>
          <w:sz w:val="24"/>
          <w:szCs w:val="24"/>
          <w:lang w:val="pt"/>
        </w:rPr>
        <w:t xml:space="preserve">. </w:t>
      </w:r>
      <w:r>
        <w:rPr>
          <w:rFonts w:ascii="Arial" w:hAnsi="Arial" w:cs="Arial"/>
          <w:color w:val="000000" w:themeColor="text1"/>
          <w:sz w:val="24"/>
          <w:szCs w:val="24"/>
          <w:lang w:val="pt"/>
        </w:rPr>
        <w:br/>
      </w:r>
    </w:p>
    <w:p w14:paraId="5FC8FE94"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EF0E5A">
        <w:rPr>
          <w:noProof/>
        </w:rPr>
        <w:drawing>
          <wp:inline distT="0" distB="0" distL="0" distR="0" wp14:anchorId="2E1333DE" wp14:editId="31B9918F">
            <wp:extent cx="5600700" cy="7239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0700" cy="723900"/>
                    </a:xfrm>
                    <a:prstGeom prst="rect">
                      <a:avLst/>
                    </a:prstGeom>
                    <a:noFill/>
                    <a:ln>
                      <a:noFill/>
                    </a:ln>
                  </pic:spPr>
                </pic:pic>
              </a:graphicData>
            </a:graphic>
          </wp:inline>
        </w:drawing>
      </w:r>
    </w:p>
    <w:p w14:paraId="3CDB5433" w14:textId="77777777" w:rsidR="00B01D6F" w:rsidRPr="00DB6A6D" w:rsidRDefault="00B01D6F" w:rsidP="00B01D6F">
      <w:pPr>
        <w:autoSpaceDE w:val="0"/>
        <w:autoSpaceDN w:val="0"/>
        <w:adjustRightInd w:val="0"/>
        <w:spacing w:before="140" w:line="288" w:lineRule="auto"/>
        <w:ind w:left="851"/>
        <w:rPr>
          <w:rFonts w:ascii="Arial" w:hAnsi="Arial"/>
          <w:color w:val="000000" w:themeColor="text1"/>
          <w:sz w:val="24"/>
          <w:lang w:val="pt"/>
        </w:rPr>
      </w:pPr>
    </w:p>
    <w:p w14:paraId="4539F99A" w14:textId="77777777" w:rsidR="00B01D6F" w:rsidRPr="00BC331A" w:rsidRDefault="00B01D6F" w:rsidP="00B01D6F">
      <w:pPr>
        <w:pStyle w:val="PargrafodaLista"/>
        <w:numPr>
          <w:ilvl w:val="0"/>
          <w:numId w:val="2"/>
        </w:numPr>
        <w:tabs>
          <w:tab w:val="left" w:pos="851"/>
        </w:tabs>
        <w:autoSpaceDE w:val="0"/>
        <w:autoSpaceDN w:val="0"/>
        <w:adjustRightInd w:val="0"/>
        <w:spacing w:before="140" w:line="288" w:lineRule="auto"/>
        <w:ind w:left="851" w:hanging="851"/>
        <w:rPr>
          <w:rFonts w:ascii="Arial" w:hAnsi="Arial"/>
          <w:color w:val="000000" w:themeColor="text1"/>
          <w:sz w:val="24"/>
        </w:rPr>
      </w:pPr>
      <w:r w:rsidRPr="00BC331A">
        <w:rPr>
          <w:rFonts w:ascii="Arial" w:hAnsi="Arial" w:cs="Arial"/>
          <w:b/>
          <w:color w:val="000000" w:themeColor="text1"/>
          <w:sz w:val="24"/>
          <w:szCs w:val="24"/>
          <w:u w:val="single"/>
        </w:rPr>
        <w:t>PATRIMÔNIO LÍQUIDO</w:t>
      </w:r>
    </w:p>
    <w:p w14:paraId="5C2950F3" w14:textId="77777777" w:rsidR="00B01D6F" w:rsidRPr="00BC331A" w:rsidRDefault="00B01D6F" w:rsidP="00B01D6F">
      <w:pPr>
        <w:pStyle w:val="PargrafodaLista"/>
        <w:keepNext/>
        <w:widowControl w:val="0"/>
        <w:numPr>
          <w:ilvl w:val="0"/>
          <w:numId w:val="4"/>
        </w:numPr>
        <w:tabs>
          <w:tab w:val="left" w:pos="851"/>
        </w:tabs>
        <w:autoSpaceDE w:val="0"/>
        <w:autoSpaceDN w:val="0"/>
        <w:adjustRightInd w:val="0"/>
        <w:spacing w:before="140" w:line="288" w:lineRule="auto"/>
        <w:ind w:left="851"/>
        <w:rPr>
          <w:rFonts w:ascii="Arial" w:hAnsi="Arial" w:cs="Arial"/>
          <w:color w:val="000000" w:themeColor="text1"/>
          <w:sz w:val="24"/>
          <w:szCs w:val="24"/>
        </w:rPr>
      </w:pPr>
      <w:r w:rsidRPr="00BC331A">
        <w:rPr>
          <w:rFonts w:ascii="Arial" w:hAnsi="Arial" w:cs="Arial"/>
          <w:color w:val="000000" w:themeColor="text1"/>
          <w:sz w:val="24"/>
          <w:szCs w:val="24"/>
        </w:rPr>
        <w:tab/>
      </w:r>
      <w:r w:rsidRPr="00BC331A">
        <w:rPr>
          <w:rFonts w:ascii="Arial" w:hAnsi="Arial" w:cs="Arial"/>
          <w:color w:val="000000" w:themeColor="text1"/>
          <w:sz w:val="24"/>
          <w:szCs w:val="24"/>
        </w:rPr>
        <w:tab/>
        <w:t>Capital Social: em 31 de dezembro de 2020 o capital subscrito e integralizado em moeda corrente era de R$ 204.164.469,28 (duzentos e quatro milhões cento e sessenta e quatro mil e quatrocentos e sessenta e nove reais e vinte e oito centavos), composto pela participação da Prefeitura do Município de São Paulo, com 204.164.464 ações ordinárias nominativas, correspondentes a R$ 204.164.464,28, do setor privado com participação de 1 ação ordinária nominativa, correspondente a R$ 1,00, e 4 ações ordinárias, com valor correspondente a R$4,00 que se encontram em tesouraria.</w:t>
      </w:r>
    </w:p>
    <w:p w14:paraId="38136979" w14:textId="77777777" w:rsidR="00B01D6F" w:rsidRDefault="00B01D6F" w:rsidP="00B01D6F">
      <w:pPr>
        <w:pStyle w:val="PargrafodaLista"/>
        <w:keepNext/>
        <w:widowControl w:val="0"/>
        <w:numPr>
          <w:ilvl w:val="0"/>
          <w:numId w:val="4"/>
        </w:numPr>
        <w:tabs>
          <w:tab w:val="left" w:pos="1418"/>
        </w:tabs>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ab/>
      </w:r>
      <w:r w:rsidRPr="00173C76">
        <w:rPr>
          <w:rFonts w:ascii="Arial" w:hAnsi="Arial" w:cs="Arial"/>
          <w:color w:val="000000" w:themeColor="text1"/>
          <w:sz w:val="24"/>
          <w:szCs w:val="24"/>
        </w:rPr>
        <w:t>Reserva de Lucros</w:t>
      </w:r>
      <w:r>
        <w:rPr>
          <w:rFonts w:ascii="Arial" w:hAnsi="Arial" w:cs="Arial"/>
          <w:color w:val="000000" w:themeColor="text1"/>
          <w:sz w:val="24"/>
          <w:szCs w:val="24"/>
        </w:rPr>
        <w:t xml:space="preserve"> a Realizar</w:t>
      </w:r>
      <w:r w:rsidRPr="00173C76">
        <w:rPr>
          <w:rFonts w:ascii="Arial" w:hAnsi="Arial" w:cs="Arial"/>
          <w:color w:val="000000" w:themeColor="text1"/>
          <w:sz w:val="24"/>
          <w:szCs w:val="24"/>
        </w:rPr>
        <w:t xml:space="preserve">: São reservas constituídas pela apropriação dos lucros da Companhia na forma prevista pelo § 4º do art. 182 da Lei 6.404/76 para atender às finalidades e deliberações da </w:t>
      </w:r>
      <w:r w:rsidRPr="00173C76">
        <w:rPr>
          <w:rFonts w:ascii="Arial" w:hAnsi="Arial" w:cs="Arial"/>
          <w:color w:val="000000" w:themeColor="text1"/>
          <w:sz w:val="24"/>
          <w:szCs w:val="24"/>
        </w:rPr>
        <w:lastRenderedPageBreak/>
        <w:t xml:space="preserve">Companhia no valor de R$ </w:t>
      </w:r>
      <w:r>
        <w:rPr>
          <w:rFonts w:ascii="Arial" w:hAnsi="Arial" w:cs="Arial"/>
          <w:color w:val="000000" w:themeColor="text1"/>
          <w:sz w:val="24"/>
          <w:szCs w:val="24"/>
        </w:rPr>
        <w:t>80.894.712,89.</w:t>
      </w:r>
    </w:p>
    <w:p w14:paraId="5BC20FB6" w14:textId="77777777" w:rsidR="00B01D6F" w:rsidRDefault="00B01D6F" w:rsidP="00B01D6F">
      <w:pPr>
        <w:keepNext/>
        <w:widowControl w:val="0"/>
        <w:tabs>
          <w:tab w:val="left" w:pos="1418"/>
        </w:tabs>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  c)</w:t>
      </w:r>
      <w:r>
        <w:rPr>
          <w:rFonts w:ascii="Arial" w:hAnsi="Arial" w:cs="Arial"/>
          <w:color w:val="000000" w:themeColor="text1"/>
          <w:sz w:val="24"/>
          <w:szCs w:val="24"/>
        </w:rPr>
        <w:tab/>
      </w:r>
      <w:r w:rsidRPr="00377786">
        <w:rPr>
          <w:rFonts w:ascii="Arial" w:hAnsi="Arial" w:cs="Arial"/>
          <w:color w:val="000000" w:themeColor="text1"/>
          <w:sz w:val="24"/>
          <w:szCs w:val="24"/>
        </w:rPr>
        <w:t>Reserva Legal:</w:t>
      </w:r>
      <w:r w:rsidRPr="00377786">
        <w:rPr>
          <w:rFonts w:ascii="Arial" w:hAnsi="Arial" w:cs="Arial"/>
        </w:rPr>
        <w:t xml:space="preserve"> </w:t>
      </w:r>
      <w:r w:rsidRPr="00377786">
        <w:rPr>
          <w:rFonts w:ascii="Arial" w:hAnsi="Arial" w:cs="Arial"/>
          <w:color w:val="000000" w:themeColor="text1"/>
          <w:sz w:val="24"/>
          <w:szCs w:val="24"/>
        </w:rPr>
        <w:t xml:space="preserve">A companhia adota como base para o cálculo da Reserva Legal </w:t>
      </w:r>
      <w:r>
        <w:rPr>
          <w:rFonts w:ascii="Arial" w:hAnsi="Arial" w:cs="Arial"/>
          <w:color w:val="000000" w:themeColor="text1"/>
          <w:sz w:val="24"/>
          <w:szCs w:val="24"/>
        </w:rPr>
        <w:t xml:space="preserve">o </w:t>
      </w:r>
      <w:r w:rsidRPr="00377786">
        <w:rPr>
          <w:rFonts w:ascii="Arial" w:hAnsi="Arial" w:cs="Arial"/>
          <w:color w:val="000000" w:themeColor="text1"/>
          <w:sz w:val="24"/>
          <w:szCs w:val="24"/>
        </w:rPr>
        <w:t>correspondente a 5% (cinco por cento) do lucro líquido do exercício, sendo</w:t>
      </w:r>
      <w:r>
        <w:rPr>
          <w:rFonts w:ascii="Arial" w:hAnsi="Arial" w:cs="Arial"/>
          <w:color w:val="000000" w:themeColor="text1"/>
          <w:sz w:val="24"/>
          <w:szCs w:val="24"/>
        </w:rPr>
        <w:t xml:space="preserve"> que</w:t>
      </w:r>
      <w:r w:rsidRPr="00377786">
        <w:rPr>
          <w:rFonts w:ascii="Arial" w:hAnsi="Arial" w:cs="Arial"/>
          <w:color w:val="000000" w:themeColor="text1"/>
          <w:sz w:val="24"/>
          <w:szCs w:val="24"/>
        </w:rPr>
        <w:t xml:space="preserve"> em 31 de dezembro de </w:t>
      </w:r>
      <w:r>
        <w:rPr>
          <w:rFonts w:ascii="Arial" w:hAnsi="Arial" w:cs="Arial"/>
          <w:color w:val="000000" w:themeColor="text1"/>
          <w:sz w:val="24"/>
          <w:szCs w:val="24"/>
        </w:rPr>
        <w:t xml:space="preserve">2020 </w:t>
      </w:r>
      <w:r w:rsidRPr="00377786">
        <w:rPr>
          <w:rFonts w:ascii="Arial" w:hAnsi="Arial" w:cs="Arial"/>
          <w:color w:val="000000" w:themeColor="text1"/>
          <w:sz w:val="24"/>
          <w:szCs w:val="24"/>
        </w:rPr>
        <w:t xml:space="preserve">a constituição da reserva foi no valor de R$ </w:t>
      </w:r>
      <w:r>
        <w:rPr>
          <w:rFonts w:ascii="Arial" w:hAnsi="Arial" w:cs="Arial"/>
          <w:color w:val="000000" w:themeColor="text1"/>
          <w:sz w:val="24"/>
          <w:szCs w:val="24"/>
        </w:rPr>
        <w:t>974.198,04 totalizando no montante de R$ 4.611.964,12.</w:t>
      </w:r>
    </w:p>
    <w:p w14:paraId="3EE1A145" w14:textId="77777777" w:rsidR="00B01D6F" w:rsidRPr="00DB6A6D" w:rsidRDefault="00B01D6F" w:rsidP="00B01D6F">
      <w:pPr>
        <w:keepNext/>
        <w:widowControl w:val="0"/>
        <w:tabs>
          <w:tab w:val="left" w:pos="1418"/>
        </w:tabs>
        <w:autoSpaceDE w:val="0"/>
        <w:autoSpaceDN w:val="0"/>
        <w:adjustRightInd w:val="0"/>
        <w:spacing w:before="140" w:line="288" w:lineRule="auto"/>
        <w:ind w:left="851"/>
        <w:rPr>
          <w:rFonts w:ascii="Arial" w:hAnsi="Arial"/>
          <w:sz w:val="24"/>
        </w:rPr>
      </w:pPr>
      <w:r>
        <w:rPr>
          <w:rFonts w:ascii="Arial" w:hAnsi="Arial" w:cs="Arial"/>
          <w:color w:val="000000" w:themeColor="text1"/>
          <w:sz w:val="24"/>
          <w:szCs w:val="24"/>
        </w:rPr>
        <w:t xml:space="preserve">   d)</w:t>
      </w:r>
      <w:r>
        <w:rPr>
          <w:rFonts w:ascii="Arial" w:hAnsi="Arial" w:cs="Arial"/>
          <w:color w:val="000000" w:themeColor="text1"/>
          <w:sz w:val="24"/>
          <w:szCs w:val="24"/>
        </w:rPr>
        <w:tab/>
      </w:r>
      <w:r w:rsidRPr="00377786">
        <w:rPr>
          <w:rFonts w:ascii="Arial" w:hAnsi="Arial" w:cs="Arial"/>
          <w:color w:val="000000" w:themeColor="text1"/>
          <w:sz w:val="24"/>
          <w:szCs w:val="24"/>
        </w:rPr>
        <w:t xml:space="preserve">Lucro do </w:t>
      </w:r>
      <w:r>
        <w:rPr>
          <w:rFonts w:ascii="Arial" w:hAnsi="Arial" w:cs="Arial"/>
          <w:color w:val="000000" w:themeColor="text1"/>
          <w:sz w:val="24"/>
          <w:szCs w:val="24"/>
        </w:rPr>
        <w:t>exercício</w:t>
      </w:r>
      <w:r w:rsidRPr="00377786">
        <w:rPr>
          <w:rFonts w:ascii="Arial" w:hAnsi="Arial" w:cs="Arial"/>
          <w:color w:val="000000" w:themeColor="text1"/>
          <w:sz w:val="24"/>
          <w:szCs w:val="24"/>
        </w:rPr>
        <w:t xml:space="preserve">: A SPDA apresentou lucro </w:t>
      </w:r>
      <w:r>
        <w:rPr>
          <w:rFonts w:ascii="Arial" w:hAnsi="Arial" w:cs="Arial"/>
          <w:color w:val="000000" w:themeColor="text1"/>
          <w:sz w:val="24"/>
          <w:szCs w:val="24"/>
        </w:rPr>
        <w:t xml:space="preserve">societário </w:t>
      </w:r>
      <w:r w:rsidRPr="00377786">
        <w:rPr>
          <w:rFonts w:ascii="Arial" w:hAnsi="Arial" w:cs="Arial"/>
          <w:color w:val="000000" w:themeColor="text1"/>
          <w:sz w:val="24"/>
          <w:szCs w:val="24"/>
        </w:rPr>
        <w:t xml:space="preserve">no </w:t>
      </w:r>
      <w:r>
        <w:rPr>
          <w:rFonts w:ascii="Arial" w:hAnsi="Arial" w:cs="Arial"/>
          <w:color w:val="000000" w:themeColor="text1"/>
          <w:sz w:val="24"/>
          <w:szCs w:val="24"/>
        </w:rPr>
        <w:t xml:space="preserve">encerramento do exercício </w:t>
      </w:r>
      <w:r w:rsidRPr="00377786">
        <w:rPr>
          <w:rFonts w:ascii="Arial" w:hAnsi="Arial" w:cs="Arial"/>
          <w:color w:val="000000" w:themeColor="text1"/>
          <w:sz w:val="24"/>
          <w:szCs w:val="24"/>
        </w:rPr>
        <w:t xml:space="preserve">findo em </w:t>
      </w:r>
      <w:r>
        <w:rPr>
          <w:rFonts w:ascii="Arial" w:hAnsi="Arial"/>
          <w:sz w:val="24"/>
        </w:rPr>
        <w:t>31 de dezembro de 2020</w:t>
      </w:r>
      <w:r w:rsidRPr="00DB6A6D">
        <w:rPr>
          <w:rFonts w:ascii="Arial" w:hAnsi="Arial"/>
          <w:sz w:val="24"/>
        </w:rPr>
        <w:t xml:space="preserve"> no valor de R$ </w:t>
      </w:r>
      <w:r>
        <w:rPr>
          <w:rFonts w:ascii="Arial" w:hAnsi="Arial" w:cs="Arial"/>
          <w:sz w:val="24"/>
          <w:szCs w:val="24"/>
        </w:rPr>
        <w:t>19.483.960,85.</w:t>
      </w:r>
    </w:p>
    <w:p w14:paraId="70F499F9" w14:textId="77777777" w:rsidR="00B01D6F" w:rsidRDefault="00B01D6F" w:rsidP="00B01D6F">
      <w:pPr>
        <w:keepNext/>
        <w:autoSpaceDE w:val="0"/>
        <w:autoSpaceDN w:val="0"/>
        <w:spacing w:before="140" w:line="288" w:lineRule="auto"/>
        <w:ind w:left="851"/>
        <w:rPr>
          <w:rFonts w:ascii="Arial" w:hAnsi="Arial" w:cs="Arial"/>
          <w:sz w:val="24"/>
          <w:szCs w:val="24"/>
        </w:rPr>
      </w:pPr>
      <w:r w:rsidRPr="000F2D97">
        <w:rPr>
          <w:rFonts w:ascii="Arial" w:hAnsi="Arial" w:cs="Arial"/>
          <w:sz w:val="24"/>
          <w:szCs w:val="24"/>
        </w:rPr>
        <w:t xml:space="preserve">    </w:t>
      </w:r>
      <w:r w:rsidRPr="00FC371E">
        <w:rPr>
          <w:rFonts w:ascii="Arial" w:hAnsi="Arial" w:cs="Arial"/>
          <w:sz w:val="24"/>
          <w:szCs w:val="24"/>
        </w:rPr>
        <w:t xml:space="preserve">e) </w:t>
      </w:r>
      <w:r w:rsidRPr="00FC371E">
        <w:rPr>
          <w:rFonts w:ascii="Arial" w:hAnsi="Arial" w:cs="Arial"/>
          <w:sz w:val="24"/>
          <w:szCs w:val="24"/>
        </w:rPr>
        <w:tab/>
      </w:r>
      <w:bookmarkStart w:id="9" w:name="_Hlk31967466"/>
      <w:r w:rsidRPr="00FC371E">
        <w:rPr>
          <w:rFonts w:ascii="Arial" w:hAnsi="Arial" w:cs="Arial"/>
          <w:sz w:val="24"/>
          <w:szCs w:val="24"/>
        </w:rPr>
        <w:t xml:space="preserve">Ajuste de Exercícios Anteriores: O saldo composto para o </w:t>
      </w:r>
      <w:r>
        <w:rPr>
          <w:rFonts w:ascii="Arial" w:hAnsi="Arial" w:cs="Arial"/>
          <w:sz w:val="24"/>
          <w:szCs w:val="24"/>
        </w:rPr>
        <w:t>exercício</w:t>
      </w:r>
      <w:r w:rsidRPr="00FC371E">
        <w:rPr>
          <w:rFonts w:ascii="Arial" w:hAnsi="Arial" w:cs="Arial"/>
          <w:sz w:val="24"/>
          <w:szCs w:val="24"/>
        </w:rPr>
        <w:t xml:space="preserve"> findo em </w:t>
      </w:r>
      <w:r>
        <w:rPr>
          <w:rFonts w:ascii="Arial" w:hAnsi="Arial" w:cs="Arial"/>
          <w:sz w:val="24"/>
          <w:szCs w:val="24"/>
        </w:rPr>
        <w:t xml:space="preserve">31 de dezembro </w:t>
      </w:r>
      <w:r w:rsidRPr="00FC371E">
        <w:rPr>
          <w:rFonts w:ascii="Arial" w:hAnsi="Arial" w:cs="Arial"/>
          <w:sz w:val="24"/>
          <w:szCs w:val="24"/>
        </w:rPr>
        <w:t xml:space="preserve">de 2020 foi ajuste do saldo da rubrica do FGTS </w:t>
      </w:r>
      <w:r>
        <w:rPr>
          <w:rFonts w:ascii="Arial" w:hAnsi="Arial" w:cs="Arial"/>
          <w:sz w:val="24"/>
          <w:szCs w:val="24"/>
        </w:rPr>
        <w:t>a Pagar no</w:t>
      </w:r>
      <w:r w:rsidRPr="00FC371E">
        <w:rPr>
          <w:rFonts w:ascii="Arial" w:hAnsi="Arial" w:cs="Arial"/>
          <w:sz w:val="24"/>
          <w:szCs w:val="24"/>
        </w:rPr>
        <w:t xml:space="preserve"> valor de R$ 2.735,06 o qual </w:t>
      </w:r>
      <w:r>
        <w:rPr>
          <w:rFonts w:ascii="Arial" w:hAnsi="Arial" w:cs="Arial"/>
          <w:sz w:val="24"/>
          <w:szCs w:val="24"/>
        </w:rPr>
        <w:t>foi</w:t>
      </w:r>
      <w:r w:rsidRPr="00FC371E">
        <w:rPr>
          <w:rFonts w:ascii="Arial" w:hAnsi="Arial" w:cs="Arial"/>
          <w:sz w:val="24"/>
          <w:szCs w:val="24"/>
        </w:rPr>
        <w:t xml:space="preserve"> transferido </w:t>
      </w:r>
      <w:r>
        <w:rPr>
          <w:rFonts w:ascii="Arial" w:hAnsi="Arial" w:cs="Arial"/>
          <w:sz w:val="24"/>
          <w:szCs w:val="24"/>
        </w:rPr>
        <w:t xml:space="preserve">para lucros/prejuízos acumulados no </w:t>
      </w:r>
      <w:r w:rsidRPr="00FC371E">
        <w:rPr>
          <w:rFonts w:ascii="Arial" w:hAnsi="Arial" w:cs="Arial"/>
          <w:sz w:val="24"/>
          <w:szCs w:val="24"/>
        </w:rPr>
        <w:t>encerramento do exercício corrente.</w:t>
      </w:r>
    </w:p>
    <w:bookmarkEnd w:id="9"/>
    <w:p w14:paraId="72C3D15A" w14:textId="77777777" w:rsidR="00B01D6F" w:rsidRPr="00D339C2" w:rsidRDefault="00B01D6F" w:rsidP="00B01D6F">
      <w:pPr>
        <w:pStyle w:val="PargrafodaLista"/>
        <w:keepNext/>
        <w:widowControl w:val="0"/>
        <w:tabs>
          <w:tab w:val="left" w:pos="1418"/>
        </w:tabs>
        <w:autoSpaceDE w:val="0"/>
        <w:autoSpaceDN w:val="0"/>
        <w:adjustRightInd w:val="0"/>
        <w:spacing w:before="140" w:line="288" w:lineRule="auto"/>
        <w:ind w:left="851"/>
        <w:rPr>
          <w:rFonts w:ascii="Arial" w:hAnsi="Arial" w:cs="Arial"/>
          <w:color w:val="000000" w:themeColor="text1"/>
          <w:sz w:val="24"/>
          <w:szCs w:val="24"/>
        </w:rPr>
      </w:pPr>
    </w:p>
    <w:p w14:paraId="5D43591D" w14:textId="77777777" w:rsidR="00B01D6F" w:rsidRPr="003C3ADF"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b/>
          <w:color w:val="000000" w:themeColor="text1"/>
          <w:sz w:val="24"/>
          <w:szCs w:val="24"/>
          <w:u w:val="single"/>
        </w:rPr>
      </w:pPr>
      <w:r w:rsidRPr="003C3ADF">
        <w:rPr>
          <w:rFonts w:ascii="Arial" w:hAnsi="Arial" w:cs="Arial"/>
          <w:b/>
          <w:color w:val="000000" w:themeColor="text1"/>
          <w:sz w:val="24"/>
          <w:szCs w:val="24"/>
          <w:u w:val="single"/>
        </w:rPr>
        <w:t>RESULTADO FINANCEIRO</w:t>
      </w:r>
    </w:p>
    <w:p w14:paraId="7BBE8B44"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897CCB">
        <w:rPr>
          <w:rFonts w:ascii="Arial" w:hAnsi="Arial" w:cs="Arial"/>
          <w:color w:val="000000" w:themeColor="text1"/>
          <w:sz w:val="24"/>
          <w:szCs w:val="24"/>
        </w:rPr>
        <w:t>O Resultado Financeiro da Companhia foi compos</w:t>
      </w:r>
      <w:r>
        <w:rPr>
          <w:rFonts w:ascii="Arial" w:hAnsi="Arial" w:cs="Arial"/>
          <w:color w:val="000000" w:themeColor="text1"/>
          <w:sz w:val="24"/>
          <w:szCs w:val="24"/>
        </w:rPr>
        <w:t>to na forma da tabela a seguir:</w:t>
      </w:r>
    </w:p>
    <w:p w14:paraId="57F1B8D2" w14:textId="77777777" w:rsidR="00B01D6F" w:rsidRDefault="00B01D6F" w:rsidP="00B01D6F">
      <w:pPr>
        <w:autoSpaceDE w:val="0"/>
        <w:autoSpaceDN w:val="0"/>
        <w:adjustRightInd w:val="0"/>
        <w:spacing w:before="140" w:line="288" w:lineRule="auto"/>
        <w:ind w:left="851"/>
      </w:pPr>
      <w:r w:rsidRPr="002A3A48">
        <w:rPr>
          <w:noProof/>
        </w:rPr>
        <w:drawing>
          <wp:inline distT="0" distB="0" distL="0" distR="0" wp14:anchorId="3711E07C" wp14:editId="43DDBE1A">
            <wp:extent cx="5438775" cy="141922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8775" cy="1419225"/>
                    </a:xfrm>
                    <a:prstGeom prst="rect">
                      <a:avLst/>
                    </a:prstGeom>
                    <a:noFill/>
                    <a:ln>
                      <a:noFill/>
                    </a:ln>
                  </pic:spPr>
                </pic:pic>
              </a:graphicData>
            </a:graphic>
          </wp:inline>
        </w:drawing>
      </w:r>
    </w:p>
    <w:p w14:paraId="6F4C39B6"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t xml:space="preserve">            </w:t>
      </w:r>
    </w:p>
    <w:p w14:paraId="5A4EEAC2" w14:textId="77777777" w:rsidR="00B01D6F" w:rsidRPr="003C3ADF"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color w:val="000000" w:themeColor="text1"/>
          <w:sz w:val="24"/>
          <w:szCs w:val="24"/>
        </w:rPr>
      </w:pPr>
      <w:r w:rsidRPr="003C3ADF">
        <w:rPr>
          <w:rFonts w:ascii="Arial" w:hAnsi="Arial" w:cs="Arial"/>
          <w:b/>
          <w:color w:val="000000" w:themeColor="text1"/>
          <w:sz w:val="24"/>
          <w:szCs w:val="24"/>
          <w:u w:val="single"/>
        </w:rPr>
        <w:t>HONORÁRIOS DE ADMINISTRADORES, CONSELHOS E SALÁRIOS.</w:t>
      </w:r>
    </w:p>
    <w:p w14:paraId="20910732"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 xml:space="preserve">As despesas com a folha de pagamento da Companhia em </w:t>
      </w:r>
      <w:r>
        <w:rPr>
          <w:rFonts w:ascii="Arial" w:hAnsi="Arial" w:cs="Arial"/>
          <w:color w:val="000000" w:themeColor="text1"/>
          <w:sz w:val="24"/>
          <w:szCs w:val="24"/>
          <w:lang w:val="pt"/>
        </w:rPr>
        <w:t>31 de dezembro de 2020</w:t>
      </w:r>
      <w:r w:rsidRPr="003C3ADF">
        <w:rPr>
          <w:rFonts w:ascii="Arial" w:hAnsi="Arial" w:cs="Arial"/>
          <w:color w:val="000000" w:themeColor="text1"/>
          <w:sz w:val="24"/>
          <w:szCs w:val="24"/>
          <w:lang w:val="pt"/>
        </w:rPr>
        <w:t xml:space="preserve"> corresponderam aos seguintes valores</w:t>
      </w:r>
      <w:r>
        <w:rPr>
          <w:rFonts w:ascii="Arial" w:hAnsi="Arial" w:cs="Arial"/>
          <w:color w:val="000000" w:themeColor="text1"/>
          <w:sz w:val="24"/>
          <w:szCs w:val="24"/>
          <w:lang w:val="pt"/>
        </w:rPr>
        <w:t>:</w:t>
      </w:r>
    </w:p>
    <w:p w14:paraId="76CDC029"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2A3A48">
        <w:rPr>
          <w:noProof/>
        </w:rPr>
        <w:drawing>
          <wp:inline distT="0" distB="0" distL="0" distR="0" wp14:anchorId="2CD2C91B" wp14:editId="2D79EC99">
            <wp:extent cx="5095875" cy="1409700"/>
            <wp:effectExtent l="0" t="0" r="952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5875" cy="1409700"/>
                    </a:xfrm>
                    <a:prstGeom prst="rect">
                      <a:avLst/>
                    </a:prstGeom>
                    <a:noFill/>
                    <a:ln>
                      <a:noFill/>
                    </a:ln>
                  </pic:spPr>
                </pic:pic>
              </a:graphicData>
            </a:graphic>
          </wp:inline>
        </w:drawing>
      </w:r>
    </w:p>
    <w:p w14:paraId="4E51CB2C"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Pr>
          <w:rFonts w:ascii="Arial" w:hAnsi="Arial" w:cs="Arial"/>
          <w:color w:val="000000" w:themeColor="text1"/>
          <w:sz w:val="24"/>
          <w:szCs w:val="24"/>
          <w:lang w:val="pt"/>
        </w:rPr>
        <w:lastRenderedPageBreak/>
        <w:t xml:space="preserve">        </w:t>
      </w:r>
      <w:r>
        <w:rPr>
          <w:noProof/>
        </w:rPr>
        <w:t xml:space="preserve">   </w:t>
      </w:r>
    </w:p>
    <w:p w14:paraId="32EC2E94" w14:textId="77777777" w:rsidR="00B01D6F" w:rsidRPr="003C3ADF" w:rsidRDefault="00B01D6F" w:rsidP="00B01D6F">
      <w:pPr>
        <w:pStyle w:val="PargrafodaLista"/>
        <w:numPr>
          <w:ilvl w:val="0"/>
          <w:numId w:val="2"/>
        </w:numPr>
        <w:autoSpaceDE w:val="0"/>
        <w:autoSpaceDN w:val="0"/>
        <w:adjustRightInd w:val="0"/>
        <w:spacing w:before="140" w:line="288" w:lineRule="auto"/>
        <w:ind w:left="851" w:hanging="851"/>
        <w:rPr>
          <w:rFonts w:ascii="Arial" w:hAnsi="Arial" w:cs="Arial"/>
          <w:b/>
          <w:color w:val="000000" w:themeColor="text1"/>
          <w:sz w:val="24"/>
          <w:szCs w:val="24"/>
          <w:u w:val="single"/>
          <w:lang w:val="pt"/>
        </w:rPr>
      </w:pPr>
      <w:r w:rsidRPr="003C3ADF">
        <w:rPr>
          <w:rFonts w:ascii="Arial" w:hAnsi="Arial" w:cs="Arial"/>
          <w:b/>
          <w:color w:val="000000" w:themeColor="text1"/>
          <w:sz w:val="24"/>
          <w:szCs w:val="24"/>
          <w:u w:val="single"/>
          <w:lang w:val="pt"/>
        </w:rPr>
        <w:t>GERENCIAMENTO DE RISCOS</w:t>
      </w:r>
    </w:p>
    <w:p w14:paraId="29C3A435"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A companhia é uma entidade não financeira cuja renda se caracteriza quase na sua totalidade de rendimentos financeiros auferidos por juros, não gerando, portanto, resultados a partir de atividades que possam ser classificadas como tipicamente operacionais.</w:t>
      </w:r>
    </w:p>
    <w:p w14:paraId="517F40D2"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p>
    <w:p w14:paraId="19E6A1A4"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u w:val="single"/>
          <w:lang w:val="pt"/>
        </w:rPr>
      </w:pPr>
      <w:r w:rsidRPr="003C3ADF">
        <w:rPr>
          <w:rFonts w:ascii="Arial" w:hAnsi="Arial" w:cs="Arial"/>
          <w:color w:val="000000" w:themeColor="text1"/>
          <w:sz w:val="24"/>
          <w:szCs w:val="24"/>
          <w:u w:val="single"/>
          <w:lang w:val="pt"/>
        </w:rPr>
        <w:t>Riscos de crédito e de mercado</w:t>
      </w:r>
      <w:r>
        <w:rPr>
          <w:rFonts w:ascii="Arial" w:hAnsi="Arial" w:cs="Arial"/>
          <w:color w:val="000000" w:themeColor="text1"/>
          <w:sz w:val="24"/>
          <w:szCs w:val="24"/>
          <w:u w:val="single"/>
          <w:lang w:val="pt"/>
        </w:rPr>
        <w:t>:</w:t>
      </w:r>
    </w:p>
    <w:p w14:paraId="3FD3D2E4"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p>
    <w:p w14:paraId="3C4E4527" w14:textId="77777777" w:rsidR="00B01D6F" w:rsidRPr="003C3ADF" w:rsidRDefault="00B01D6F" w:rsidP="00B01D6F">
      <w:pPr>
        <w:autoSpaceDE w:val="0"/>
        <w:autoSpaceDN w:val="0"/>
        <w:adjustRightInd w:val="0"/>
        <w:spacing w:before="140" w:line="288" w:lineRule="auto"/>
        <w:ind w:left="851"/>
        <w:rPr>
          <w:rFonts w:ascii="Arial" w:hAnsi="Arial" w:cs="Arial"/>
          <w:color w:val="000000" w:themeColor="text1"/>
          <w:sz w:val="24"/>
          <w:szCs w:val="24"/>
          <w:lang w:val="pt"/>
        </w:rPr>
      </w:pPr>
      <w:r w:rsidRPr="003C3ADF">
        <w:rPr>
          <w:rFonts w:ascii="Arial" w:hAnsi="Arial" w:cs="Arial"/>
          <w:color w:val="000000" w:themeColor="text1"/>
          <w:sz w:val="24"/>
          <w:szCs w:val="24"/>
          <w:lang w:val="pt"/>
        </w:rPr>
        <w:t xml:space="preserve">A SPDA tornou-se cessionária de créditos originários da </w:t>
      </w:r>
      <w:r>
        <w:rPr>
          <w:rFonts w:ascii="Arial" w:hAnsi="Arial" w:cs="Arial"/>
          <w:color w:val="000000" w:themeColor="text1"/>
          <w:sz w:val="24"/>
          <w:szCs w:val="24"/>
          <w:lang w:val="pt"/>
        </w:rPr>
        <w:t>CCI</w:t>
      </w:r>
      <w:r w:rsidRPr="003C3ADF">
        <w:rPr>
          <w:rFonts w:ascii="Arial" w:hAnsi="Arial" w:cs="Arial"/>
          <w:color w:val="000000" w:themeColor="text1"/>
          <w:sz w:val="24"/>
          <w:szCs w:val="24"/>
          <w:lang w:val="pt"/>
        </w:rPr>
        <w:t xml:space="preserve"> em 29/03/2016. Com isso, a definição de risco de crédito da concessão desses créditos foi operacionalizada pela instituição originária, a COHAB, de acordo com a sua política institucional.</w:t>
      </w:r>
      <w:r>
        <w:rPr>
          <w:rFonts w:ascii="Arial" w:hAnsi="Arial" w:cs="Arial"/>
          <w:color w:val="000000" w:themeColor="text1"/>
          <w:sz w:val="24"/>
          <w:szCs w:val="24"/>
          <w:lang w:val="pt"/>
        </w:rPr>
        <w:t xml:space="preserve"> </w:t>
      </w:r>
      <w:r w:rsidRPr="003C3ADF">
        <w:rPr>
          <w:rFonts w:ascii="Arial" w:hAnsi="Arial" w:cs="Arial"/>
          <w:color w:val="000000" w:themeColor="text1"/>
          <w:sz w:val="24"/>
          <w:szCs w:val="24"/>
          <w:lang w:val="pt"/>
        </w:rPr>
        <w:t>Em 01/11/2016 a SPDA</w:t>
      </w:r>
      <w:r>
        <w:rPr>
          <w:rFonts w:ascii="Arial" w:hAnsi="Arial" w:cs="Arial"/>
          <w:color w:val="000000" w:themeColor="text1"/>
          <w:sz w:val="24"/>
          <w:szCs w:val="24"/>
          <w:lang w:val="pt"/>
        </w:rPr>
        <w:t>,</w:t>
      </w:r>
      <w:r w:rsidRPr="003C3ADF">
        <w:rPr>
          <w:rFonts w:ascii="Arial" w:hAnsi="Arial" w:cs="Arial"/>
          <w:color w:val="000000" w:themeColor="text1"/>
          <w:sz w:val="24"/>
          <w:szCs w:val="24"/>
          <w:lang w:val="pt"/>
        </w:rPr>
        <w:t xml:space="preserve"> ao fazer a cessão da CCI ao FIDC, transferiu </w:t>
      </w:r>
      <w:r>
        <w:rPr>
          <w:rFonts w:ascii="Arial" w:hAnsi="Arial" w:cs="Arial"/>
          <w:color w:val="000000" w:themeColor="text1"/>
          <w:sz w:val="24"/>
          <w:szCs w:val="24"/>
          <w:lang w:val="pt"/>
        </w:rPr>
        <w:t>os</w:t>
      </w:r>
      <w:r w:rsidRPr="003C3ADF">
        <w:rPr>
          <w:rFonts w:ascii="Arial" w:hAnsi="Arial" w:cs="Arial"/>
          <w:color w:val="000000" w:themeColor="text1"/>
          <w:sz w:val="24"/>
          <w:szCs w:val="24"/>
          <w:lang w:val="pt"/>
        </w:rPr>
        <w:t xml:space="preserve"> risco</w:t>
      </w:r>
      <w:r>
        <w:rPr>
          <w:rFonts w:ascii="Arial" w:hAnsi="Arial" w:cs="Arial"/>
          <w:color w:val="000000" w:themeColor="text1"/>
          <w:sz w:val="24"/>
          <w:szCs w:val="24"/>
          <w:lang w:val="pt"/>
        </w:rPr>
        <w:t>s</w:t>
      </w:r>
      <w:r w:rsidRPr="003C3ADF">
        <w:rPr>
          <w:rFonts w:ascii="Arial" w:hAnsi="Arial" w:cs="Arial"/>
          <w:color w:val="000000" w:themeColor="text1"/>
          <w:sz w:val="24"/>
          <w:szCs w:val="24"/>
          <w:lang w:val="pt"/>
        </w:rPr>
        <w:t xml:space="preserve"> de crédito e de mercado ao </w:t>
      </w:r>
      <w:r>
        <w:rPr>
          <w:rFonts w:ascii="Arial" w:hAnsi="Arial" w:cs="Arial"/>
          <w:color w:val="000000" w:themeColor="text1"/>
          <w:sz w:val="24"/>
          <w:szCs w:val="24"/>
        </w:rPr>
        <w:t>FIDC</w:t>
      </w:r>
      <w:r w:rsidRPr="003C3ADF">
        <w:rPr>
          <w:rFonts w:ascii="Arial" w:hAnsi="Arial" w:cs="Arial"/>
          <w:color w:val="000000" w:themeColor="text1"/>
          <w:sz w:val="24"/>
          <w:szCs w:val="24"/>
          <w:lang w:val="pt"/>
        </w:rPr>
        <w:t>, que considerou essas premissas na elaboração de Laudo e reconhecimento dos recebíveis a seu valor justo.</w:t>
      </w:r>
    </w:p>
    <w:p w14:paraId="21BFB838" w14:textId="77777777" w:rsidR="00B01D6F" w:rsidRPr="00DB6A6D" w:rsidRDefault="00B01D6F" w:rsidP="00B01D6F">
      <w:pPr>
        <w:autoSpaceDE w:val="0"/>
        <w:autoSpaceDN w:val="0"/>
        <w:adjustRightInd w:val="0"/>
        <w:spacing w:before="140" w:line="288" w:lineRule="auto"/>
        <w:ind w:left="851"/>
        <w:rPr>
          <w:rFonts w:ascii="Arial" w:hAnsi="Arial"/>
          <w:color w:val="000000" w:themeColor="text1"/>
          <w:sz w:val="24"/>
          <w:lang w:val="pt-PT"/>
        </w:rPr>
      </w:pPr>
      <w:r w:rsidRPr="003C3ADF">
        <w:rPr>
          <w:rFonts w:ascii="Arial" w:hAnsi="Arial" w:cs="Arial"/>
          <w:color w:val="000000" w:themeColor="text1"/>
          <w:sz w:val="24"/>
          <w:szCs w:val="24"/>
          <w:lang w:val="pt"/>
        </w:rPr>
        <w:t xml:space="preserve">Os rendimentos financeiros constituídos </w:t>
      </w:r>
      <w:r>
        <w:rPr>
          <w:rFonts w:ascii="Arial" w:hAnsi="Arial" w:cs="Arial"/>
          <w:color w:val="000000" w:themeColor="text1"/>
          <w:sz w:val="24"/>
          <w:szCs w:val="24"/>
          <w:lang w:val="pt"/>
        </w:rPr>
        <w:t>no exercício findo em 31 de dezembro de 2020</w:t>
      </w:r>
      <w:r w:rsidRPr="003C3ADF">
        <w:rPr>
          <w:rFonts w:ascii="Arial" w:hAnsi="Arial" w:cs="Arial"/>
          <w:color w:val="000000" w:themeColor="text1"/>
          <w:sz w:val="24"/>
          <w:szCs w:val="24"/>
          <w:lang w:val="pt"/>
        </w:rPr>
        <w:t xml:space="preserve"> foram creditados unicamente pelo Banco do Brasil S.A</w:t>
      </w:r>
      <w:r>
        <w:rPr>
          <w:rFonts w:ascii="Arial" w:hAnsi="Arial" w:cs="Arial"/>
          <w:color w:val="000000" w:themeColor="text1"/>
          <w:sz w:val="24"/>
          <w:szCs w:val="24"/>
          <w:lang w:val="pt"/>
        </w:rPr>
        <w:t>. e pela Caixa Econômica Federal</w:t>
      </w:r>
      <w:r w:rsidRPr="003C3ADF">
        <w:rPr>
          <w:rFonts w:ascii="Arial" w:hAnsi="Arial" w:cs="Arial"/>
          <w:color w:val="000000" w:themeColor="text1"/>
          <w:sz w:val="24"/>
          <w:szCs w:val="24"/>
          <w:lang w:val="pt"/>
        </w:rPr>
        <w:t>,</w:t>
      </w:r>
      <w:r>
        <w:rPr>
          <w:rFonts w:ascii="Arial" w:hAnsi="Arial" w:cs="Arial"/>
          <w:color w:val="000000" w:themeColor="text1"/>
          <w:sz w:val="24"/>
          <w:szCs w:val="24"/>
          <w:lang w:val="pt"/>
        </w:rPr>
        <w:t xml:space="preserve"> </w:t>
      </w:r>
      <w:r w:rsidRPr="003C3ADF">
        <w:rPr>
          <w:rFonts w:ascii="Arial" w:hAnsi="Arial" w:cs="Arial"/>
          <w:color w:val="000000" w:themeColor="text1"/>
          <w:sz w:val="24"/>
          <w:szCs w:val="24"/>
          <w:lang w:val="pt"/>
        </w:rPr>
        <w:t>instituiç</w:t>
      </w:r>
      <w:r>
        <w:rPr>
          <w:rFonts w:ascii="Arial" w:hAnsi="Arial" w:cs="Arial"/>
          <w:color w:val="000000" w:themeColor="text1"/>
          <w:sz w:val="24"/>
          <w:szCs w:val="24"/>
          <w:lang w:val="pt"/>
        </w:rPr>
        <w:t>ões</w:t>
      </w:r>
      <w:r w:rsidRPr="003C3ADF">
        <w:rPr>
          <w:rFonts w:ascii="Arial" w:hAnsi="Arial" w:cs="Arial"/>
          <w:color w:val="000000" w:themeColor="text1"/>
          <w:sz w:val="24"/>
          <w:szCs w:val="24"/>
          <w:lang w:val="pt"/>
        </w:rPr>
        <w:t xml:space="preserve"> financeira</w:t>
      </w:r>
      <w:r>
        <w:rPr>
          <w:rFonts w:ascii="Arial" w:hAnsi="Arial" w:cs="Arial"/>
          <w:color w:val="000000" w:themeColor="text1"/>
          <w:sz w:val="24"/>
          <w:szCs w:val="24"/>
          <w:lang w:val="pt"/>
        </w:rPr>
        <w:t>s</w:t>
      </w:r>
      <w:r w:rsidRPr="003C3ADF">
        <w:rPr>
          <w:rFonts w:ascii="Arial" w:hAnsi="Arial" w:cs="Arial"/>
          <w:color w:val="000000" w:themeColor="text1"/>
          <w:sz w:val="24"/>
          <w:szCs w:val="24"/>
          <w:lang w:val="pt"/>
        </w:rPr>
        <w:t xml:space="preserve"> de primeira linha. São decorrentes de ativos que possuem </w:t>
      </w:r>
      <w:r w:rsidRPr="003C3ADF">
        <w:rPr>
          <w:rFonts w:ascii="Arial" w:hAnsi="Arial" w:cs="Arial"/>
          <w:bCs/>
          <w:color w:val="000000" w:themeColor="text1"/>
          <w:sz w:val="24"/>
          <w:szCs w:val="24"/>
          <w:lang w:val="pt-PT"/>
        </w:rPr>
        <w:t>um perfil conservador, basicamente lastreados em títulos públicos federais, no caso dos fundos de investimento financeiro, podendo, entretanto, ocorrer flutuações nas receitas em função das maturidades e rendimentos diferentes e da marcação a mercado dos ativos financeiros; mas o perfil das aplicações da SPDA é conservador.</w:t>
      </w:r>
    </w:p>
    <w:p w14:paraId="530B0805"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p>
    <w:p w14:paraId="693F9330" w14:textId="77777777" w:rsidR="00B01D6F" w:rsidRPr="005B01C0" w:rsidRDefault="00B01D6F" w:rsidP="00B01D6F">
      <w:pPr>
        <w:pStyle w:val="PargrafodaLista"/>
        <w:numPr>
          <w:ilvl w:val="0"/>
          <w:numId w:val="2"/>
        </w:numPr>
        <w:autoSpaceDE w:val="0"/>
        <w:autoSpaceDN w:val="0"/>
        <w:adjustRightInd w:val="0"/>
        <w:spacing w:before="140" w:line="288" w:lineRule="auto"/>
        <w:ind w:left="851" w:hanging="851"/>
        <w:rPr>
          <w:rFonts w:ascii="Arial" w:hAnsi="Arial"/>
          <w:color w:val="000000" w:themeColor="text1"/>
          <w:sz w:val="24"/>
          <w:lang w:val="pt-PT"/>
        </w:rPr>
      </w:pPr>
      <w:r w:rsidRPr="005B01C0">
        <w:rPr>
          <w:rFonts w:ascii="Arial" w:hAnsi="Arial" w:cs="Arial"/>
          <w:b/>
          <w:color w:val="000000" w:themeColor="text1"/>
          <w:sz w:val="24"/>
          <w:szCs w:val="24"/>
          <w:u w:val="single"/>
          <w:lang w:val="pt"/>
        </w:rPr>
        <w:t>TRANSAÇÕES COM PARTES RELACIONADAS</w:t>
      </w:r>
    </w:p>
    <w:p w14:paraId="46FE7D71"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p>
    <w:p w14:paraId="2C1F2C32" w14:textId="77777777" w:rsidR="00B01D6F" w:rsidRPr="00BB7210" w:rsidRDefault="00B01D6F" w:rsidP="00B01D6F">
      <w:pPr>
        <w:autoSpaceDE w:val="0"/>
        <w:autoSpaceDN w:val="0"/>
        <w:adjustRightInd w:val="0"/>
        <w:spacing w:before="140" w:line="288" w:lineRule="auto"/>
        <w:ind w:left="851"/>
        <w:rPr>
          <w:rFonts w:ascii="Arial" w:hAnsi="Arial"/>
          <w:color w:val="000000" w:themeColor="text1"/>
          <w:sz w:val="24"/>
          <w:lang w:val="pt-PT"/>
        </w:rPr>
      </w:pPr>
      <w:r w:rsidRPr="00BB7210">
        <w:rPr>
          <w:rFonts w:ascii="Arial" w:hAnsi="Arial"/>
          <w:color w:val="000000" w:themeColor="text1"/>
          <w:sz w:val="24"/>
          <w:lang w:val="pt-PT"/>
        </w:rPr>
        <w:t xml:space="preserve">Conforme estabelecido na Política para Transações com Partes Relacionadas da Companhia, compete ao Conselho de Administração da Companhia deliberar sobre qualquer negócio entre, de um lado a Companhia (ou qualquer de suas Controladas) e suas Partes Relacionadas. Sendo que, por Parte Relacionada, entende-se, com relação à SPDA e a seus acionistas, direta ou indiretamente por meio de </w:t>
      </w:r>
      <w:r w:rsidRPr="00BB7210">
        <w:rPr>
          <w:rFonts w:ascii="Arial" w:hAnsi="Arial"/>
          <w:color w:val="000000" w:themeColor="text1"/>
          <w:sz w:val="24"/>
          <w:lang w:val="pt-PT"/>
        </w:rPr>
        <w:lastRenderedPageBreak/>
        <w:t xml:space="preserve">um ou mais intermediários, a parte, que for: (i) subsidiária e/ou Afiliada; (ii) coligada; (iii) joint venture (empreendimento conjunto) em que a Companhia, seus acionistas, suas subsidiárias e Afiliadas sejam um investidor; (iv) acionista, ou administrador, membro do Conselho Fiscal, ou membro do pessoal-chave da administração da Companhia, suas subsidiárias e/ou Afiliadas; (v) parente até o segundo grau (ascendentes, descendentes ou irmãos) e cônjuge de qualquer Pessoa referida no item (i) ou (iv); (vi) Controlada, Controlada em conjunto ou significativamente influenciada por, ou em que o poder de voto significativo nessa entidade reside em, direta ou indiretamente, qualquer pessoa referida no item (iv) ou (v); (vii) responsável por benefícios pós-emprego para benefício dos empregados e membros da Companhia e/ou suas subsidiárias e/ou Afiliadas; e (viii) quotista dos acionistas da Companhia ou outros fundos de investimento administrados e/ou geridos pelo mesmo administrador e/ou gestor em outros fundos que tenham a Companhia como quotista. </w:t>
      </w:r>
    </w:p>
    <w:p w14:paraId="42EF5354" w14:textId="77777777" w:rsidR="00B01D6F" w:rsidRPr="00BB7210" w:rsidRDefault="00B01D6F" w:rsidP="00B01D6F">
      <w:pPr>
        <w:autoSpaceDE w:val="0"/>
        <w:autoSpaceDN w:val="0"/>
        <w:adjustRightInd w:val="0"/>
        <w:spacing w:before="140" w:line="288" w:lineRule="auto"/>
        <w:ind w:left="851"/>
        <w:rPr>
          <w:rFonts w:ascii="Arial" w:hAnsi="Arial"/>
          <w:color w:val="000000" w:themeColor="text1"/>
          <w:sz w:val="24"/>
          <w:lang w:val="pt-PT"/>
        </w:rPr>
      </w:pPr>
      <w:r w:rsidRPr="00BB7210">
        <w:rPr>
          <w:rFonts w:ascii="Arial" w:hAnsi="Arial"/>
          <w:color w:val="000000" w:themeColor="text1"/>
          <w:sz w:val="24"/>
          <w:lang w:val="pt-PT"/>
        </w:rPr>
        <w:t>As transações com Partes Relacionadas só poderão ser autorizadas pelo Conselho de Administração em situações não vedadas por norma aplicável no Município de São Paulo, e para tanto, a empresa deve seguir os mesmos procedimentos necessários para transacionar com outras empresas do mercado, inclusive as normas de Licitações e Contratos estabelecidas na Lei Federal 13.303, de 30 de junho de 2016, na Lei Federal 8.666 de 21 de junho de 1993 e na legislação municipal aplicável.</w:t>
      </w:r>
    </w:p>
    <w:p w14:paraId="725C9D32"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r>
        <w:rPr>
          <w:rFonts w:ascii="Arial" w:hAnsi="Arial"/>
          <w:color w:val="000000" w:themeColor="text1"/>
          <w:sz w:val="24"/>
          <w:lang w:val="pt-PT"/>
        </w:rPr>
        <w:t>Contudo para o exercício findo em 31 de dezembro de 2020</w:t>
      </w:r>
      <w:r w:rsidRPr="00BB7210">
        <w:rPr>
          <w:rFonts w:ascii="Arial" w:hAnsi="Arial"/>
          <w:color w:val="000000" w:themeColor="text1"/>
          <w:sz w:val="24"/>
          <w:lang w:val="pt-PT"/>
        </w:rPr>
        <w:t xml:space="preserve"> a Companhia celebrou as seguintes transações com Partes relacionadas:</w:t>
      </w:r>
    </w:p>
    <w:p w14:paraId="660785A4"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r>
        <w:rPr>
          <w:rFonts w:ascii="Arial" w:hAnsi="Arial"/>
          <w:color w:val="000000" w:themeColor="text1"/>
          <w:sz w:val="24"/>
          <w:lang w:val="pt-PT"/>
        </w:rPr>
        <w:t>Como contratada:</w:t>
      </w:r>
    </w:p>
    <w:p w14:paraId="499ED5CB"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r w:rsidRPr="00FF3D91">
        <w:rPr>
          <w:rFonts w:ascii="Arial" w:hAnsi="Arial"/>
          <w:b/>
          <w:bCs/>
          <w:color w:val="000000" w:themeColor="text1"/>
          <w:sz w:val="24"/>
          <w:lang w:val="pt-PT"/>
        </w:rPr>
        <w:t>Prefeitura do Município de São Paulo</w:t>
      </w:r>
      <w:r>
        <w:rPr>
          <w:rFonts w:ascii="Arial" w:hAnsi="Arial"/>
          <w:color w:val="000000" w:themeColor="text1"/>
          <w:sz w:val="24"/>
          <w:lang w:val="pt-PT"/>
        </w:rPr>
        <w:t xml:space="preserve"> – Contrato SF nº 22/2019 sendo faturado para o exercício acumulado de janeiro a dezembro de 2020 o valor de R$ 150.536,00.</w:t>
      </w:r>
    </w:p>
    <w:p w14:paraId="6D7CB831"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p>
    <w:p w14:paraId="64B31BC5"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r>
        <w:rPr>
          <w:rFonts w:ascii="Arial" w:hAnsi="Arial"/>
          <w:color w:val="000000" w:themeColor="text1"/>
          <w:sz w:val="24"/>
          <w:lang w:val="pt-PT"/>
        </w:rPr>
        <w:t>Como contratante:</w:t>
      </w:r>
    </w:p>
    <w:p w14:paraId="463D4B07" w14:textId="77777777" w:rsidR="00B01D6F" w:rsidRPr="0097066B" w:rsidRDefault="00B01D6F" w:rsidP="00B01D6F">
      <w:pPr>
        <w:autoSpaceDE w:val="0"/>
        <w:autoSpaceDN w:val="0"/>
        <w:adjustRightInd w:val="0"/>
        <w:spacing w:before="140" w:line="288" w:lineRule="auto"/>
        <w:ind w:left="851"/>
        <w:rPr>
          <w:rFonts w:ascii="Arial" w:hAnsi="Arial"/>
          <w:sz w:val="24"/>
        </w:rPr>
      </w:pPr>
      <w:r w:rsidRPr="0097066B">
        <w:rPr>
          <w:rFonts w:ascii="Arial" w:hAnsi="Arial"/>
          <w:b/>
          <w:bCs/>
          <w:sz w:val="24"/>
        </w:rPr>
        <w:t>Empresa De Tecnologia Da Informação E Comunicação Do Município De São Paulo – PRODAM-SP S/A</w:t>
      </w:r>
      <w:r w:rsidRPr="0097066B">
        <w:rPr>
          <w:rFonts w:ascii="Arial" w:hAnsi="Arial"/>
          <w:sz w:val="24"/>
        </w:rPr>
        <w:t xml:space="preserve"> – Contrato para prestação de serviços de Sistemas de Informação, Redes e Conectividade e Data Center, no valor de R$ 50.241,60 em um período de 12 meses</w:t>
      </w:r>
      <w:r>
        <w:rPr>
          <w:rFonts w:ascii="Arial" w:hAnsi="Arial"/>
          <w:sz w:val="24"/>
        </w:rPr>
        <w:t>.</w:t>
      </w:r>
    </w:p>
    <w:p w14:paraId="38742C0D" w14:textId="77777777" w:rsidR="00B01D6F" w:rsidRDefault="00B01D6F" w:rsidP="00B01D6F">
      <w:pPr>
        <w:autoSpaceDE w:val="0"/>
        <w:autoSpaceDN w:val="0"/>
        <w:adjustRightInd w:val="0"/>
        <w:spacing w:before="140" w:line="288" w:lineRule="auto"/>
        <w:ind w:left="851"/>
        <w:rPr>
          <w:rFonts w:ascii="Arial" w:hAnsi="Arial"/>
          <w:color w:val="000000" w:themeColor="text1"/>
          <w:sz w:val="24"/>
        </w:rPr>
      </w:pPr>
    </w:p>
    <w:p w14:paraId="5BCAC6C3" w14:textId="77777777" w:rsidR="00B01D6F" w:rsidRDefault="00B01D6F" w:rsidP="00B01D6F">
      <w:pPr>
        <w:autoSpaceDE w:val="0"/>
        <w:autoSpaceDN w:val="0"/>
        <w:adjustRightInd w:val="0"/>
        <w:spacing w:before="140" w:line="288" w:lineRule="auto"/>
        <w:ind w:left="851"/>
        <w:rPr>
          <w:rFonts w:ascii="Arial" w:hAnsi="Arial"/>
          <w:color w:val="000000" w:themeColor="text1"/>
          <w:sz w:val="24"/>
        </w:rPr>
      </w:pPr>
      <w:r w:rsidRPr="00DF0577">
        <w:rPr>
          <w:rFonts w:ascii="Arial" w:hAnsi="Arial"/>
          <w:b/>
          <w:bCs/>
          <w:color w:val="000000" w:themeColor="text1"/>
          <w:sz w:val="24"/>
          <w:lang w:val="pt-PT"/>
        </w:rPr>
        <w:lastRenderedPageBreak/>
        <w:t>Prefeitura do Município de São Paulo</w:t>
      </w:r>
      <w:r>
        <w:rPr>
          <w:rFonts w:ascii="Arial" w:hAnsi="Arial"/>
          <w:color w:val="000000" w:themeColor="text1"/>
          <w:sz w:val="24"/>
          <w:lang w:val="pt-PT"/>
        </w:rPr>
        <w:t xml:space="preserve"> – Aluguel e condomínio (termo de ocupação) para o periodo de janeiro a dezembro corrente no valor de R$ 155.190,10.</w:t>
      </w:r>
    </w:p>
    <w:p w14:paraId="0D381117"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p>
    <w:p w14:paraId="3AF46890"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r>
        <w:rPr>
          <w:rFonts w:ascii="Arial" w:hAnsi="Arial"/>
          <w:color w:val="000000" w:themeColor="text1"/>
          <w:sz w:val="24"/>
          <w:lang w:val="pt-PT"/>
        </w:rPr>
        <w:t xml:space="preserve">Além disso, a Companhia celebrou o </w:t>
      </w:r>
      <w:r w:rsidRPr="00AB504D">
        <w:rPr>
          <w:rFonts w:ascii="Arial" w:hAnsi="Arial"/>
          <w:color w:val="000000" w:themeColor="text1"/>
          <w:sz w:val="24"/>
          <w:lang w:val="pt-PT"/>
        </w:rPr>
        <w:t>3º Aditivo ao Termo de Cooperação Administrativa e Operacional entre a SPDA e a SP</w:t>
      </w:r>
      <w:r>
        <w:rPr>
          <w:rFonts w:ascii="Arial" w:hAnsi="Arial"/>
          <w:color w:val="000000" w:themeColor="text1"/>
          <w:sz w:val="24"/>
          <w:lang w:val="pt-PT"/>
        </w:rPr>
        <w:t xml:space="preserve"> </w:t>
      </w:r>
      <w:r w:rsidRPr="00AB504D">
        <w:rPr>
          <w:rFonts w:ascii="Arial" w:hAnsi="Arial"/>
          <w:color w:val="000000" w:themeColor="text1"/>
          <w:sz w:val="24"/>
          <w:lang w:val="pt-PT"/>
        </w:rPr>
        <w:t>S</w:t>
      </w:r>
      <w:r>
        <w:rPr>
          <w:rFonts w:ascii="Arial" w:hAnsi="Arial"/>
          <w:color w:val="000000" w:themeColor="text1"/>
          <w:sz w:val="24"/>
          <w:lang w:val="pt-PT"/>
        </w:rPr>
        <w:t>ecuritização</w:t>
      </w:r>
      <w:r w:rsidRPr="00AB504D">
        <w:rPr>
          <w:rFonts w:ascii="Arial" w:hAnsi="Arial"/>
          <w:color w:val="000000" w:themeColor="text1"/>
          <w:sz w:val="24"/>
          <w:lang w:val="pt-PT"/>
        </w:rPr>
        <w:t>, em 30/10/19</w:t>
      </w:r>
    </w:p>
    <w:p w14:paraId="4D5C218C"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r>
        <w:rPr>
          <w:rFonts w:ascii="Arial" w:hAnsi="Arial"/>
          <w:color w:val="000000" w:themeColor="text1"/>
          <w:sz w:val="24"/>
          <w:lang w:val="pt-PT"/>
        </w:rPr>
        <w:t>A Companhia esclarece que entende que as transferências de recursos realizadas pela Companhia à CEF e reembolsadas pela Prefeitura Municipal por conta das amortizações extraordinárias não são exemplo de transações com partes relacionadas, por refletirem o cumprimento de obrigação assumida pela Prefeitura frente à CEF, quando da assunção de dívida anteriormente tomada pela COHAB-SP, e apenas operacionalizada pela SPDA.</w:t>
      </w:r>
    </w:p>
    <w:p w14:paraId="627FCB67" w14:textId="77777777" w:rsidR="00B01D6F" w:rsidRDefault="00B01D6F" w:rsidP="00B01D6F">
      <w:pPr>
        <w:autoSpaceDE w:val="0"/>
        <w:autoSpaceDN w:val="0"/>
        <w:adjustRightInd w:val="0"/>
        <w:spacing w:before="140" w:line="288" w:lineRule="auto"/>
        <w:ind w:left="851"/>
        <w:rPr>
          <w:rFonts w:ascii="Arial" w:hAnsi="Arial"/>
          <w:color w:val="000000" w:themeColor="text1"/>
          <w:sz w:val="24"/>
          <w:lang w:val="pt-PT"/>
        </w:rPr>
      </w:pPr>
    </w:p>
    <w:p w14:paraId="5BAB1C90" w14:textId="77777777" w:rsidR="00B01D6F" w:rsidRPr="00DB6A6D" w:rsidRDefault="00B01D6F" w:rsidP="00B01D6F">
      <w:pPr>
        <w:autoSpaceDE w:val="0"/>
        <w:autoSpaceDN w:val="0"/>
        <w:adjustRightInd w:val="0"/>
        <w:spacing w:before="140" w:line="288" w:lineRule="auto"/>
        <w:ind w:left="851"/>
        <w:rPr>
          <w:rFonts w:ascii="Arial" w:hAnsi="Arial"/>
          <w:b/>
          <w:color w:val="000000" w:themeColor="text1"/>
          <w:sz w:val="24"/>
        </w:rPr>
      </w:pPr>
      <w:bookmarkStart w:id="10" w:name="_Hlk31875715"/>
      <w:r w:rsidRPr="003C3ADF">
        <w:rPr>
          <w:rFonts w:ascii="Arial" w:hAnsi="Arial" w:cs="Arial"/>
          <w:b/>
          <w:color w:val="000000" w:themeColor="text1"/>
          <w:sz w:val="24"/>
          <w:szCs w:val="24"/>
        </w:rPr>
        <w:t>Conselho de Administração</w:t>
      </w:r>
    </w:p>
    <w:p w14:paraId="4E739A9A" w14:textId="77777777" w:rsidR="00B01D6F" w:rsidRDefault="00B01D6F" w:rsidP="00B01D6F">
      <w:pPr>
        <w:autoSpaceDE w:val="0"/>
        <w:autoSpaceDN w:val="0"/>
        <w:adjustRightInd w:val="0"/>
        <w:spacing w:before="140" w:line="288" w:lineRule="auto"/>
        <w:ind w:left="851"/>
        <w:rPr>
          <w:rFonts w:ascii="Arial" w:hAnsi="Arial" w:cs="Arial"/>
          <w:b/>
          <w:color w:val="000000" w:themeColor="text1"/>
          <w:sz w:val="24"/>
          <w:szCs w:val="24"/>
        </w:rPr>
      </w:pPr>
    </w:p>
    <w:p w14:paraId="43FEDB10"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Alexis Galias de Souza Vargas </w:t>
      </w:r>
    </w:p>
    <w:p w14:paraId="2326DBD7"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Cesar Angel Boffa de Azevedo </w:t>
      </w:r>
    </w:p>
    <w:p w14:paraId="24CC9795"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Claudia Bice Romano </w:t>
      </w:r>
    </w:p>
    <w:p w14:paraId="57DFE5C0"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José Alexandre Pereira de Araújo</w:t>
      </w:r>
    </w:p>
    <w:p w14:paraId="437DE08D"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Luís Felipe Vidal Arellano</w:t>
      </w:r>
    </w:p>
    <w:p w14:paraId="4F1C46FB"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Malde Maria Vilas Boas</w:t>
      </w:r>
    </w:p>
    <w:p w14:paraId="0ADBE926"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 xml:space="preserve">Vitor de Almeida Sampaio </w:t>
      </w:r>
    </w:p>
    <w:p w14:paraId="318C01BD"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p>
    <w:p w14:paraId="632B8C92" w14:textId="77777777" w:rsidR="00B01D6F" w:rsidRDefault="00B01D6F" w:rsidP="00B01D6F">
      <w:pPr>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color w:val="000000" w:themeColor="text1"/>
          <w:sz w:val="24"/>
          <w:szCs w:val="24"/>
        </w:rPr>
        <w:t>Conselho Fiscal</w:t>
      </w:r>
    </w:p>
    <w:p w14:paraId="18BC9FDF" w14:textId="77777777" w:rsidR="00B01D6F" w:rsidRDefault="00B01D6F" w:rsidP="00B01D6F">
      <w:pPr>
        <w:autoSpaceDE w:val="0"/>
        <w:autoSpaceDN w:val="0"/>
        <w:adjustRightInd w:val="0"/>
        <w:spacing w:before="140" w:line="288" w:lineRule="auto"/>
        <w:ind w:left="851"/>
        <w:rPr>
          <w:rFonts w:ascii="Arial" w:hAnsi="Arial" w:cs="Arial"/>
          <w:b/>
          <w:color w:val="000000" w:themeColor="text1"/>
          <w:sz w:val="24"/>
          <w:szCs w:val="24"/>
        </w:rPr>
      </w:pPr>
    </w:p>
    <w:p w14:paraId="174DF7E5"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Ana Carolina de Campos Honora</w:t>
      </w:r>
    </w:p>
    <w:p w14:paraId="252BC36A"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Marco Antônio Palermo</w:t>
      </w:r>
    </w:p>
    <w:p w14:paraId="1AF48E54"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Pr>
          <w:rFonts w:ascii="Arial" w:hAnsi="Arial" w:cs="Arial"/>
          <w:color w:val="000000" w:themeColor="text1"/>
          <w:sz w:val="24"/>
          <w:szCs w:val="24"/>
        </w:rPr>
        <w:t>Rafael Barbosa de Sousa</w:t>
      </w:r>
    </w:p>
    <w:p w14:paraId="3304F7AB"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9E1103">
        <w:rPr>
          <w:rFonts w:ascii="Arial" w:hAnsi="Arial" w:cs="Arial"/>
          <w:color w:val="000000" w:themeColor="text1"/>
          <w:sz w:val="24"/>
          <w:szCs w:val="24"/>
        </w:rPr>
        <w:t>Thiago Rubio Salvioni</w:t>
      </w:r>
    </w:p>
    <w:p w14:paraId="609E3C14"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p>
    <w:p w14:paraId="3173A6C1" w14:textId="77777777" w:rsidR="00B01D6F" w:rsidRDefault="00B01D6F" w:rsidP="00B01D6F">
      <w:pPr>
        <w:autoSpaceDE w:val="0"/>
        <w:autoSpaceDN w:val="0"/>
        <w:adjustRightInd w:val="0"/>
        <w:spacing w:before="140" w:line="288" w:lineRule="auto"/>
        <w:ind w:left="851"/>
        <w:rPr>
          <w:rFonts w:ascii="Arial" w:hAnsi="Arial" w:cs="Arial"/>
          <w:b/>
          <w:color w:val="000000" w:themeColor="text1"/>
          <w:sz w:val="24"/>
          <w:szCs w:val="24"/>
        </w:rPr>
      </w:pPr>
      <w:r w:rsidRPr="003C3ADF">
        <w:rPr>
          <w:rFonts w:ascii="Arial" w:hAnsi="Arial" w:cs="Arial"/>
          <w:b/>
          <w:color w:val="000000" w:themeColor="text1"/>
          <w:sz w:val="24"/>
          <w:szCs w:val="24"/>
        </w:rPr>
        <w:t>Diretoria Executiva</w:t>
      </w:r>
    </w:p>
    <w:p w14:paraId="3CD10BA3" w14:textId="77777777" w:rsidR="00B01D6F" w:rsidRDefault="00B01D6F" w:rsidP="00B01D6F">
      <w:pPr>
        <w:autoSpaceDE w:val="0"/>
        <w:autoSpaceDN w:val="0"/>
        <w:adjustRightInd w:val="0"/>
        <w:spacing w:before="140" w:line="288" w:lineRule="auto"/>
        <w:ind w:left="851"/>
        <w:rPr>
          <w:rFonts w:ascii="Arial" w:hAnsi="Arial" w:cs="Arial"/>
          <w:b/>
          <w:color w:val="000000" w:themeColor="text1"/>
          <w:sz w:val="24"/>
          <w:szCs w:val="24"/>
        </w:rPr>
      </w:pPr>
    </w:p>
    <w:p w14:paraId="3AB837AB"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r w:rsidRPr="003C3ADF">
        <w:rPr>
          <w:rFonts w:ascii="Arial" w:hAnsi="Arial" w:cs="Arial"/>
          <w:color w:val="000000" w:themeColor="text1"/>
          <w:sz w:val="24"/>
          <w:szCs w:val="24"/>
        </w:rPr>
        <w:t>Hélio Rubens de Oliveira Mendes</w:t>
      </w:r>
    </w:p>
    <w:p w14:paraId="483C7197" w14:textId="77777777" w:rsidR="00B01D6F" w:rsidRPr="00DB6A6D" w:rsidRDefault="00B01D6F" w:rsidP="00B01D6F">
      <w:pPr>
        <w:autoSpaceDE w:val="0"/>
        <w:autoSpaceDN w:val="0"/>
        <w:adjustRightInd w:val="0"/>
        <w:spacing w:before="140" w:line="288" w:lineRule="auto"/>
        <w:ind w:left="851"/>
        <w:rPr>
          <w:rFonts w:ascii="Arial" w:hAnsi="Arial"/>
          <w:sz w:val="24"/>
        </w:rPr>
      </w:pPr>
      <w:r>
        <w:rPr>
          <w:rFonts w:ascii="Arial" w:hAnsi="Arial"/>
          <w:sz w:val="24"/>
        </w:rPr>
        <w:t>Maurício Akihiro Maki</w:t>
      </w:r>
      <w:r w:rsidRPr="00FB447F">
        <w:rPr>
          <w:rFonts w:ascii="Arial" w:hAnsi="Arial" w:cs="Arial"/>
          <w:sz w:val="24"/>
          <w:szCs w:val="24"/>
        </w:rPr>
        <w:t xml:space="preserve"> </w:t>
      </w:r>
    </w:p>
    <w:p w14:paraId="51DE78DC" w14:textId="77777777" w:rsidR="00B01D6F" w:rsidRPr="00DB6A6D" w:rsidRDefault="00B01D6F" w:rsidP="00B01D6F">
      <w:pPr>
        <w:autoSpaceDE w:val="0"/>
        <w:autoSpaceDN w:val="0"/>
        <w:adjustRightInd w:val="0"/>
        <w:spacing w:before="140" w:line="288" w:lineRule="auto"/>
        <w:ind w:left="851"/>
        <w:rPr>
          <w:rFonts w:ascii="Arial" w:hAnsi="Arial"/>
          <w:color w:val="FF0000"/>
          <w:sz w:val="24"/>
        </w:rPr>
      </w:pPr>
    </w:p>
    <w:p w14:paraId="5ECF62F1" w14:textId="77777777" w:rsidR="00B01D6F" w:rsidRPr="00757AA0" w:rsidRDefault="00B01D6F" w:rsidP="00B01D6F">
      <w:pPr>
        <w:autoSpaceDE w:val="0"/>
        <w:autoSpaceDN w:val="0"/>
        <w:adjustRightInd w:val="0"/>
        <w:spacing w:before="140" w:line="288" w:lineRule="auto"/>
        <w:ind w:left="851"/>
        <w:rPr>
          <w:rFonts w:ascii="Arial" w:hAnsi="Arial" w:cs="Arial"/>
          <w:b/>
          <w:color w:val="000000" w:themeColor="text1"/>
          <w:sz w:val="24"/>
          <w:szCs w:val="24"/>
        </w:rPr>
      </w:pPr>
      <w:r>
        <w:rPr>
          <w:rFonts w:ascii="Arial" w:hAnsi="Arial" w:cs="Arial"/>
          <w:b/>
          <w:color w:val="000000" w:themeColor="text1"/>
          <w:sz w:val="24"/>
          <w:szCs w:val="24"/>
        </w:rPr>
        <w:t xml:space="preserve"> </w:t>
      </w:r>
      <w:r w:rsidRPr="00757AA0">
        <w:rPr>
          <w:rFonts w:ascii="Arial" w:hAnsi="Arial" w:cs="Arial"/>
          <w:b/>
          <w:color w:val="000000" w:themeColor="text1"/>
          <w:sz w:val="24"/>
          <w:szCs w:val="24"/>
        </w:rPr>
        <w:t>Contador</w:t>
      </w:r>
    </w:p>
    <w:p w14:paraId="55139B48" w14:textId="77777777" w:rsidR="00B01D6F" w:rsidRPr="00757AA0" w:rsidRDefault="00B01D6F" w:rsidP="00B01D6F">
      <w:pPr>
        <w:keepNext/>
        <w:widowControl w:val="0"/>
        <w:autoSpaceDE w:val="0"/>
        <w:autoSpaceDN w:val="0"/>
        <w:adjustRightInd w:val="0"/>
        <w:spacing w:before="140" w:line="288" w:lineRule="auto"/>
        <w:ind w:left="851"/>
        <w:rPr>
          <w:rFonts w:ascii="Arial" w:hAnsi="Arial" w:cs="Arial"/>
          <w:sz w:val="24"/>
          <w:szCs w:val="24"/>
        </w:rPr>
      </w:pPr>
    </w:p>
    <w:p w14:paraId="6C38E9ED" w14:textId="77777777" w:rsidR="00B01D6F" w:rsidRPr="00757AA0" w:rsidRDefault="00B01D6F" w:rsidP="00B01D6F">
      <w:pPr>
        <w:keepNext/>
        <w:widowControl w:val="0"/>
        <w:autoSpaceDE w:val="0"/>
        <w:autoSpaceDN w:val="0"/>
        <w:adjustRightInd w:val="0"/>
        <w:spacing w:before="140" w:line="288" w:lineRule="auto"/>
        <w:ind w:left="851"/>
        <w:rPr>
          <w:rFonts w:ascii="Arial" w:hAnsi="Arial" w:cs="Arial"/>
          <w:b/>
          <w:sz w:val="24"/>
          <w:szCs w:val="24"/>
        </w:rPr>
      </w:pPr>
      <w:r>
        <w:rPr>
          <w:rFonts w:ascii="Arial" w:hAnsi="Arial" w:cs="Arial"/>
          <w:b/>
          <w:sz w:val="24"/>
          <w:szCs w:val="24"/>
        </w:rPr>
        <w:tab/>
        <w:t xml:space="preserve"> </w:t>
      </w:r>
      <w:r w:rsidRPr="00757AA0">
        <w:rPr>
          <w:rFonts w:ascii="Arial" w:hAnsi="Arial" w:cs="Arial"/>
          <w:b/>
          <w:sz w:val="24"/>
          <w:szCs w:val="24"/>
        </w:rPr>
        <w:t>RHPAY CONTADORES ASSOCIADOS SS EPP</w:t>
      </w:r>
    </w:p>
    <w:p w14:paraId="5E7321F5" w14:textId="77777777" w:rsidR="00B01D6F" w:rsidRPr="00757AA0" w:rsidRDefault="00B01D6F" w:rsidP="00B01D6F">
      <w:pPr>
        <w:keepNext/>
        <w:widowControl w:val="0"/>
        <w:autoSpaceDE w:val="0"/>
        <w:autoSpaceDN w:val="0"/>
        <w:adjustRightInd w:val="0"/>
        <w:spacing w:before="140" w:line="288" w:lineRule="auto"/>
        <w:ind w:left="851"/>
        <w:rPr>
          <w:rFonts w:ascii="Arial" w:hAnsi="Arial" w:cs="Arial"/>
          <w:sz w:val="24"/>
          <w:szCs w:val="24"/>
        </w:rPr>
      </w:pPr>
      <w:r>
        <w:rPr>
          <w:rFonts w:ascii="Helvetica" w:hAnsi="Helvetica"/>
          <w:sz w:val="24"/>
          <w:szCs w:val="24"/>
          <w:shd w:val="clear" w:color="auto" w:fill="FFFFFF"/>
        </w:rPr>
        <w:tab/>
        <w:t xml:space="preserve"> CRC </w:t>
      </w:r>
      <w:r w:rsidRPr="00757AA0">
        <w:rPr>
          <w:rFonts w:ascii="Helvetica" w:hAnsi="Helvetica"/>
          <w:sz w:val="24"/>
          <w:szCs w:val="24"/>
          <w:shd w:val="clear" w:color="auto" w:fill="FFFFFF"/>
        </w:rPr>
        <w:t>2SP028372/O-0</w:t>
      </w:r>
    </w:p>
    <w:p w14:paraId="01EA8D66" w14:textId="77777777" w:rsidR="00B01D6F" w:rsidRDefault="00B01D6F" w:rsidP="00B01D6F">
      <w:pPr>
        <w:keepNext/>
        <w:widowControl w:val="0"/>
        <w:autoSpaceDE w:val="0"/>
        <w:autoSpaceDN w:val="0"/>
        <w:adjustRightInd w:val="0"/>
        <w:spacing w:before="140" w:line="288" w:lineRule="auto"/>
        <w:ind w:left="851"/>
        <w:rPr>
          <w:rFonts w:ascii="Arial" w:hAnsi="Arial" w:cs="Arial"/>
          <w:sz w:val="24"/>
          <w:szCs w:val="24"/>
        </w:rPr>
      </w:pPr>
    </w:p>
    <w:p w14:paraId="1E3F29EB" w14:textId="77777777" w:rsidR="00B01D6F" w:rsidRPr="00757AA0" w:rsidRDefault="00B01D6F" w:rsidP="00B01D6F">
      <w:pPr>
        <w:keepNext/>
        <w:widowControl w:val="0"/>
        <w:autoSpaceDE w:val="0"/>
        <w:autoSpaceDN w:val="0"/>
        <w:adjustRightInd w:val="0"/>
        <w:spacing w:before="140" w:line="288" w:lineRule="auto"/>
        <w:ind w:left="851"/>
        <w:rPr>
          <w:rFonts w:ascii="Arial" w:hAnsi="Arial" w:cs="Arial"/>
          <w:b/>
          <w:sz w:val="24"/>
          <w:szCs w:val="24"/>
        </w:rPr>
      </w:pPr>
      <w:r>
        <w:rPr>
          <w:rFonts w:ascii="Arial" w:hAnsi="Arial" w:cs="Arial"/>
          <w:b/>
          <w:sz w:val="24"/>
          <w:szCs w:val="24"/>
        </w:rPr>
        <w:tab/>
        <w:t xml:space="preserve"> </w:t>
      </w:r>
      <w:r w:rsidRPr="00757AA0">
        <w:rPr>
          <w:rFonts w:ascii="Arial" w:hAnsi="Arial" w:cs="Arial"/>
          <w:b/>
          <w:sz w:val="24"/>
          <w:szCs w:val="24"/>
        </w:rPr>
        <w:t>RUBENS ALVES REZENDE LIMA</w:t>
      </w:r>
    </w:p>
    <w:p w14:paraId="7837E81F" w14:textId="77777777" w:rsidR="00B01D6F" w:rsidRPr="00757AA0" w:rsidRDefault="00B01D6F" w:rsidP="00B01D6F">
      <w:pPr>
        <w:keepNext/>
        <w:widowControl w:val="0"/>
        <w:autoSpaceDE w:val="0"/>
        <w:autoSpaceDN w:val="0"/>
        <w:adjustRightInd w:val="0"/>
        <w:spacing w:before="140" w:line="288" w:lineRule="auto"/>
        <w:ind w:left="851"/>
        <w:rPr>
          <w:rFonts w:ascii="Arial" w:hAnsi="Arial" w:cs="Arial"/>
          <w:sz w:val="24"/>
          <w:szCs w:val="24"/>
        </w:rPr>
      </w:pPr>
      <w:r>
        <w:rPr>
          <w:rFonts w:ascii="Arial" w:hAnsi="Arial" w:cs="Arial"/>
          <w:sz w:val="24"/>
          <w:szCs w:val="24"/>
        </w:rPr>
        <w:tab/>
        <w:t xml:space="preserve"> CONTADOR - CRC 1SP 234551/O-5</w:t>
      </w:r>
    </w:p>
    <w:p w14:paraId="13D0F69C" w14:textId="77777777" w:rsidR="00B01D6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rPr>
      </w:pPr>
    </w:p>
    <w:p w14:paraId="52917033" w14:textId="77777777" w:rsidR="00B01D6F" w:rsidRPr="00757AA0" w:rsidRDefault="00B01D6F" w:rsidP="00B01D6F">
      <w:pPr>
        <w:keepNext/>
        <w:widowControl w:val="0"/>
        <w:autoSpaceDE w:val="0"/>
        <w:autoSpaceDN w:val="0"/>
        <w:adjustRightInd w:val="0"/>
        <w:spacing w:before="140" w:line="288" w:lineRule="auto"/>
        <w:ind w:left="851"/>
        <w:rPr>
          <w:rFonts w:ascii="Arial" w:hAnsi="Arial" w:cs="Arial"/>
          <w:b/>
          <w:sz w:val="24"/>
          <w:szCs w:val="24"/>
        </w:rPr>
      </w:pPr>
      <w:r>
        <w:rPr>
          <w:rFonts w:ascii="Arial" w:hAnsi="Arial" w:cs="Arial"/>
          <w:b/>
          <w:sz w:val="24"/>
          <w:szCs w:val="24"/>
        </w:rPr>
        <w:tab/>
        <w:t xml:space="preserve"> </w:t>
      </w:r>
      <w:r w:rsidRPr="00757AA0">
        <w:rPr>
          <w:rFonts w:ascii="Arial" w:hAnsi="Arial" w:cs="Arial"/>
          <w:b/>
          <w:sz w:val="24"/>
          <w:szCs w:val="24"/>
        </w:rPr>
        <w:t>RENATO VIEIRA PITA</w:t>
      </w:r>
    </w:p>
    <w:p w14:paraId="308A30D7" w14:textId="77777777" w:rsidR="00B01D6F" w:rsidRDefault="00B01D6F" w:rsidP="00B01D6F">
      <w:pPr>
        <w:keepNext/>
        <w:widowControl w:val="0"/>
        <w:autoSpaceDE w:val="0"/>
        <w:autoSpaceDN w:val="0"/>
        <w:adjustRightInd w:val="0"/>
        <w:spacing w:before="140" w:line="288" w:lineRule="auto"/>
        <w:ind w:left="851"/>
        <w:rPr>
          <w:rFonts w:ascii="Arial" w:hAnsi="Arial" w:cs="Arial"/>
          <w:sz w:val="24"/>
          <w:szCs w:val="24"/>
        </w:rPr>
      </w:pPr>
      <w:r>
        <w:rPr>
          <w:rFonts w:ascii="Arial" w:hAnsi="Arial" w:cs="Arial"/>
          <w:sz w:val="24"/>
          <w:szCs w:val="24"/>
        </w:rPr>
        <w:tab/>
        <w:t xml:space="preserve"> CONTADOR - CRC 1SP 215876/O-8</w:t>
      </w:r>
    </w:p>
    <w:p w14:paraId="4080798E" w14:textId="77777777" w:rsidR="00B01D6F" w:rsidRPr="003C3AD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lang w:val="pt"/>
        </w:rPr>
      </w:pPr>
    </w:p>
    <w:p w14:paraId="1BC40113" w14:textId="77777777" w:rsidR="00B01D6F" w:rsidRDefault="00B01D6F" w:rsidP="00B01D6F">
      <w:pPr>
        <w:autoSpaceDE w:val="0"/>
        <w:autoSpaceDN w:val="0"/>
        <w:adjustRightInd w:val="0"/>
        <w:spacing w:before="140" w:line="288" w:lineRule="auto"/>
        <w:ind w:left="851"/>
        <w:rPr>
          <w:rFonts w:ascii="Arial" w:hAnsi="Arial" w:cs="Arial"/>
          <w:color w:val="000000" w:themeColor="text1"/>
          <w:sz w:val="24"/>
          <w:szCs w:val="24"/>
        </w:rPr>
      </w:pPr>
    </w:p>
    <w:bookmarkEnd w:id="10"/>
    <w:p w14:paraId="4969EA21" w14:textId="53C5FAA6" w:rsidR="00B01D6F" w:rsidRPr="003C3AD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lang w:val="pt"/>
        </w:rPr>
      </w:pPr>
    </w:p>
    <w:p w14:paraId="7F47BE9D" w14:textId="77777777" w:rsidR="00B01D6F" w:rsidRPr="003C3ADF" w:rsidRDefault="00B01D6F" w:rsidP="00B01D6F">
      <w:pPr>
        <w:keepNext/>
        <w:widowControl w:val="0"/>
        <w:autoSpaceDE w:val="0"/>
        <w:autoSpaceDN w:val="0"/>
        <w:adjustRightInd w:val="0"/>
        <w:spacing w:before="140" w:line="288" w:lineRule="auto"/>
        <w:ind w:left="851"/>
        <w:rPr>
          <w:rFonts w:ascii="Arial" w:hAnsi="Arial" w:cs="Arial"/>
          <w:color w:val="000000" w:themeColor="text1"/>
          <w:sz w:val="24"/>
          <w:szCs w:val="24"/>
          <w:lang w:val="pt"/>
        </w:rPr>
      </w:pPr>
    </w:p>
    <w:p w14:paraId="11AA40BA" w14:textId="77777777" w:rsidR="00D40091" w:rsidRDefault="00D40091" w:rsidP="003E0483">
      <w:pPr>
        <w:spacing w:line="360" w:lineRule="auto"/>
        <w:rPr>
          <w:rFonts w:ascii="Times New Roman" w:hAnsi="Times New Roman"/>
          <w:sz w:val="24"/>
          <w:szCs w:val="24"/>
        </w:rPr>
      </w:pPr>
    </w:p>
    <w:p w14:paraId="769D17FC" w14:textId="03AE1B02" w:rsidR="00D40091" w:rsidRDefault="00D40091" w:rsidP="003E0483">
      <w:pPr>
        <w:spacing w:line="360" w:lineRule="auto"/>
        <w:rPr>
          <w:rFonts w:ascii="Times New Roman" w:hAnsi="Times New Roman"/>
          <w:sz w:val="24"/>
          <w:szCs w:val="24"/>
        </w:rPr>
      </w:pPr>
    </w:p>
    <w:p w14:paraId="0A29594D" w14:textId="77777777" w:rsidR="005B5096" w:rsidRDefault="005B5096" w:rsidP="003E0483">
      <w:pPr>
        <w:spacing w:line="360" w:lineRule="auto"/>
        <w:rPr>
          <w:rFonts w:ascii="Times New Roman" w:hAnsi="Times New Roman"/>
          <w:sz w:val="24"/>
          <w:szCs w:val="24"/>
        </w:rPr>
        <w:sectPr w:rsidR="005B5096" w:rsidSect="00B01D6F">
          <w:headerReference w:type="default" r:id="rId35"/>
          <w:pgSz w:w="11906" w:h="16838"/>
          <w:pgMar w:top="1417" w:right="1701" w:bottom="1417" w:left="1701" w:header="708" w:footer="708" w:gutter="0"/>
          <w:cols w:space="708"/>
          <w:docGrid w:linePitch="360"/>
        </w:sectPr>
      </w:pPr>
    </w:p>
    <w:p w14:paraId="788C0B33" w14:textId="77777777" w:rsidR="0012729C" w:rsidRPr="0012729C" w:rsidRDefault="0012729C" w:rsidP="00E21CFC">
      <w:pPr>
        <w:pStyle w:val="Ttulo1"/>
        <w:jc w:val="center"/>
        <w:rPr>
          <w:rFonts w:ascii="Times New Roman" w:hAnsi="Times New Roman" w:cs="Times New Roman"/>
          <w:color w:val="000000"/>
          <w:sz w:val="24"/>
          <w:szCs w:val="24"/>
        </w:rPr>
      </w:pPr>
      <w:bookmarkStart w:id="11" w:name="_Toc81581296"/>
      <w:r w:rsidRPr="0012729C">
        <w:rPr>
          <w:rFonts w:ascii="Times New Roman" w:hAnsi="Times New Roman" w:cs="Times New Roman"/>
          <w:b/>
          <w:bCs/>
          <w:color w:val="000000"/>
          <w:sz w:val="24"/>
          <w:szCs w:val="24"/>
          <w:u w:val="single"/>
        </w:rPr>
        <w:lastRenderedPageBreak/>
        <w:t>PARECER DO CONSELHO FISCAL</w:t>
      </w:r>
      <w:bookmarkEnd w:id="11"/>
    </w:p>
    <w:p w14:paraId="2F96A634" w14:textId="77777777" w:rsidR="0012729C" w:rsidRPr="0012729C" w:rsidRDefault="0012729C" w:rsidP="0012729C">
      <w:pPr>
        <w:spacing w:before="120" w:after="120" w:line="240" w:lineRule="auto"/>
        <w:ind w:left="120" w:right="120"/>
        <w:rPr>
          <w:rFonts w:ascii="Times New Roman" w:hAnsi="Times New Roman"/>
          <w:color w:val="000000"/>
          <w:sz w:val="24"/>
          <w:szCs w:val="24"/>
        </w:rPr>
      </w:pPr>
      <w:r w:rsidRPr="0012729C">
        <w:rPr>
          <w:rFonts w:ascii="Times New Roman" w:hAnsi="Times New Roman"/>
          <w:color w:val="000000"/>
          <w:sz w:val="24"/>
          <w:szCs w:val="24"/>
        </w:rPr>
        <w:t> </w:t>
      </w:r>
    </w:p>
    <w:p w14:paraId="4172EA57" w14:textId="77777777" w:rsidR="0012729C" w:rsidRPr="0012729C" w:rsidRDefault="0012729C" w:rsidP="0012729C">
      <w:pPr>
        <w:spacing w:before="120" w:after="120" w:line="240" w:lineRule="auto"/>
        <w:ind w:left="120" w:right="120"/>
        <w:rPr>
          <w:rFonts w:ascii="Times New Roman" w:hAnsi="Times New Roman"/>
          <w:color w:val="000000"/>
          <w:sz w:val="24"/>
          <w:szCs w:val="24"/>
        </w:rPr>
      </w:pPr>
      <w:r w:rsidRPr="0012729C">
        <w:rPr>
          <w:rFonts w:ascii="Times New Roman" w:hAnsi="Times New Roman"/>
          <w:color w:val="000000"/>
          <w:sz w:val="24"/>
          <w:szCs w:val="24"/>
        </w:rPr>
        <w:t>Em cumprimento ao disposto no artigo 163 da Lei nº 6.404, de 15 de dezembro de 1976, o Conselho Fiscal da Companhia São Paulo de Desenvolvimento e Mobilização de Ativos - SPDA examinou as Demonstrações Financeiras da Companhia, relativas ao exercício findo em 31 de dezembro de 2020, compreendendo: Balanço Patrimonial, Demonstração de Resultado, Demonstração das Mutações do Patrimônio Líquido, Demonstração do Fluxo de Caixa e Demonstração do Resultado Abrangente, complementadas pelas Notas Explicativas, pelo Relatório de Administração, sobre os negócios sociais e principais fatos administrativos do exercício e pela Proposta de Destinação do Lucro Líquido.</w:t>
      </w:r>
    </w:p>
    <w:p w14:paraId="7094D016" w14:textId="77777777" w:rsidR="0012729C" w:rsidRPr="0012729C" w:rsidRDefault="0012729C" w:rsidP="0012729C">
      <w:pPr>
        <w:spacing w:before="120" w:after="120" w:line="240" w:lineRule="auto"/>
        <w:ind w:left="120" w:right="120"/>
        <w:rPr>
          <w:rFonts w:ascii="Times New Roman" w:hAnsi="Times New Roman"/>
          <w:color w:val="000000"/>
          <w:sz w:val="24"/>
          <w:szCs w:val="24"/>
        </w:rPr>
      </w:pPr>
      <w:r w:rsidRPr="0012729C">
        <w:rPr>
          <w:rFonts w:ascii="Times New Roman" w:hAnsi="Times New Roman"/>
          <w:color w:val="000000"/>
          <w:sz w:val="24"/>
          <w:szCs w:val="24"/>
        </w:rPr>
        <w:t>Com fundamento nas análises realizadas, no parecer emitido pela auditoria independente, AGUIAR FERES – AUDITORES INDEPENDENTES S/S EPP, bem como nos esclarecimentos adicionais prestados pela Diretoria Administrativa Financeira, este Conselho entende que as demonstrações financeiras estão adequadamente apresentadas em seus aspectos relevantes, recomendando a sua aprovação pelos Senhores Acionistas. É o Parecer.</w:t>
      </w:r>
    </w:p>
    <w:p w14:paraId="17FFDCF2" w14:textId="77777777" w:rsidR="0012729C" w:rsidRPr="0012729C" w:rsidRDefault="0012729C" w:rsidP="0012729C">
      <w:pPr>
        <w:spacing w:before="120" w:after="120" w:line="240" w:lineRule="auto"/>
        <w:ind w:left="120" w:right="120"/>
        <w:rPr>
          <w:rFonts w:ascii="Times New Roman" w:hAnsi="Times New Roman"/>
          <w:color w:val="000000"/>
          <w:sz w:val="24"/>
          <w:szCs w:val="24"/>
        </w:rPr>
      </w:pPr>
      <w:r w:rsidRPr="0012729C">
        <w:rPr>
          <w:rFonts w:ascii="Times New Roman" w:hAnsi="Times New Roman"/>
          <w:color w:val="000000"/>
          <w:sz w:val="24"/>
          <w:szCs w:val="24"/>
        </w:rPr>
        <w:t>São Paulo, 25 de março de 2021.</w:t>
      </w:r>
    </w:p>
    <w:p w14:paraId="4DCBFA9E" w14:textId="77777777" w:rsidR="0012729C" w:rsidRPr="0012729C" w:rsidRDefault="0012729C" w:rsidP="0012729C">
      <w:pPr>
        <w:spacing w:before="120" w:after="120" w:line="240" w:lineRule="auto"/>
        <w:ind w:left="120" w:right="120"/>
        <w:rPr>
          <w:rFonts w:ascii="Times New Roman" w:hAnsi="Times New Roman"/>
          <w:color w:val="000000"/>
          <w:sz w:val="24"/>
          <w:szCs w:val="24"/>
        </w:rPr>
      </w:pPr>
      <w:r w:rsidRPr="0012729C">
        <w:rPr>
          <w:rFonts w:ascii="Times New Roman" w:hAnsi="Times New Roman"/>
          <w:color w:val="000000"/>
          <w:sz w:val="24"/>
          <w:szCs w:val="24"/>
        </w:rPr>
        <w:t> </w:t>
      </w:r>
    </w:p>
    <w:p w14:paraId="255A5CE9" w14:textId="77777777" w:rsidR="0012729C" w:rsidRPr="0012729C" w:rsidRDefault="0012729C" w:rsidP="0012729C">
      <w:pPr>
        <w:spacing w:before="120" w:after="120" w:line="240" w:lineRule="auto"/>
        <w:ind w:left="120" w:right="120"/>
        <w:jc w:val="left"/>
        <w:rPr>
          <w:rFonts w:ascii="Times New Roman" w:hAnsi="Times New Roman"/>
          <w:color w:val="000000"/>
          <w:sz w:val="24"/>
          <w:szCs w:val="24"/>
        </w:rPr>
      </w:pPr>
      <w:r w:rsidRPr="0012729C">
        <w:rPr>
          <w:rFonts w:ascii="Times New Roman" w:hAnsi="Times New Roman"/>
          <w:color w:val="000000"/>
          <w:sz w:val="24"/>
          <w:szCs w:val="24"/>
        </w:rPr>
        <w:t>RAFAEL BARBOSA DE SOUSA</w:t>
      </w:r>
      <w:r w:rsidRPr="0012729C">
        <w:rPr>
          <w:rFonts w:ascii="Times New Roman" w:hAnsi="Times New Roman"/>
          <w:color w:val="000000"/>
          <w:sz w:val="24"/>
          <w:szCs w:val="24"/>
        </w:rPr>
        <w:br/>
        <w:t>Presidente do Conselho</w:t>
      </w:r>
    </w:p>
    <w:p w14:paraId="16AB247F" w14:textId="77777777" w:rsidR="0012729C" w:rsidRPr="0012729C" w:rsidRDefault="0012729C" w:rsidP="0012729C">
      <w:pPr>
        <w:spacing w:before="120" w:after="120" w:line="240" w:lineRule="auto"/>
        <w:ind w:left="120" w:right="120"/>
        <w:jc w:val="left"/>
        <w:rPr>
          <w:rFonts w:ascii="Times New Roman" w:hAnsi="Times New Roman"/>
          <w:color w:val="000000"/>
          <w:sz w:val="24"/>
          <w:szCs w:val="24"/>
        </w:rPr>
      </w:pPr>
      <w:r w:rsidRPr="0012729C">
        <w:rPr>
          <w:rFonts w:ascii="Times New Roman" w:hAnsi="Times New Roman"/>
          <w:color w:val="000000"/>
          <w:sz w:val="24"/>
          <w:szCs w:val="24"/>
        </w:rPr>
        <w:t> </w:t>
      </w:r>
    </w:p>
    <w:p w14:paraId="3EA3EB69" w14:textId="77777777" w:rsidR="0012729C" w:rsidRPr="0012729C" w:rsidRDefault="0012729C" w:rsidP="0012729C">
      <w:pPr>
        <w:spacing w:before="120" w:after="120" w:line="240" w:lineRule="auto"/>
        <w:ind w:left="120" w:right="120"/>
        <w:jc w:val="left"/>
        <w:rPr>
          <w:rFonts w:ascii="Times New Roman" w:hAnsi="Times New Roman"/>
          <w:color w:val="000000"/>
          <w:sz w:val="24"/>
          <w:szCs w:val="24"/>
        </w:rPr>
      </w:pPr>
      <w:r w:rsidRPr="0012729C">
        <w:rPr>
          <w:rFonts w:ascii="Times New Roman" w:hAnsi="Times New Roman"/>
          <w:color w:val="000000"/>
          <w:sz w:val="24"/>
          <w:szCs w:val="24"/>
        </w:rPr>
        <w:t>ANA CAROLINA DE CAMPOS HONORA</w:t>
      </w:r>
      <w:r w:rsidRPr="0012729C">
        <w:rPr>
          <w:rFonts w:ascii="Times New Roman" w:hAnsi="Times New Roman"/>
          <w:color w:val="000000"/>
          <w:sz w:val="24"/>
          <w:szCs w:val="24"/>
        </w:rPr>
        <w:br/>
        <w:t>Conselheira</w:t>
      </w:r>
    </w:p>
    <w:p w14:paraId="318AFBBA" w14:textId="77777777" w:rsidR="0012729C" w:rsidRPr="0012729C" w:rsidRDefault="0012729C" w:rsidP="0012729C">
      <w:pPr>
        <w:spacing w:before="120" w:after="120" w:line="240" w:lineRule="auto"/>
        <w:ind w:left="120" w:right="120"/>
        <w:jc w:val="left"/>
        <w:rPr>
          <w:rFonts w:ascii="Times New Roman" w:hAnsi="Times New Roman"/>
          <w:color w:val="000000"/>
          <w:sz w:val="24"/>
          <w:szCs w:val="24"/>
        </w:rPr>
      </w:pPr>
      <w:r w:rsidRPr="0012729C">
        <w:rPr>
          <w:rFonts w:ascii="Times New Roman" w:hAnsi="Times New Roman"/>
          <w:color w:val="000000"/>
          <w:sz w:val="24"/>
          <w:szCs w:val="24"/>
        </w:rPr>
        <w:t> </w:t>
      </w:r>
    </w:p>
    <w:p w14:paraId="3BE7ED94" w14:textId="77777777" w:rsidR="0012729C" w:rsidRPr="0012729C" w:rsidRDefault="0012729C" w:rsidP="0012729C">
      <w:pPr>
        <w:spacing w:before="120" w:after="120" w:line="240" w:lineRule="auto"/>
        <w:ind w:left="120" w:right="120"/>
        <w:jc w:val="left"/>
        <w:rPr>
          <w:rFonts w:cs="Calibri"/>
          <w:color w:val="000000"/>
          <w:sz w:val="27"/>
          <w:szCs w:val="27"/>
        </w:rPr>
      </w:pPr>
      <w:r w:rsidRPr="0012729C">
        <w:rPr>
          <w:rFonts w:ascii="Times New Roman" w:hAnsi="Times New Roman"/>
          <w:color w:val="000000"/>
          <w:sz w:val="24"/>
          <w:szCs w:val="24"/>
        </w:rPr>
        <w:t>MARCO ANTONIO PALERMO</w:t>
      </w:r>
      <w:r w:rsidRPr="0012729C">
        <w:rPr>
          <w:rFonts w:ascii="Times New Roman" w:hAnsi="Times New Roman"/>
          <w:color w:val="000000"/>
          <w:sz w:val="24"/>
          <w:szCs w:val="24"/>
        </w:rPr>
        <w:br/>
        <w:t>Conselheiro</w:t>
      </w:r>
      <w:r w:rsidRPr="0012729C">
        <w:rPr>
          <w:rFonts w:ascii="Times New Roman" w:hAnsi="Times New Roman"/>
          <w:color w:val="000000"/>
          <w:sz w:val="24"/>
          <w:szCs w:val="24"/>
        </w:rPr>
        <w:br/>
      </w:r>
      <w:r w:rsidRPr="0012729C">
        <w:rPr>
          <w:rFonts w:cs="Calibri"/>
          <w:color w:val="000000"/>
          <w:sz w:val="27"/>
          <w:szCs w:val="27"/>
        </w:rPr>
        <w:t> </w:t>
      </w:r>
    </w:p>
    <w:p w14:paraId="4B922CE4" w14:textId="77777777" w:rsidR="0012729C" w:rsidRPr="0012729C" w:rsidRDefault="000D310F" w:rsidP="0012729C">
      <w:pPr>
        <w:spacing w:after="60" w:line="240" w:lineRule="auto"/>
        <w:jc w:val="left"/>
        <w:rPr>
          <w:rFonts w:ascii="Times New Roman" w:hAnsi="Times New Roman"/>
          <w:sz w:val="24"/>
          <w:szCs w:val="24"/>
        </w:rPr>
      </w:pPr>
      <w:r>
        <w:rPr>
          <w:rFonts w:ascii="Times New Roman" w:hAnsi="Times New Roman"/>
          <w:sz w:val="24"/>
          <w:szCs w:val="24"/>
        </w:rPr>
        <w:pict w14:anchorId="0849BC58">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5"/>
        <w:gridCol w:w="7079"/>
      </w:tblGrid>
      <w:tr w:rsidR="0012729C" w:rsidRPr="0012729C" w14:paraId="3A2557E2" w14:textId="77777777" w:rsidTr="0012729C">
        <w:trPr>
          <w:tblCellSpacing w:w="15" w:type="dxa"/>
        </w:trPr>
        <w:tc>
          <w:tcPr>
            <w:tcW w:w="0" w:type="auto"/>
            <w:vAlign w:val="center"/>
            <w:hideMark/>
          </w:tcPr>
          <w:p w14:paraId="41D116C5" w14:textId="493C2FF7" w:rsidR="0012729C" w:rsidRPr="0012729C" w:rsidRDefault="0012729C" w:rsidP="0012729C">
            <w:pPr>
              <w:spacing w:line="240" w:lineRule="auto"/>
              <w:jc w:val="left"/>
              <w:rPr>
                <w:rFonts w:ascii="Times New Roman" w:hAnsi="Times New Roman"/>
                <w:color w:val="000000"/>
                <w:sz w:val="27"/>
                <w:szCs w:val="27"/>
              </w:rPr>
            </w:pPr>
            <w:r w:rsidRPr="0012729C">
              <w:rPr>
                <w:rFonts w:ascii="Times New Roman" w:hAnsi="Times New Roman"/>
                <w:noProof/>
                <w:sz w:val="24"/>
                <w:szCs w:val="24"/>
              </w:rPr>
              <w:drawing>
                <wp:inline distT="0" distB="0" distL="0" distR="0" wp14:anchorId="0FCB2ED9" wp14:editId="4860EBA0">
                  <wp:extent cx="852805" cy="568325"/>
                  <wp:effectExtent l="0" t="0" r="4445" b="3175"/>
                  <wp:docPr id="22" name="Imagem 22"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Interface gráfica do usuário&#10;&#10;Descrição gerada automaticamen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2805" cy="568325"/>
                          </a:xfrm>
                          <a:prstGeom prst="rect">
                            <a:avLst/>
                          </a:prstGeom>
                          <a:noFill/>
                          <a:ln>
                            <a:noFill/>
                          </a:ln>
                        </pic:spPr>
                      </pic:pic>
                    </a:graphicData>
                  </a:graphic>
                </wp:inline>
              </w:drawing>
            </w:r>
          </w:p>
        </w:tc>
        <w:tc>
          <w:tcPr>
            <w:tcW w:w="0" w:type="auto"/>
            <w:vAlign w:val="center"/>
            <w:hideMark/>
          </w:tcPr>
          <w:p w14:paraId="0D636BA5" w14:textId="77777777" w:rsidR="0012729C" w:rsidRPr="0012729C" w:rsidRDefault="0012729C" w:rsidP="0012729C">
            <w:pPr>
              <w:spacing w:line="240" w:lineRule="auto"/>
              <w:jc w:val="left"/>
              <w:rPr>
                <w:rFonts w:cs="Calibri"/>
                <w:color w:val="000000"/>
              </w:rPr>
            </w:pPr>
            <w:r w:rsidRPr="0012729C">
              <w:rPr>
                <w:rFonts w:cs="Calibri"/>
                <w:color w:val="000000"/>
              </w:rPr>
              <w:t>Documento assinado eletronicamente por </w:t>
            </w:r>
            <w:r w:rsidRPr="0012729C">
              <w:rPr>
                <w:rFonts w:cs="Calibri"/>
                <w:b/>
                <w:bCs/>
                <w:color w:val="000000"/>
              </w:rPr>
              <w:t>Marco Antonio Palermo</w:t>
            </w:r>
            <w:r w:rsidRPr="0012729C">
              <w:rPr>
                <w:rFonts w:cs="Calibri"/>
                <w:color w:val="000000"/>
              </w:rPr>
              <w:t>, </w:t>
            </w:r>
            <w:r w:rsidRPr="0012729C">
              <w:rPr>
                <w:rFonts w:cs="Calibri"/>
                <w:b/>
                <w:bCs/>
                <w:color w:val="000000"/>
              </w:rPr>
              <w:t>Assessor(a)</w:t>
            </w:r>
            <w:r w:rsidRPr="0012729C">
              <w:rPr>
                <w:rFonts w:cs="Calibri"/>
                <w:color w:val="000000"/>
              </w:rPr>
              <w:t>, em 25/03/2021, às 23:33, conforme art. 49 da Lei Municipal 14.141/2006 e art. 8º, inciso I do Decreto 55.838/2015</w:t>
            </w:r>
          </w:p>
        </w:tc>
      </w:tr>
    </w:tbl>
    <w:p w14:paraId="45A942C2" w14:textId="77777777" w:rsidR="0012729C" w:rsidRPr="0012729C" w:rsidRDefault="000D310F" w:rsidP="0012729C">
      <w:pPr>
        <w:spacing w:after="60" w:line="240" w:lineRule="auto"/>
        <w:jc w:val="left"/>
        <w:rPr>
          <w:rFonts w:ascii="Times New Roman" w:hAnsi="Times New Roman"/>
          <w:sz w:val="24"/>
          <w:szCs w:val="24"/>
        </w:rPr>
      </w:pPr>
      <w:r>
        <w:rPr>
          <w:rFonts w:ascii="Times New Roman" w:hAnsi="Times New Roman"/>
          <w:sz w:val="24"/>
          <w:szCs w:val="24"/>
        </w:rPr>
        <w:pict w14:anchorId="00D0FB20">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5"/>
        <w:gridCol w:w="7079"/>
      </w:tblGrid>
      <w:tr w:rsidR="0012729C" w:rsidRPr="0012729C" w14:paraId="5B877682" w14:textId="77777777" w:rsidTr="0012729C">
        <w:trPr>
          <w:tblCellSpacing w:w="15" w:type="dxa"/>
        </w:trPr>
        <w:tc>
          <w:tcPr>
            <w:tcW w:w="0" w:type="auto"/>
            <w:vAlign w:val="center"/>
            <w:hideMark/>
          </w:tcPr>
          <w:p w14:paraId="0972D529" w14:textId="60A176DB" w:rsidR="0012729C" w:rsidRPr="0012729C" w:rsidRDefault="0012729C" w:rsidP="0012729C">
            <w:pPr>
              <w:spacing w:line="240" w:lineRule="auto"/>
              <w:jc w:val="left"/>
              <w:rPr>
                <w:rFonts w:ascii="Times New Roman" w:hAnsi="Times New Roman"/>
                <w:color w:val="000000"/>
                <w:sz w:val="27"/>
                <w:szCs w:val="27"/>
              </w:rPr>
            </w:pPr>
            <w:r w:rsidRPr="0012729C">
              <w:rPr>
                <w:rFonts w:ascii="Times New Roman" w:hAnsi="Times New Roman"/>
                <w:noProof/>
                <w:sz w:val="24"/>
                <w:szCs w:val="24"/>
              </w:rPr>
              <w:drawing>
                <wp:inline distT="0" distB="0" distL="0" distR="0" wp14:anchorId="6C3EA841" wp14:editId="31E95CFF">
                  <wp:extent cx="852805" cy="568325"/>
                  <wp:effectExtent l="0" t="0" r="4445" b="3175"/>
                  <wp:docPr id="21" name="Imagem 2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Interface gráfica do usuário&#10;&#10;Descrição gerada automaticamen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2805" cy="568325"/>
                          </a:xfrm>
                          <a:prstGeom prst="rect">
                            <a:avLst/>
                          </a:prstGeom>
                          <a:noFill/>
                          <a:ln>
                            <a:noFill/>
                          </a:ln>
                        </pic:spPr>
                      </pic:pic>
                    </a:graphicData>
                  </a:graphic>
                </wp:inline>
              </w:drawing>
            </w:r>
          </w:p>
        </w:tc>
        <w:tc>
          <w:tcPr>
            <w:tcW w:w="0" w:type="auto"/>
            <w:vAlign w:val="center"/>
            <w:hideMark/>
          </w:tcPr>
          <w:p w14:paraId="156840B7" w14:textId="77777777" w:rsidR="0012729C" w:rsidRPr="0012729C" w:rsidRDefault="0012729C" w:rsidP="0012729C">
            <w:pPr>
              <w:spacing w:line="240" w:lineRule="auto"/>
              <w:jc w:val="left"/>
              <w:rPr>
                <w:rFonts w:cs="Calibri"/>
                <w:color w:val="000000"/>
              </w:rPr>
            </w:pPr>
            <w:r w:rsidRPr="0012729C">
              <w:rPr>
                <w:rFonts w:cs="Calibri"/>
                <w:color w:val="000000"/>
              </w:rPr>
              <w:t>Documento assinado eletronicamente por </w:t>
            </w:r>
            <w:r w:rsidRPr="0012729C">
              <w:rPr>
                <w:rFonts w:cs="Calibri"/>
                <w:b/>
                <w:bCs/>
                <w:color w:val="000000"/>
              </w:rPr>
              <w:t>Rafael Barbosa de Sousa</w:t>
            </w:r>
            <w:r w:rsidRPr="0012729C">
              <w:rPr>
                <w:rFonts w:cs="Calibri"/>
                <w:color w:val="000000"/>
              </w:rPr>
              <w:t>, </w:t>
            </w:r>
            <w:r w:rsidRPr="0012729C">
              <w:rPr>
                <w:rFonts w:cs="Calibri"/>
                <w:b/>
                <w:bCs/>
                <w:color w:val="000000"/>
              </w:rPr>
              <w:t>Auditor(a) Fiscal Tributário Municipal</w:t>
            </w:r>
            <w:r w:rsidRPr="0012729C">
              <w:rPr>
                <w:rFonts w:cs="Calibri"/>
                <w:color w:val="000000"/>
              </w:rPr>
              <w:t>, em 26/03/2021, às 12:41, conforme art. 49 da Lei Municipal 14.141/2006 e art. 8º, inciso I do Decreto 55.838/2015</w:t>
            </w:r>
          </w:p>
        </w:tc>
      </w:tr>
    </w:tbl>
    <w:p w14:paraId="76DA44BF" w14:textId="77777777" w:rsidR="0012729C" w:rsidRPr="0012729C" w:rsidRDefault="000D310F" w:rsidP="0012729C">
      <w:pPr>
        <w:spacing w:after="60" w:line="240" w:lineRule="auto"/>
        <w:jc w:val="left"/>
        <w:rPr>
          <w:rFonts w:ascii="Times New Roman" w:hAnsi="Times New Roman"/>
          <w:sz w:val="24"/>
          <w:szCs w:val="24"/>
        </w:rPr>
      </w:pPr>
      <w:r>
        <w:rPr>
          <w:rFonts w:ascii="Times New Roman" w:hAnsi="Times New Roman"/>
          <w:sz w:val="24"/>
          <w:szCs w:val="24"/>
        </w:rPr>
        <w:pict w14:anchorId="3AC9B735">
          <v:rect id="_x0000_i1027"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5"/>
        <w:gridCol w:w="7079"/>
      </w:tblGrid>
      <w:tr w:rsidR="0012729C" w:rsidRPr="0012729C" w14:paraId="0DB83288" w14:textId="77777777" w:rsidTr="0012729C">
        <w:trPr>
          <w:tblCellSpacing w:w="15" w:type="dxa"/>
        </w:trPr>
        <w:tc>
          <w:tcPr>
            <w:tcW w:w="0" w:type="auto"/>
            <w:vAlign w:val="center"/>
            <w:hideMark/>
          </w:tcPr>
          <w:p w14:paraId="2E8C4654" w14:textId="79FF8E0E" w:rsidR="0012729C" w:rsidRPr="0012729C" w:rsidRDefault="0012729C" w:rsidP="0012729C">
            <w:pPr>
              <w:spacing w:line="240" w:lineRule="auto"/>
              <w:jc w:val="left"/>
              <w:rPr>
                <w:rFonts w:ascii="Times New Roman" w:hAnsi="Times New Roman"/>
                <w:color w:val="000000"/>
                <w:sz w:val="27"/>
                <w:szCs w:val="27"/>
              </w:rPr>
            </w:pPr>
            <w:r w:rsidRPr="0012729C">
              <w:rPr>
                <w:rFonts w:ascii="Times New Roman" w:hAnsi="Times New Roman"/>
                <w:noProof/>
                <w:sz w:val="24"/>
                <w:szCs w:val="24"/>
              </w:rPr>
              <w:drawing>
                <wp:inline distT="0" distB="0" distL="0" distR="0" wp14:anchorId="6786395A" wp14:editId="363A69F4">
                  <wp:extent cx="852805" cy="568325"/>
                  <wp:effectExtent l="0" t="0" r="4445" b="3175"/>
                  <wp:docPr id="19" name="Imagem 19"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Interface gráfica do usuário&#10;&#10;Descrição gerada automaticamen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2805" cy="568325"/>
                          </a:xfrm>
                          <a:prstGeom prst="rect">
                            <a:avLst/>
                          </a:prstGeom>
                          <a:noFill/>
                          <a:ln>
                            <a:noFill/>
                          </a:ln>
                        </pic:spPr>
                      </pic:pic>
                    </a:graphicData>
                  </a:graphic>
                </wp:inline>
              </w:drawing>
            </w:r>
          </w:p>
        </w:tc>
        <w:tc>
          <w:tcPr>
            <w:tcW w:w="0" w:type="auto"/>
            <w:vAlign w:val="center"/>
            <w:hideMark/>
          </w:tcPr>
          <w:p w14:paraId="5672D091" w14:textId="77777777" w:rsidR="0012729C" w:rsidRPr="0012729C" w:rsidRDefault="0012729C" w:rsidP="0012729C">
            <w:pPr>
              <w:spacing w:line="240" w:lineRule="auto"/>
              <w:jc w:val="left"/>
              <w:rPr>
                <w:rFonts w:cs="Calibri"/>
                <w:color w:val="000000"/>
              </w:rPr>
            </w:pPr>
            <w:r w:rsidRPr="0012729C">
              <w:rPr>
                <w:rFonts w:cs="Calibri"/>
                <w:color w:val="000000"/>
              </w:rPr>
              <w:t>Documento assinado eletronicamente por </w:t>
            </w:r>
            <w:r w:rsidRPr="0012729C">
              <w:rPr>
                <w:rFonts w:cs="Calibri"/>
                <w:b/>
                <w:bCs/>
                <w:color w:val="000000"/>
              </w:rPr>
              <w:t>Ana Carolina de Campos Honora</w:t>
            </w:r>
            <w:r w:rsidRPr="0012729C">
              <w:rPr>
                <w:rFonts w:cs="Calibri"/>
                <w:color w:val="000000"/>
              </w:rPr>
              <w:t>, </w:t>
            </w:r>
            <w:r w:rsidRPr="0012729C">
              <w:rPr>
                <w:rFonts w:cs="Calibri"/>
                <w:b/>
                <w:bCs/>
                <w:color w:val="000000"/>
              </w:rPr>
              <w:t>Coordenador(a)</w:t>
            </w:r>
            <w:r w:rsidRPr="0012729C">
              <w:rPr>
                <w:rFonts w:cs="Calibri"/>
                <w:color w:val="000000"/>
              </w:rPr>
              <w:t>, em 05/04/2021, às 09:27, conforme art. 49 da Lei Municipal 14.141/2006 e art. 8º, inciso I do Decreto 55.838/2015</w:t>
            </w:r>
          </w:p>
        </w:tc>
      </w:tr>
    </w:tbl>
    <w:p w14:paraId="6E773570" w14:textId="77777777" w:rsidR="0012729C" w:rsidRPr="0012729C" w:rsidRDefault="000D310F" w:rsidP="0012729C">
      <w:pPr>
        <w:spacing w:after="60" w:line="240" w:lineRule="auto"/>
        <w:jc w:val="left"/>
        <w:rPr>
          <w:rFonts w:ascii="Times New Roman" w:hAnsi="Times New Roman"/>
          <w:sz w:val="24"/>
          <w:szCs w:val="24"/>
        </w:rPr>
      </w:pPr>
      <w:r>
        <w:rPr>
          <w:rFonts w:ascii="Times New Roman" w:hAnsi="Times New Roman"/>
          <w:sz w:val="24"/>
          <w:szCs w:val="24"/>
        </w:rPr>
        <w:pict w14:anchorId="23532E61">
          <v:rect id="_x0000_i1028"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5"/>
        <w:gridCol w:w="7139"/>
      </w:tblGrid>
      <w:tr w:rsidR="0012729C" w:rsidRPr="0012729C" w14:paraId="74588C8A" w14:textId="77777777" w:rsidTr="0012729C">
        <w:trPr>
          <w:tblCellSpacing w:w="15" w:type="dxa"/>
        </w:trPr>
        <w:tc>
          <w:tcPr>
            <w:tcW w:w="0" w:type="auto"/>
            <w:vAlign w:val="center"/>
            <w:hideMark/>
          </w:tcPr>
          <w:p w14:paraId="6E4A0611" w14:textId="69306C42" w:rsidR="0012729C" w:rsidRPr="0012729C" w:rsidRDefault="0012729C" w:rsidP="0012729C">
            <w:pPr>
              <w:spacing w:line="240" w:lineRule="auto"/>
              <w:jc w:val="left"/>
              <w:rPr>
                <w:rFonts w:ascii="Times New Roman" w:hAnsi="Times New Roman"/>
                <w:color w:val="000000"/>
                <w:sz w:val="27"/>
                <w:szCs w:val="27"/>
              </w:rPr>
            </w:pPr>
            <w:r w:rsidRPr="0012729C">
              <w:rPr>
                <w:rFonts w:ascii="Times New Roman" w:hAnsi="Times New Roman"/>
                <w:noProof/>
                <w:sz w:val="24"/>
                <w:szCs w:val="24"/>
              </w:rPr>
              <w:lastRenderedPageBreak/>
              <w:drawing>
                <wp:inline distT="0" distB="0" distL="0" distR="0" wp14:anchorId="4926FC4E" wp14:editId="5C955D7D">
                  <wp:extent cx="815340" cy="815340"/>
                  <wp:effectExtent l="0" t="0" r="3810" b="3810"/>
                  <wp:docPr id="18" name="Imagem 18"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Código QR&#10;&#10;Descrição gerada automaticament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tc>
        <w:tc>
          <w:tcPr>
            <w:tcW w:w="0" w:type="auto"/>
            <w:vAlign w:val="center"/>
            <w:hideMark/>
          </w:tcPr>
          <w:p w14:paraId="28D7A819" w14:textId="77777777" w:rsidR="0012729C" w:rsidRPr="0012729C" w:rsidRDefault="0012729C" w:rsidP="0012729C">
            <w:pPr>
              <w:spacing w:line="240" w:lineRule="auto"/>
              <w:jc w:val="left"/>
              <w:rPr>
                <w:rFonts w:cs="Calibri"/>
                <w:color w:val="000000"/>
              </w:rPr>
            </w:pPr>
            <w:r w:rsidRPr="0012729C">
              <w:rPr>
                <w:rFonts w:cs="Calibri"/>
                <w:color w:val="000000"/>
              </w:rPr>
              <w:t>A autenticidade deste documento pode ser conferida no site http://processos.prefeitura.sp.gov.br, informando o código verificador </w:t>
            </w:r>
            <w:r w:rsidRPr="0012729C">
              <w:rPr>
                <w:rFonts w:cs="Calibri"/>
                <w:b/>
                <w:bCs/>
                <w:color w:val="000000"/>
              </w:rPr>
              <w:t>041590124</w:t>
            </w:r>
            <w:r w:rsidRPr="0012729C">
              <w:rPr>
                <w:rFonts w:cs="Calibri"/>
                <w:color w:val="000000"/>
              </w:rPr>
              <w:t> e o código CRC </w:t>
            </w:r>
            <w:r w:rsidRPr="0012729C">
              <w:rPr>
                <w:rFonts w:cs="Calibri"/>
                <w:b/>
                <w:bCs/>
                <w:color w:val="000000"/>
              </w:rPr>
              <w:t>B4FD8C88</w:t>
            </w:r>
            <w:r w:rsidRPr="0012729C">
              <w:rPr>
                <w:rFonts w:cs="Calibri"/>
                <w:color w:val="000000"/>
              </w:rPr>
              <w:t>.</w:t>
            </w:r>
          </w:p>
        </w:tc>
      </w:tr>
    </w:tbl>
    <w:p w14:paraId="04147296" w14:textId="77777777" w:rsidR="0012729C" w:rsidRPr="0012729C" w:rsidRDefault="000D310F" w:rsidP="0012729C">
      <w:pPr>
        <w:spacing w:before="15" w:after="15" w:line="240" w:lineRule="auto"/>
        <w:jc w:val="left"/>
        <w:rPr>
          <w:rFonts w:ascii="Times New Roman" w:hAnsi="Times New Roman"/>
          <w:sz w:val="24"/>
          <w:szCs w:val="24"/>
        </w:rPr>
      </w:pPr>
      <w:r>
        <w:rPr>
          <w:rFonts w:ascii="Times New Roman" w:hAnsi="Times New Roman"/>
          <w:sz w:val="24"/>
          <w:szCs w:val="24"/>
        </w:rPr>
        <w:pict w14:anchorId="77AA1798">
          <v:rect id="_x0000_i1029" style="width:0;height:1.5pt" o:hralign="center" o:hrstd="t" o:hrnoshade="t" o:hr="t" fillcolor="black" stroked="f"/>
        </w:pict>
      </w:r>
    </w:p>
    <w:p w14:paraId="1F7CA010" w14:textId="77777777" w:rsidR="0012729C" w:rsidRPr="0012729C" w:rsidRDefault="0012729C" w:rsidP="0012729C">
      <w:pPr>
        <w:spacing w:before="15" w:after="15" w:line="240" w:lineRule="auto"/>
        <w:jc w:val="left"/>
        <w:rPr>
          <w:rFonts w:ascii="Times New Roman" w:hAnsi="Times New Roman"/>
          <w:sz w:val="24"/>
          <w:szCs w:val="24"/>
        </w:rPr>
      </w:pPr>
    </w:p>
    <w:p w14:paraId="0B1548CD" w14:textId="77777777" w:rsidR="0012729C" w:rsidRPr="0012729C" w:rsidRDefault="000D310F" w:rsidP="0012729C">
      <w:pPr>
        <w:spacing w:before="75" w:line="240" w:lineRule="auto"/>
        <w:jc w:val="left"/>
        <w:rPr>
          <w:rFonts w:ascii="Times New Roman" w:hAnsi="Times New Roman"/>
          <w:sz w:val="24"/>
          <w:szCs w:val="24"/>
        </w:rPr>
      </w:pPr>
      <w:r>
        <w:rPr>
          <w:rFonts w:ascii="Times New Roman" w:hAnsi="Times New Roman"/>
          <w:sz w:val="24"/>
          <w:szCs w:val="24"/>
        </w:rPr>
        <w:pict w14:anchorId="53582B90">
          <v:rect id="_x0000_i1030" style="width:0;height:1.5pt" o:hralign="center" o:hrstd="t" o:hrnoshade="t" o:hr="t" fillcolor="black" stroked="f"/>
        </w:pic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252"/>
        <w:gridCol w:w="4252"/>
      </w:tblGrid>
      <w:tr w:rsidR="0012729C" w:rsidRPr="0012729C" w14:paraId="7D0C0404" w14:textId="77777777" w:rsidTr="0012729C">
        <w:trPr>
          <w:tblCellSpacing w:w="0" w:type="dxa"/>
        </w:trPr>
        <w:tc>
          <w:tcPr>
            <w:tcW w:w="2500" w:type="pct"/>
            <w:tcBorders>
              <w:top w:val="nil"/>
              <w:left w:val="nil"/>
              <w:bottom w:val="nil"/>
              <w:right w:val="nil"/>
            </w:tcBorders>
            <w:vAlign w:val="center"/>
            <w:hideMark/>
          </w:tcPr>
          <w:p w14:paraId="4A96A2C9" w14:textId="77777777" w:rsidR="0012729C" w:rsidRPr="0012729C" w:rsidRDefault="0012729C" w:rsidP="0012729C">
            <w:pPr>
              <w:spacing w:line="240" w:lineRule="auto"/>
              <w:jc w:val="left"/>
              <w:rPr>
                <w:rFonts w:cs="Calibri"/>
                <w:color w:val="000000"/>
                <w:sz w:val="18"/>
                <w:szCs w:val="18"/>
              </w:rPr>
            </w:pPr>
            <w:r w:rsidRPr="0012729C">
              <w:rPr>
                <w:rFonts w:cs="Calibri"/>
                <w:b/>
                <w:bCs/>
                <w:color w:val="000000"/>
                <w:sz w:val="18"/>
                <w:szCs w:val="18"/>
              </w:rPr>
              <w:t>Referência:</w:t>
            </w:r>
            <w:r w:rsidRPr="0012729C">
              <w:rPr>
                <w:rFonts w:cs="Calibri"/>
                <w:color w:val="000000"/>
                <w:sz w:val="18"/>
                <w:szCs w:val="18"/>
              </w:rPr>
              <w:t> Processo nº 7110.2021/0000007-6</w:t>
            </w:r>
          </w:p>
        </w:tc>
        <w:tc>
          <w:tcPr>
            <w:tcW w:w="2500" w:type="pct"/>
            <w:tcBorders>
              <w:top w:val="nil"/>
              <w:left w:val="nil"/>
              <w:bottom w:val="nil"/>
              <w:right w:val="nil"/>
            </w:tcBorders>
            <w:vAlign w:val="center"/>
            <w:hideMark/>
          </w:tcPr>
          <w:p w14:paraId="0FEFC959" w14:textId="77777777" w:rsidR="0012729C" w:rsidRPr="0012729C" w:rsidRDefault="0012729C" w:rsidP="0012729C">
            <w:pPr>
              <w:spacing w:line="240" w:lineRule="auto"/>
              <w:jc w:val="right"/>
              <w:rPr>
                <w:rFonts w:cs="Calibri"/>
                <w:color w:val="000000"/>
                <w:sz w:val="18"/>
                <w:szCs w:val="18"/>
              </w:rPr>
            </w:pPr>
            <w:r w:rsidRPr="0012729C">
              <w:rPr>
                <w:rFonts w:cs="Calibri"/>
                <w:color w:val="000000"/>
                <w:sz w:val="18"/>
                <w:szCs w:val="18"/>
              </w:rPr>
              <w:t>SEI nº 041590124</w:t>
            </w:r>
          </w:p>
        </w:tc>
      </w:tr>
    </w:tbl>
    <w:p w14:paraId="494EC3F6" w14:textId="6D2D9E93" w:rsidR="00D40091" w:rsidRDefault="00D40091" w:rsidP="003E0483">
      <w:pPr>
        <w:spacing w:line="360" w:lineRule="auto"/>
        <w:rPr>
          <w:rFonts w:ascii="Times New Roman" w:hAnsi="Times New Roman"/>
          <w:sz w:val="24"/>
          <w:szCs w:val="24"/>
        </w:rPr>
      </w:pPr>
    </w:p>
    <w:p w14:paraId="1238951B" w14:textId="1FBCE947" w:rsidR="00D40091" w:rsidRDefault="00D40091" w:rsidP="003E0483">
      <w:pPr>
        <w:spacing w:line="360" w:lineRule="auto"/>
        <w:rPr>
          <w:rFonts w:ascii="Times New Roman" w:hAnsi="Times New Roman"/>
          <w:sz w:val="24"/>
          <w:szCs w:val="24"/>
        </w:rPr>
      </w:pPr>
    </w:p>
    <w:p w14:paraId="2D4E12AC" w14:textId="272F2E12" w:rsidR="00D40091" w:rsidRDefault="00D40091" w:rsidP="003E0483">
      <w:pPr>
        <w:spacing w:line="360" w:lineRule="auto"/>
        <w:rPr>
          <w:rFonts w:ascii="Times New Roman" w:hAnsi="Times New Roman"/>
          <w:sz w:val="24"/>
          <w:szCs w:val="24"/>
        </w:rPr>
      </w:pPr>
    </w:p>
    <w:p w14:paraId="58073D5B" w14:textId="28C9BD94" w:rsidR="00D40091" w:rsidRDefault="00D40091" w:rsidP="003E0483">
      <w:pPr>
        <w:spacing w:line="360" w:lineRule="auto"/>
        <w:rPr>
          <w:rFonts w:ascii="Times New Roman" w:hAnsi="Times New Roman"/>
          <w:sz w:val="24"/>
          <w:szCs w:val="24"/>
        </w:rPr>
      </w:pPr>
    </w:p>
    <w:p w14:paraId="5E7A915C" w14:textId="1F2751E9" w:rsidR="00D40091" w:rsidRDefault="00D40091" w:rsidP="003E0483">
      <w:pPr>
        <w:spacing w:line="360" w:lineRule="auto"/>
        <w:rPr>
          <w:rFonts w:ascii="Times New Roman" w:hAnsi="Times New Roman"/>
          <w:sz w:val="24"/>
          <w:szCs w:val="24"/>
        </w:rPr>
      </w:pPr>
    </w:p>
    <w:p w14:paraId="61258BF2" w14:textId="77777777" w:rsidR="00834969" w:rsidRDefault="00834969" w:rsidP="003E0483">
      <w:pPr>
        <w:spacing w:line="360" w:lineRule="auto"/>
        <w:rPr>
          <w:rFonts w:ascii="Times New Roman" w:hAnsi="Times New Roman"/>
          <w:sz w:val="24"/>
          <w:szCs w:val="24"/>
        </w:rPr>
        <w:sectPr w:rsidR="00834969" w:rsidSect="00B01D6F">
          <w:headerReference w:type="default" r:id="rId38"/>
          <w:pgSz w:w="11906" w:h="16838"/>
          <w:pgMar w:top="1417" w:right="1701" w:bottom="1417" w:left="1701" w:header="708" w:footer="708" w:gutter="0"/>
          <w:cols w:space="708"/>
          <w:docGrid w:linePitch="360"/>
        </w:sectPr>
      </w:pPr>
    </w:p>
    <w:p w14:paraId="618B18B7" w14:textId="77777777" w:rsidR="00834969" w:rsidRPr="001B1218" w:rsidRDefault="00834969" w:rsidP="001B1218">
      <w:pPr>
        <w:pStyle w:val="Ttulo1"/>
        <w:jc w:val="center"/>
        <w:rPr>
          <w:rFonts w:ascii="Times New Roman" w:hAnsi="Times New Roman"/>
          <w:b/>
          <w:color w:val="auto"/>
          <w:sz w:val="24"/>
          <w:szCs w:val="24"/>
          <w:u w:val="single"/>
        </w:rPr>
      </w:pPr>
      <w:bookmarkStart w:id="12" w:name="_Toc81581297"/>
      <w:r w:rsidRPr="001B1218">
        <w:rPr>
          <w:rFonts w:ascii="Times New Roman" w:hAnsi="Times New Roman"/>
          <w:b/>
          <w:color w:val="auto"/>
          <w:sz w:val="24"/>
          <w:szCs w:val="24"/>
          <w:u w:val="single"/>
        </w:rPr>
        <w:lastRenderedPageBreak/>
        <w:t>RELATÓRIO DA ADMINISTRAÇÃO</w:t>
      </w:r>
      <w:bookmarkEnd w:id="12"/>
    </w:p>
    <w:p w14:paraId="30401879" w14:textId="77777777" w:rsidR="00834969" w:rsidRPr="00834969" w:rsidRDefault="00834969" w:rsidP="00834969">
      <w:pPr>
        <w:spacing w:line="360" w:lineRule="auto"/>
        <w:rPr>
          <w:rFonts w:ascii="Times New Roman" w:hAnsi="Times New Roman"/>
          <w:sz w:val="24"/>
          <w:szCs w:val="24"/>
        </w:rPr>
      </w:pPr>
    </w:p>
    <w:p w14:paraId="25F79454"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Senhores Acionistas, </w:t>
      </w:r>
    </w:p>
    <w:p w14:paraId="2602211A" w14:textId="77777777" w:rsidR="00834969" w:rsidRPr="00834969" w:rsidRDefault="00834969" w:rsidP="00834969">
      <w:pPr>
        <w:spacing w:line="360" w:lineRule="auto"/>
        <w:rPr>
          <w:rFonts w:ascii="Times New Roman" w:hAnsi="Times New Roman"/>
          <w:sz w:val="24"/>
          <w:szCs w:val="24"/>
        </w:rPr>
      </w:pPr>
    </w:p>
    <w:p w14:paraId="3ABC99F8"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A Administração da Companhia São Paulo de Desenvolvimento e Mobilização de Ativos – SPDA (“SPDA” ou “Companhia”), em conformidade com as disposições legais e estatutárias, submete à apreciação dos Senhores Acionistas e ao público em geral, o Relatório da Administração e as Demonstrações Financeiras da Companhia, acompanhados dos Pareceres dos Auditores Independentes e do Conselho Fiscal, referentes ao exercício social encerrado em 31 de dezembro de 2020.</w:t>
      </w:r>
    </w:p>
    <w:p w14:paraId="706B896C"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A Companhia teve sua criação autorizada pela Lei Municipal nº 14.649, de 20 de dezembro de 2007, tendo sido constituída sob a forma de sociedade por ações no dia 16 de novembro de 2009 pela Prefeitura do Município de São Paulo – PMSP, acionista majoritária. Sendo, portanto, integrante da administração indireta do Município de São Paulo e vinculada à Secretaria Municipal da Fazenda da Prefeitura da Cidade de São Paulo (“SF” e “PMSP”). </w:t>
      </w:r>
    </w:p>
    <w:p w14:paraId="6883D544"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Seu objeto social é auxiliar o Poder Executivo na promoção do desenvolvimento econômico e social da cidade de São Paulo, na otimização do fluxo de recursos financeiros para o financiamento de projetos prioritários, bem como na administração do pagamento de dívidas do Município.</w:t>
      </w:r>
    </w:p>
    <w:p w14:paraId="2499743C"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Para entregar este objeto define como visão de negócios ser referenciada pela excelência no provimento de soluções estruturadas para o setor público. A sua missão é fornecer as melhores soluções econômico-financeiras para a gestão de ativos da PMSP, promovendo a otimização do fluxo de recebíveis e a viabilização de investimentos prioritários, bem como contribuir para o desenvolvimento econômico e social da cidade.</w:t>
      </w:r>
    </w:p>
    <w:p w14:paraId="2E0CF62B" w14:textId="77777777" w:rsidR="00834969" w:rsidRPr="00834969" w:rsidRDefault="00834969" w:rsidP="00834969">
      <w:pPr>
        <w:spacing w:line="360" w:lineRule="auto"/>
        <w:rPr>
          <w:rFonts w:ascii="Times New Roman" w:hAnsi="Times New Roman"/>
          <w:bCs/>
          <w:sz w:val="24"/>
          <w:szCs w:val="24"/>
        </w:rPr>
      </w:pPr>
      <w:r w:rsidRPr="00834969">
        <w:rPr>
          <w:rFonts w:ascii="Times New Roman" w:hAnsi="Times New Roman"/>
          <w:bCs/>
          <w:sz w:val="24"/>
          <w:szCs w:val="24"/>
        </w:rPr>
        <w:t>Considerando essas premissas, os negócios da Companhia são voltados para a estruturação de operações envolvendo a antecipação de recursos, valorização de ativos existentes, reestruturação do passivo municipal, modelagem de mecanismos de garantias em contratos públicos, estudo de soluções de mercado de capitais para mobilização de ativos. Para fazer frente a essas ações, a Companhia concentra-se substancialmente nas seguintes atividades:</w:t>
      </w:r>
    </w:p>
    <w:p w14:paraId="424C9754" w14:textId="77777777" w:rsidR="00834969" w:rsidRPr="00834969" w:rsidRDefault="00834969" w:rsidP="00834969">
      <w:pPr>
        <w:spacing w:line="360" w:lineRule="auto"/>
        <w:rPr>
          <w:rFonts w:ascii="Times New Roman" w:hAnsi="Times New Roman"/>
          <w:bCs/>
          <w:sz w:val="24"/>
          <w:szCs w:val="24"/>
        </w:rPr>
      </w:pPr>
      <w:r w:rsidRPr="00834969">
        <w:rPr>
          <w:rFonts w:ascii="Times New Roman" w:hAnsi="Times New Roman"/>
          <w:bCs/>
          <w:sz w:val="24"/>
          <w:szCs w:val="24"/>
        </w:rPr>
        <w:lastRenderedPageBreak/>
        <w:t>I – Modelagem: consiste no estudo das alternativas à mobilização dos ativos ou de seu uso para a prestação de garantias, considerando a preparação de relatórios de viabilidade econômica e análise de riscos jurídicos e de mercado.</w:t>
      </w:r>
    </w:p>
    <w:p w14:paraId="0F5644D7" w14:textId="77777777" w:rsidR="00834969" w:rsidRPr="00834969" w:rsidRDefault="00834969" w:rsidP="00834969">
      <w:pPr>
        <w:spacing w:line="360" w:lineRule="auto"/>
        <w:rPr>
          <w:rFonts w:ascii="Times New Roman" w:hAnsi="Times New Roman"/>
          <w:bCs/>
          <w:sz w:val="24"/>
          <w:szCs w:val="24"/>
        </w:rPr>
      </w:pPr>
      <w:r w:rsidRPr="00834969">
        <w:rPr>
          <w:rFonts w:ascii="Times New Roman" w:hAnsi="Times New Roman"/>
          <w:bCs/>
          <w:sz w:val="24"/>
          <w:szCs w:val="24"/>
        </w:rPr>
        <w:t>II – Estruturação: considerando as alternativas aventadas e a escolha do modelo de desenvolvimento da operação de mobilização de ativos, segue-se a etapa de estruturação, que abarca a preparação do material necessário à sua efetivação – termos de referência, minutas contratuais, relatórios de informações dos ativos e adaptações sistêmicas.</w:t>
      </w:r>
    </w:p>
    <w:p w14:paraId="7B9B9EFA" w14:textId="77777777" w:rsidR="00834969" w:rsidRPr="00834969" w:rsidRDefault="00834969" w:rsidP="00834969">
      <w:pPr>
        <w:spacing w:line="360" w:lineRule="auto"/>
        <w:rPr>
          <w:rFonts w:ascii="Times New Roman" w:hAnsi="Times New Roman"/>
          <w:bCs/>
          <w:sz w:val="24"/>
          <w:szCs w:val="24"/>
        </w:rPr>
      </w:pPr>
      <w:r w:rsidRPr="00834969">
        <w:rPr>
          <w:rFonts w:ascii="Times New Roman" w:hAnsi="Times New Roman"/>
          <w:bCs/>
          <w:sz w:val="24"/>
          <w:szCs w:val="24"/>
        </w:rPr>
        <w:t>III – Implementação: compreende a materialização da operação aventada, por meio: da colocação em mercado de valores mobiliários; da efetiva constituição de fundos de investimentos; da assinatura de contratos de garantia; dentre outras atividades – a depender do definido em etapas precedentes.</w:t>
      </w:r>
    </w:p>
    <w:p w14:paraId="1C2EE9D6" w14:textId="77777777" w:rsidR="00834969" w:rsidRPr="00834969" w:rsidRDefault="00834969" w:rsidP="00834969">
      <w:pPr>
        <w:spacing w:line="360" w:lineRule="auto"/>
        <w:rPr>
          <w:rFonts w:ascii="Times New Roman" w:hAnsi="Times New Roman"/>
          <w:bCs/>
          <w:sz w:val="24"/>
          <w:szCs w:val="24"/>
        </w:rPr>
      </w:pPr>
      <w:r w:rsidRPr="00834969">
        <w:rPr>
          <w:rFonts w:ascii="Times New Roman" w:hAnsi="Times New Roman"/>
          <w:bCs/>
          <w:sz w:val="24"/>
          <w:szCs w:val="24"/>
        </w:rPr>
        <w:t xml:space="preserve">IV – Acompanhamento: nesse estágio a companhia supervisiona o desenvolvimento do projeto com objetivo de buscar a efetiva implantação da política pública e, subsidiariamente, a valorização do ativo: seja por meio da realização das atividades regulares de quotista de fundos de investimento - acompanhando a valorização de seus ativos, ou por meio das ações de controle de eventuais garantias prestadas. </w:t>
      </w:r>
    </w:p>
    <w:p w14:paraId="4ECD8AE3" w14:textId="77777777" w:rsidR="00834969" w:rsidRPr="00834969" w:rsidRDefault="00834969" w:rsidP="00834969">
      <w:pPr>
        <w:spacing w:line="360" w:lineRule="auto"/>
        <w:rPr>
          <w:rFonts w:ascii="Times New Roman" w:hAnsi="Times New Roman"/>
          <w:sz w:val="24"/>
          <w:szCs w:val="24"/>
        </w:rPr>
      </w:pPr>
    </w:p>
    <w:p w14:paraId="3E55FFA1" w14:textId="77777777" w:rsidR="00834969" w:rsidRPr="00834969" w:rsidRDefault="00834969" w:rsidP="00834969">
      <w:pPr>
        <w:spacing w:line="360" w:lineRule="auto"/>
        <w:rPr>
          <w:rFonts w:ascii="Times New Roman" w:hAnsi="Times New Roman"/>
          <w:b/>
          <w:sz w:val="24"/>
          <w:szCs w:val="24"/>
        </w:rPr>
      </w:pPr>
      <w:r w:rsidRPr="00834969">
        <w:rPr>
          <w:rFonts w:ascii="Times New Roman" w:hAnsi="Times New Roman"/>
          <w:b/>
          <w:sz w:val="24"/>
          <w:szCs w:val="24"/>
        </w:rPr>
        <w:br w:type="page"/>
      </w:r>
    </w:p>
    <w:p w14:paraId="043CA32D" w14:textId="77777777" w:rsidR="00834969" w:rsidRPr="00834969" w:rsidRDefault="00834969" w:rsidP="00834969">
      <w:pPr>
        <w:spacing w:line="360" w:lineRule="auto"/>
        <w:rPr>
          <w:rFonts w:ascii="Times New Roman" w:hAnsi="Times New Roman"/>
          <w:b/>
          <w:sz w:val="24"/>
          <w:szCs w:val="24"/>
        </w:rPr>
      </w:pPr>
      <w:r w:rsidRPr="00834969">
        <w:rPr>
          <w:rFonts w:ascii="Times New Roman" w:hAnsi="Times New Roman"/>
          <w:b/>
          <w:sz w:val="24"/>
          <w:szCs w:val="24"/>
        </w:rPr>
        <w:lastRenderedPageBreak/>
        <w:t>I.</w:t>
      </w:r>
      <w:r w:rsidRPr="00834969">
        <w:rPr>
          <w:rFonts w:ascii="Times New Roman" w:hAnsi="Times New Roman"/>
          <w:b/>
          <w:sz w:val="24"/>
          <w:szCs w:val="24"/>
        </w:rPr>
        <w:tab/>
        <w:t xml:space="preserve">Principais atividades realizadas ou atualmente em execução pela Companhia </w:t>
      </w:r>
    </w:p>
    <w:p w14:paraId="254CA71A"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No exercício de 2020, a Companhia se empenhou em entregar o projeto que tinha em andamento e consolidar as atividades, seja como cedente da carteira de créditos e cotista do FIDC ou seja como garantidora de projetos municipais.</w:t>
      </w:r>
    </w:p>
    <w:p w14:paraId="08B35B4D"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A nota técnica sobre a modelagem de estrutura de Gestão de Cobrança Administrativa dos Créditos da PMSP, cujo serviço de elaboração foi contratado e iniciado em 2019, foi entregue em 2020 e sua continuação tem sido estudada pela administração direta, o que pode resultar em nova contratação da SPDA para continuidade do projeto.</w:t>
      </w:r>
    </w:p>
    <w:p w14:paraId="63C25E0E"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No estágio de implantação a Companhia tem como foco o projeto de prestação de garantias, e de acompanhamento das atividades relacionadas ao SPDA Habitação Fundo de Direitos Creditórios Imobiliários Não Padronizados – SPDA FIDC.</w:t>
      </w:r>
    </w:p>
    <w:p w14:paraId="329F2B0F"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Incorpora-se à operação da SPDA o risco inerente ao mercado financeiro, motivo pelo qual a Companhia não se presta a ser apenas um investidor passivo e, neste sentido, executa atividades para que:</w:t>
      </w:r>
    </w:p>
    <w:p w14:paraId="1F43AE7A" w14:textId="77777777" w:rsidR="00834969" w:rsidRPr="00834969" w:rsidRDefault="00834969" w:rsidP="00834969">
      <w:pPr>
        <w:numPr>
          <w:ilvl w:val="0"/>
          <w:numId w:val="6"/>
        </w:numPr>
        <w:spacing w:line="360" w:lineRule="auto"/>
        <w:rPr>
          <w:rFonts w:ascii="Times New Roman" w:hAnsi="Times New Roman"/>
          <w:sz w:val="24"/>
          <w:szCs w:val="24"/>
        </w:rPr>
      </w:pPr>
      <w:r w:rsidRPr="00834969">
        <w:rPr>
          <w:rFonts w:ascii="Times New Roman" w:hAnsi="Times New Roman"/>
          <w:sz w:val="24"/>
          <w:szCs w:val="24"/>
        </w:rPr>
        <w:t>Os fundos que detém valorizem acima da projeção expressa em sua precificação,</w:t>
      </w:r>
    </w:p>
    <w:p w14:paraId="02893180" w14:textId="77777777" w:rsidR="00834969" w:rsidRPr="00834969" w:rsidRDefault="00834969" w:rsidP="00834969">
      <w:pPr>
        <w:numPr>
          <w:ilvl w:val="0"/>
          <w:numId w:val="6"/>
        </w:numPr>
        <w:spacing w:line="360" w:lineRule="auto"/>
        <w:rPr>
          <w:rFonts w:ascii="Times New Roman" w:hAnsi="Times New Roman"/>
          <w:sz w:val="24"/>
          <w:szCs w:val="24"/>
        </w:rPr>
      </w:pPr>
      <w:r w:rsidRPr="00834969">
        <w:rPr>
          <w:rFonts w:ascii="Times New Roman" w:hAnsi="Times New Roman"/>
          <w:sz w:val="24"/>
          <w:szCs w:val="24"/>
        </w:rPr>
        <w:t>Os riscos típicos de qualquer valor mobiliário não atinjam seu patrimônio e,</w:t>
      </w:r>
    </w:p>
    <w:p w14:paraId="643CB14C" w14:textId="5D176D0B" w:rsidR="00834969" w:rsidRPr="00834969" w:rsidRDefault="00834969" w:rsidP="00834969">
      <w:pPr>
        <w:numPr>
          <w:ilvl w:val="0"/>
          <w:numId w:val="6"/>
        </w:numPr>
        <w:spacing w:line="360" w:lineRule="auto"/>
        <w:rPr>
          <w:rFonts w:ascii="Times New Roman" w:hAnsi="Times New Roman"/>
          <w:sz w:val="24"/>
          <w:szCs w:val="24"/>
        </w:rPr>
      </w:pPr>
      <w:r w:rsidRPr="00834969">
        <w:rPr>
          <w:rFonts w:ascii="Times New Roman" w:hAnsi="Times New Roman"/>
          <w:sz w:val="24"/>
          <w:szCs w:val="24"/>
        </w:rPr>
        <w:t>As estruturas típicas de mercado, controladas pela Companhia, exerçam sua função pública relacionada às diretrizes do governo municipal.</w:t>
      </w:r>
    </w:p>
    <w:p w14:paraId="076A9A7D" w14:textId="77777777" w:rsidR="00834969" w:rsidRPr="00834969" w:rsidRDefault="00834969" w:rsidP="00834969">
      <w:pPr>
        <w:spacing w:line="360" w:lineRule="auto"/>
        <w:rPr>
          <w:rFonts w:ascii="Times New Roman" w:hAnsi="Times New Roman"/>
          <w:sz w:val="24"/>
          <w:szCs w:val="24"/>
        </w:rPr>
      </w:pPr>
    </w:p>
    <w:p w14:paraId="1FB56AC7" w14:textId="77777777" w:rsidR="00834969" w:rsidRPr="00834969" w:rsidRDefault="00834969" w:rsidP="00834969">
      <w:pPr>
        <w:numPr>
          <w:ilvl w:val="0"/>
          <w:numId w:val="5"/>
        </w:numPr>
        <w:spacing w:line="360" w:lineRule="auto"/>
        <w:rPr>
          <w:rFonts w:ascii="Times New Roman" w:hAnsi="Times New Roman"/>
          <w:sz w:val="24"/>
          <w:szCs w:val="24"/>
        </w:rPr>
      </w:pPr>
      <w:r w:rsidRPr="00834969">
        <w:rPr>
          <w:rFonts w:ascii="Times New Roman" w:hAnsi="Times New Roman"/>
          <w:sz w:val="24"/>
          <w:szCs w:val="24"/>
        </w:rPr>
        <w:t>Operação SPDA FIDC:</w:t>
      </w:r>
    </w:p>
    <w:p w14:paraId="0DCE2512" w14:textId="77777777" w:rsidR="00834969" w:rsidRPr="00834969" w:rsidRDefault="00834969" w:rsidP="00834969">
      <w:pPr>
        <w:spacing w:line="360" w:lineRule="auto"/>
        <w:rPr>
          <w:rFonts w:ascii="Times New Roman" w:hAnsi="Times New Roman"/>
          <w:sz w:val="24"/>
          <w:szCs w:val="24"/>
        </w:rPr>
      </w:pPr>
    </w:p>
    <w:p w14:paraId="3870CFAC"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As cotas do fundo detidas pela companhia apresentaram no exercício de 2020 um valor de R$ 314.044 mil, mesmo com a realização de uma amortização de R$ 7.000 mil em dezembro de 2020, frente a um valor de R$ 289.175 mil em 2019, tendo a cota sofrido uma valorização de 8,6%.  </w:t>
      </w:r>
    </w:p>
    <w:p w14:paraId="5ADBD2CC"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O SPDA FIDC, que tem a SPDA como quotista exclusivo, está se comportando conforme previsto na Nota Técnica SPDA nº 06/2015 (estudo sobre a constituição de um fundo de investimento em direitos creditórios – FIDC para recepcionar os créditos imobiliários da PMSP). </w:t>
      </w:r>
    </w:p>
    <w:p w14:paraId="3E32C9BB"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Durante o ano de 2020, a Companhia acompanhou o trabalho dos prestadores de serviço que gerem, administram e custodiam o SPDA FIDC, e atuou diretamente em algumas frentes, em especial, para viabilizar o tombamento da carteira no sistema/sistemática do fundo e para viabilizar a correta escrituração dos créditos. </w:t>
      </w:r>
    </w:p>
    <w:p w14:paraId="3D71DACF"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lastRenderedPageBreak/>
        <w:t xml:space="preserve">A Companhia entende que estas ações afetam positivamente a qualidade do crédito pois trazem eficiência na cobrança e precisão nos dados da carteira. </w:t>
      </w:r>
    </w:p>
    <w:p w14:paraId="53E402CD"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Além disso, como braço da administração pública municipal, atuou junto à Prefeitura definindo e controlando o Fundo para que a política pública social fosse efetivamente aplicada.</w:t>
      </w:r>
    </w:p>
    <w:p w14:paraId="6D4C56E0"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Em relação à sua atividade como representante do Município de São Paulo com relação a certas peculiaridades dos créditos de propriedade do SPDA FIDC, a SPDA viabilizou os repasses relacionados às Liquidações Antecipadas e Amortizações Extraordinárias, operacionalizando junto ao SPDA FIDC e à Municipalidade a realização de ajustes contábeis e transferências financeiras decorrentes do contrato de dívida para financiamento. </w:t>
      </w:r>
    </w:p>
    <w:p w14:paraId="24ADB880"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Em suporte ao Gestor do SPDA FIDC, realizou análises, sugestões e encaminhou a aprovação das minutas contratuais a serem aplicadas em casos de renegociação com os mutuários. Além do objetivo principal de atender à política de governo, a ação teve impacto direto na padronização do crédito cobrado, o que será convertido em melhoria no atendimento ao mutuário, eficiência na cobrança e valorização do crédito.</w:t>
      </w:r>
    </w:p>
    <w:p w14:paraId="378BDA58"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Também, juntou documentação e contextualizou junto aos registros de imóveis a cadeia de cessão dos créditos, de modo a possibilitar que o fundo, por meio do seu gestor, atualize as matrículas dos imóveis com os dados da cessão e com os registros dos contratos de compra e venda com alienação fiduciária e, futuramente, que o mutuário pratique os atos registrais no momento de quitação da dívida. </w:t>
      </w:r>
    </w:p>
    <w:p w14:paraId="0B4445A0" w14:textId="66BF1683" w:rsid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Nesta perspectiva, mediante suas atividades estatutárias, promoveu a valorização dos créditos, o que trará maior rentabilidade à Companhia na realização das cotas. </w:t>
      </w:r>
    </w:p>
    <w:p w14:paraId="4BCF7F6C" w14:textId="77777777" w:rsidR="00834969" w:rsidRPr="00834969" w:rsidRDefault="00834969" w:rsidP="00834969">
      <w:pPr>
        <w:spacing w:line="360" w:lineRule="auto"/>
        <w:rPr>
          <w:rFonts w:ascii="Times New Roman" w:hAnsi="Times New Roman"/>
          <w:sz w:val="24"/>
          <w:szCs w:val="24"/>
        </w:rPr>
      </w:pPr>
    </w:p>
    <w:p w14:paraId="552FD4EE" w14:textId="77777777" w:rsidR="00834969" w:rsidRPr="00834969" w:rsidRDefault="00834969" w:rsidP="00834969">
      <w:pPr>
        <w:numPr>
          <w:ilvl w:val="0"/>
          <w:numId w:val="5"/>
        </w:numPr>
        <w:spacing w:line="360" w:lineRule="auto"/>
        <w:rPr>
          <w:rFonts w:ascii="Times New Roman" w:hAnsi="Times New Roman"/>
          <w:sz w:val="24"/>
          <w:szCs w:val="24"/>
        </w:rPr>
      </w:pPr>
      <w:r w:rsidRPr="00834969">
        <w:rPr>
          <w:rFonts w:ascii="Times New Roman" w:hAnsi="Times New Roman"/>
          <w:sz w:val="24"/>
          <w:szCs w:val="24"/>
        </w:rPr>
        <w:t xml:space="preserve">Negociação e estruturação dos contratos de prestação de garantias em </w:t>
      </w:r>
      <w:proofErr w:type="spellStart"/>
      <w:r w:rsidRPr="00834969">
        <w:rPr>
          <w:rFonts w:ascii="Times New Roman" w:hAnsi="Times New Roman"/>
          <w:sz w:val="24"/>
          <w:szCs w:val="24"/>
        </w:rPr>
        <w:t>PPPs</w:t>
      </w:r>
      <w:proofErr w:type="spellEnd"/>
    </w:p>
    <w:p w14:paraId="27088514" w14:textId="77777777" w:rsidR="00834969" w:rsidRPr="00834969" w:rsidRDefault="00834969" w:rsidP="00834969">
      <w:pPr>
        <w:spacing w:line="360" w:lineRule="auto"/>
        <w:rPr>
          <w:rFonts w:ascii="Times New Roman" w:hAnsi="Times New Roman"/>
          <w:sz w:val="24"/>
          <w:szCs w:val="24"/>
        </w:rPr>
      </w:pPr>
    </w:p>
    <w:p w14:paraId="0CE62935"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A Companhia, neste exercício, fechou junto à COHAB-SP e às Concessionárias vencedoras dos certames da PPP da Habitação o modelo do contrato para prestação de garantia solidária, assim como o contrato de penhor de cotas do fundo garantidor, O FI Caixa SPDA Projetos Renda Fixa Longo Prazo – SPDA Projetos. </w:t>
      </w:r>
    </w:p>
    <w:p w14:paraId="74C7A108"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A Companhia também concluiu com a Secretaria de Governo Municipal o acordo para que a SPDA possa prestar a garantira subsidiária no âmbito da PPP da Geração Distribuída para implantação de unidades geradoras de energia fotovoltaica nas unidades básicas de saúde do Município, também por meio do penhor de cotas do SPDA Projetos.</w:t>
      </w:r>
    </w:p>
    <w:p w14:paraId="29799463"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lastRenderedPageBreak/>
        <w:t>Espera-se que nesse exercício implemente ou deixe alinhado o fluxo de prestação de garantias junto à entidade financeira.</w:t>
      </w:r>
    </w:p>
    <w:p w14:paraId="383E63C5" w14:textId="77777777" w:rsidR="00834969" w:rsidRPr="00834969" w:rsidRDefault="00834969" w:rsidP="00834969">
      <w:pPr>
        <w:spacing w:line="360" w:lineRule="auto"/>
        <w:rPr>
          <w:rFonts w:ascii="Times New Roman" w:hAnsi="Times New Roman"/>
          <w:sz w:val="24"/>
          <w:szCs w:val="24"/>
        </w:rPr>
      </w:pPr>
    </w:p>
    <w:p w14:paraId="4C86532F" w14:textId="77777777" w:rsidR="00834969" w:rsidRPr="00834969" w:rsidRDefault="00834969" w:rsidP="00834969">
      <w:pPr>
        <w:spacing w:line="360" w:lineRule="auto"/>
        <w:rPr>
          <w:rFonts w:ascii="Times New Roman" w:hAnsi="Times New Roman"/>
          <w:b/>
          <w:sz w:val="24"/>
          <w:szCs w:val="24"/>
        </w:rPr>
      </w:pPr>
      <w:r w:rsidRPr="00834969">
        <w:rPr>
          <w:rFonts w:ascii="Times New Roman" w:hAnsi="Times New Roman"/>
          <w:b/>
          <w:sz w:val="24"/>
          <w:szCs w:val="24"/>
        </w:rPr>
        <w:t>II.</w:t>
      </w:r>
      <w:r w:rsidRPr="00834969">
        <w:rPr>
          <w:rFonts w:ascii="Times New Roman" w:hAnsi="Times New Roman"/>
          <w:b/>
          <w:sz w:val="24"/>
          <w:szCs w:val="24"/>
        </w:rPr>
        <w:tab/>
        <w:t>Resultado financeiro do exercício</w:t>
      </w:r>
    </w:p>
    <w:p w14:paraId="58320B03" w14:textId="77777777" w:rsidR="00834969" w:rsidRPr="00834969" w:rsidRDefault="00834969" w:rsidP="00834969">
      <w:pPr>
        <w:spacing w:line="360" w:lineRule="auto"/>
        <w:rPr>
          <w:rFonts w:ascii="Times New Roman" w:hAnsi="Times New Roman"/>
          <w:b/>
          <w:sz w:val="24"/>
          <w:szCs w:val="24"/>
        </w:rPr>
      </w:pPr>
    </w:p>
    <w:p w14:paraId="12DD633C" w14:textId="3F85F6DA"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No exercício social encerrado em 31 de dezembro de 2020, a receita total da Companhia foi de R$ 32.955.463,19 (R$ 38.500.858,44 em 2019).</w:t>
      </w:r>
    </w:p>
    <w:p w14:paraId="5234B2E9" w14:textId="115BCD15"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Principal componente da receita total da Companhia, o ajuste decorrente da avaliação a valor justo das cotas do SPDA FIDC (cuja estrutura está detalhada no item </w:t>
      </w:r>
      <w:proofErr w:type="spellStart"/>
      <w:r w:rsidRPr="00834969">
        <w:rPr>
          <w:rFonts w:ascii="Times New Roman" w:hAnsi="Times New Roman"/>
          <w:sz w:val="24"/>
          <w:szCs w:val="24"/>
        </w:rPr>
        <w:t>I.a</w:t>
      </w:r>
      <w:proofErr w:type="spellEnd"/>
      <w:r w:rsidRPr="00834969">
        <w:rPr>
          <w:rFonts w:ascii="Times New Roman" w:hAnsi="Times New Roman"/>
          <w:sz w:val="24"/>
          <w:szCs w:val="24"/>
        </w:rPr>
        <w:t>, acima) (“AVJ”) totalizou R$ 28.257.091,15 (R$ 35.770.756,95 em 2019). A AVJ leva em conta os fatores econômicos e operacionais com impacto direto sobre a recuperação, bem como informações relevantes que afetem de forma efetiva a expectativa de recebimento do direito creditório. Embora esse ajuste represente a maior receita da Companhia em termos de valor, ele somente é realizado, convertido em caixa, na ocorrência de amortizações de cotas do SPDA FIDC ou no momento da liquidação do fundo.</w:t>
      </w:r>
    </w:p>
    <w:p w14:paraId="4AC084BD"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A receita da Companhia referente (i) à parcela já realizada da receita financeira decorrente do ajuste a valor justo de cotas do SPDA FIDC e (</w:t>
      </w:r>
      <w:proofErr w:type="spellStart"/>
      <w:r w:rsidRPr="00834969">
        <w:rPr>
          <w:rFonts w:ascii="Times New Roman" w:hAnsi="Times New Roman"/>
          <w:sz w:val="24"/>
          <w:szCs w:val="24"/>
        </w:rPr>
        <w:t>ii</w:t>
      </w:r>
      <w:proofErr w:type="spellEnd"/>
      <w:r w:rsidRPr="00834969">
        <w:rPr>
          <w:rFonts w:ascii="Times New Roman" w:hAnsi="Times New Roman"/>
          <w:sz w:val="24"/>
          <w:szCs w:val="24"/>
        </w:rPr>
        <w:t xml:space="preserve">) a rendimentos de aplicações financeiras em fundos de renda fixa no exercício social encerrado em 31 de dezembro de 2020 foi de R$ 4.569.156,68 sendo que R$ 3.611.698,94 se referem à rentabilidade registrada na amortização e R$ 7.000.000,00 do FIDC realizada em dezembro. </w:t>
      </w:r>
    </w:p>
    <w:p w14:paraId="56B1164F"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As despesas totais da SPDA no exercício social encerrado em 31 de dezembro de 2020 foram de R$ 13.471.502,34, frente a R$ 15.470.004,08. registrada em 2019</w:t>
      </w:r>
    </w:p>
    <w:p w14:paraId="62B1B1C2" w14:textId="09D767D6"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Cabe esclarecer que tanto as contas de receita e de despesa apresentadas neste documento foram descontadas da conta “perda de ajuste a valor justo” decorrentes de um equívoco na apuração do valor justo do SPDA FIDC em abril que foi sanado no mês subsequente. Isto posto, a administração da Companhia anuncia o lucro líquido de R$ 19.483.961 no exercício social encerrado em 31 de dezembro de 2020. </w:t>
      </w:r>
    </w:p>
    <w:p w14:paraId="55FD503E" w14:textId="77777777" w:rsidR="00834969" w:rsidRPr="00834969" w:rsidRDefault="00834969" w:rsidP="00834969">
      <w:pPr>
        <w:spacing w:line="360" w:lineRule="auto"/>
        <w:rPr>
          <w:rFonts w:ascii="Times New Roman" w:hAnsi="Times New Roman"/>
          <w:sz w:val="24"/>
          <w:szCs w:val="24"/>
        </w:rPr>
      </w:pPr>
    </w:p>
    <w:p w14:paraId="71FC4285" w14:textId="77777777" w:rsidR="00834969" w:rsidRPr="00834969" w:rsidRDefault="00834969" w:rsidP="00834969">
      <w:pPr>
        <w:spacing w:line="360" w:lineRule="auto"/>
        <w:rPr>
          <w:rFonts w:ascii="Times New Roman" w:hAnsi="Times New Roman"/>
          <w:b/>
          <w:sz w:val="24"/>
          <w:szCs w:val="24"/>
        </w:rPr>
      </w:pPr>
      <w:r w:rsidRPr="00834969">
        <w:rPr>
          <w:rFonts w:ascii="Times New Roman" w:hAnsi="Times New Roman"/>
          <w:b/>
          <w:sz w:val="24"/>
          <w:szCs w:val="24"/>
        </w:rPr>
        <w:t>III.</w:t>
      </w:r>
      <w:r w:rsidRPr="00834969">
        <w:rPr>
          <w:rFonts w:ascii="Times New Roman" w:hAnsi="Times New Roman"/>
          <w:b/>
          <w:sz w:val="24"/>
          <w:szCs w:val="24"/>
        </w:rPr>
        <w:tab/>
        <w:t xml:space="preserve">Perspectivas </w:t>
      </w:r>
    </w:p>
    <w:p w14:paraId="7590ED03" w14:textId="77777777" w:rsidR="00834969" w:rsidRPr="00834969" w:rsidRDefault="00834969" w:rsidP="00834969">
      <w:pPr>
        <w:spacing w:line="360" w:lineRule="auto"/>
        <w:rPr>
          <w:rFonts w:ascii="Times New Roman" w:hAnsi="Times New Roman"/>
          <w:b/>
          <w:sz w:val="24"/>
          <w:szCs w:val="24"/>
        </w:rPr>
      </w:pPr>
    </w:p>
    <w:p w14:paraId="53E1804E"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O desafio da Companhia para o próximo exercício será a captação de novos negócios, entre os quais destacam-se (i) a estruturação de garantias para a PMSP e de suas entidades controladas, e (</w:t>
      </w:r>
      <w:proofErr w:type="spellStart"/>
      <w:r w:rsidRPr="00834969">
        <w:rPr>
          <w:rFonts w:ascii="Times New Roman" w:hAnsi="Times New Roman"/>
          <w:sz w:val="24"/>
          <w:szCs w:val="24"/>
        </w:rPr>
        <w:t>ii</w:t>
      </w:r>
      <w:proofErr w:type="spellEnd"/>
      <w:r w:rsidRPr="00834969">
        <w:rPr>
          <w:rFonts w:ascii="Times New Roman" w:hAnsi="Times New Roman"/>
          <w:sz w:val="24"/>
          <w:szCs w:val="24"/>
        </w:rPr>
        <w:t xml:space="preserve">) a exploração de determinados ativos da PMSP, seja por meio da </w:t>
      </w:r>
      <w:r w:rsidRPr="00834969">
        <w:rPr>
          <w:rFonts w:ascii="Times New Roman" w:hAnsi="Times New Roman"/>
          <w:sz w:val="24"/>
          <w:szCs w:val="24"/>
        </w:rPr>
        <w:lastRenderedPageBreak/>
        <w:t xml:space="preserve">securitização de fluxos financeiros da entidade, seja por meio do auxílio à venda e a monetização de outros ativos. </w:t>
      </w:r>
    </w:p>
    <w:p w14:paraId="0D03FFB0"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No primeiro caso, isto é, com relação à estruturação de garantias, a SPDA deverá assinar um lote de contratos de prestação de garantias com a COHAB SP com a finalidade de prestar garantia solidária no âmbito do Projeto de Parceria Público-Privada da Habitação.</w:t>
      </w:r>
    </w:p>
    <w:p w14:paraId="6D74C41F"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No segundo caso, isto é, com relação à exploração dos ativos da PMSP, a SPDA continua prospectando soluções por meio de modelos de mercado para que possa explorá-los, obtendo receitas seja pela contratação da Companhia para os serviços de estudo, modelagem, estruturação, implantação e acompanhamento de algum projeto ou seja agindo em nome próprio trazendo valor aos ativos da própria Companhia. </w:t>
      </w:r>
    </w:p>
    <w:p w14:paraId="3394DA84"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De concreto, nos exercícios recentes, além do quanto referido acima acerca do SPDA FIDC, da estruturação de garantias para </w:t>
      </w:r>
      <w:proofErr w:type="spellStart"/>
      <w:r w:rsidRPr="00834969">
        <w:rPr>
          <w:rFonts w:ascii="Times New Roman" w:hAnsi="Times New Roman"/>
          <w:sz w:val="24"/>
          <w:szCs w:val="24"/>
        </w:rPr>
        <w:t>PPPs</w:t>
      </w:r>
      <w:proofErr w:type="spellEnd"/>
      <w:r w:rsidRPr="00834969">
        <w:rPr>
          <w:rFonts w:ascii="Times New Roman" w:hAnsi="Times New Roman"/>
          <w:sz w:val="24"/>
          <w:szCs w:val="24"/>
        </w:rPr>
        <w:t xml:space="preserve"> do Município, do estudo sobre a viabilidade da cobrança administrativa dos créditos de titularidade do Município e do projeto para estruturação de um FIDC para a COHAB do Estado de Minas Gerais, a Companhia apresentou notas técnicas referentes a estudos e modelagem para a monetização dos créditos contra o Fundo de Compensação e Variação Salarial (FCVS) e dos créditos de carbono, ambos pertencentes à PMSP, por solicitação de SF, os quais podem ser utilizados a qualquer tempo, caso assim decida a administração direta.</w:t>
      </w:r>
    </w:p>
    <w:p w14:paraId="708FBA2A"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Ademais disto, a Companhia estudou a viabilidade da criação de uma solução junto a instituições financeiras para que os fornecedores da PMSP pudessem negociar seus recebíveis contra estas. </w:t>
      </w:r>
    </w:p>
    <w:p w14:paraId="54E5D0A5"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Estes projetos aguardam adequações normativas e procedimentais ou melhores condições no ambiente econômico, político e social para serem viabilizados (estruturados e implantados), neste meio tempo a SPDA segue acompanhando o mercado público e privado para propiciar ao Município de São Paulo meios eficientes de entregar sua política pública. </w:t>
      </w:r>
    </w:p>
    <w:p w14:paraId="0F823FA8" w14:textId="77777777" w:rsidR="00834969" w:rsidRPr="00834969" w:rsidRDefault="00834969" w:rsidP="00834969">
      <w:pPr>
        <w:spacing w:line="360" w:lineRule="auto"/>
        <w:rPr>
          <w:rFonts w:ascii="Times New Roman" w:hAnsi="Times New Roman"/>
          <w:sz w:val="24"/>
          <w:szCs w:val="24"/>
        </w:rPr>
      </w:pPr>
    </w:p>
    <w:p w14:paraId="12D0D139"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w:t>
      </w:r>
    </w:p>
    <w:p w14:paraId="6FF72C3B"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 xml:space="preserve">O Relatório da Administração é parte integrante das demonstrações financeiras e deve ser lido em conjunto com as respectivas Notas Explicativas. </w:t>
      </w:r>
    </w:p>
    <w:p w14:paraId="7868B9EF" w14:textId="77777777" w:rsidR="00834969" w:rsidRPr="00834969" w:rsidRDefault="00834969" w:rsidP="00834969">
      <w:pPr>
        <w:spacing w:line="360" w:lineRule="auto"/>
        <w:rPr>
          <w:rFonts w:ascii="Times New Roman" w:hAnsi="Times New Roman"/>
          <w:sz w:val="24"/>
          <w:szCs w:val="24"/>
        </w:rPr>
      </w:pPr>
      <w:r w:rsidRPr="00834969">
        <w:rPr>
          <w:rFonts w:ascii="Times New Roman" w:hAnsi="Times New Roman"/>
          <w:sz w:val="24"/>
          <w:szCs w:val="24"/>
        </w:rPr>
        <w:t>Desta forma, a Companhia anuncia seus resultados referentes ao exercício social findo em 31 de dezembro em 2020. Os valores estão expressos em R$ (reais) e de acordo com o disposto na Lei das Sociedade por Ações.</w:t>
      </w:r>
    </w:p>
    <w:p w14:paraId="7B0718D5" w14:textId="27E36AD5" w:rsidR="008C04F4" w:rsidRDefault="008C04F4" w:rsidP="008C04F4"/>
    <w:sectPr w:rsidR="008C04F4" w:rsidSect="00B01D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FAA2" w14:textId="77777777" w:rsidR="000D310F" w:rsidRDefault="000D310F" w:rsidP="00F24C0F">
      <w:pPr>
        <w:spacing w:line="240" w:lineRule="auto"/>
      </w:pPr>
      <w:r>
        <w:separator/>
      </w:r>
    </w:p>
  </w:endnote>
  <w:endnote w:type="continuationSeparator" w:id="0">
    <w:p w14:paraId="3F17694A" w14:textId="77777777" w:rsidR="000D310F" w:rsidRDefault="000D310F" w:rsidP="00F24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umanist 521">
    <w:panose1 w:val="00000000000000000000"/>
    <w:charset w:val="00"/>
    <w:family w:val="modern"/>
    <w:notTrueType/>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374884"/>
      <w:docPartObj>
        <w:docPartGallery w:val="Page Numbers (Bottom of Page)"/>
        <w:docPartUnique/>
      </w:docPartObj>
    </w:sdtPr>
    <w:sdtEndPr/>
    <w:sdtContent>
      <w:p w14:paraId="4404CC93" w14:textId="141214C9" w:rsidR="00726C93" w:rsidRDefault="00726C93">
        <w:pPr>
          <w:pStyle w:val="Rodap"/>
          <w:jc w:val="right"/>
        </w:pPr>
        <w:r>
          <w:fldChar w:fldCharType="begin"/>
        </w:r>
        <w:r>
          <w:instrText>PAGE   \* MERGEFORMAT</w:instrText>
        </w:r>
        <w:r>
          <w:fldChar w:fldCharType="separate"/>
        </w:r>
        <w:r>
          <w:t>2</w:t>
        </w:r>
        <w:r>
          <w:fldChar w:fldCharType="end"/>
        </w:r>
      </w:p>
    </w:sdtContent>
  </w:sdt>
  <w:p w14:paraId="7E5BF3F3" w14:textId="77777777" w:rsidR="00726C93" w:rsidRDefault="00726C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3ED" w14:textId="77777777" w:rsidR="000D310F" w:rsidRDefault="000D310F" w:rsidP="00F24C0F">
      <w:pPr>
        <w:spacing w:line="240" w:lineRule="auto"/>
      </w:pPr>
      <w:r>
        <w:separator/>
      </w:r>
    </w:p>
  </w:footnote>
  <w:footnote w:type="continuationSeparator" w:id="0">
    <w:p w14:paraId="005E4A34" w14:textId="77777777" w:rsidR="000D310F" w:rsidRDefault="000D310F" w:rsidP="00F24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C6F8" w14:textId="77777777" w:rsidR="00386A2B" w:rsidRDefault="000D310F" w:rsidP="00052533">
    <w:pPr>
      <w:spacing w:line="240"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15D" w14:textId="77777777" w:rsidR="00B01D6F" w:rsidRPr="00B01D6F" w:rsidRDefault="00B01D6F" w:rsidP="00B01D6F">
    <w:pPr>
      <w:spacing w:line="240" w:lineRule="auto"/>
      <w:rPr>
        <w:rFonts w:ascii="Times New Roman" w:hAnsi="Times New Roman"/>
        <w:sz w:val="24"/>
        <w:szCs w:val="24"/>
      </w:rPr>
    </w:pPr>
    <w:r w:rsidRPr="00B01D6F">
      <w:rPr>
        <w:rFonts w:ascii="Times New Roman" w:hAnsi="Times New Roman"/>
        <w:sz w:val="24"/>
        <w:szCs w:val="24"/>
      </w:rPr>
      <w:t>COMPANHIA SÃO PAULO DE DESENVOLVIMENTO E MOBILIZAÇÃO DE ATIVOS - SPDA</w:t>
    </w:r>
  </w:p>
  <w:p w14:paraId="06181B89" w14:textId="55C38C28" w:rsidR="00B01D6F" w:rsidRDefault="00B01D6F" w:rsidP="00B01D6F">
    <w:pPr>
      <w:spacing w:line="240" w:lineRule="auto"/>
      <w:rPr>
        <w:rFonts w:ascii="Times New Roman" w:hAnsi="Times New Roman"/>
        <w:sz w:val="24"/>
        <w:szCs w:val="24"/>
      </w:rPr>
    </w:pPr>
    <w:r w:rsidRPr="00B01D6F">
      <w:rPr>
        <w:rFonts w:ascii="Times New Roman" w:hAnsi="Times New Roman"/>
        <w:sz w:val="24"/>
        <w:szCs w:val="24"/>
      </w:rPr>
      <w:t>Notas explicativas às demonstrações contábeis referentes ao exercício findo em 31 de dezembro de 2020 (Valores expressos em unidades de reais, exceto quando especificado).</w:t>
    </w:r>
  </w:p>
  <w:p w14:paraId="49E4C887" w14:textId="435F7F1F" w:rsidR="00B01D6F" w:rsidRDefault="00B01D6F" w:rsidP="00B01D6F">
    <w:pPr>
      <w:spacing w:line="240" w:lineRule="auto"/>
      <w:rPr>
        <w:rFonts w:ascii="Times New Roman" w:hAnsi="Times New Roman"/>
        <w:sz w:val="24"/>
        <w:szCs w:val="24"/>
      </w:rPr>
    </w:pPr>
  </w:p>
  <w:p w14:paraId="419CA65F" w14:textId="77777777" w:rsidR="005B5096" w:rsidRPr="00B01D6F" w:rsidRDefault="005B5096" w:rsidP="00B01D6F">
    <w:pPr>
      <w:spacing w:line="240" w:lineRule="auto"/>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EBB3" w14:textId="77777777" w:rsidR="00422C8E" w:rsidRPr="00B01D6F" w:rsidRDefault="00422C8E" w:rsidP="00B01D6F">
    <w:pPr>
      <w:spacing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8B4212"/>
    <w:multiLevelType w:val="hybridMultilevel"/>
    <w:tmpl w:val="6A758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17C09"/>
    <w:multiLevelType w:val="hybridMultilevel"/>
    <w:tmpl w:val="5EB0078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7BF228A"/>
    <w:multiLevelType w:val="hybridMultilevel"/>
    <w:tmpl w:val="4BB85E12"/>
    <w:lvl w:ilvl="0" w:tplc="7618ED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B2727A"/>
    <w:multiLevelType w:val="hybridMultilevel"/>
    <w:tmpl w:val="1CFEB4BC"/>
    <w:lvl w:ilvl="0" w:tplc="6158CC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0B70A59"/>
    <w:multiLevelType w:val="hybridMultilevel"/>
    <w:tmpl w:val="025E39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E56387"/>
    <w:multiLevelType w:val="multilevel"/>
    <w:tmpl w:val="B14C422C"/>
    <w:lvl w:ilvl="0">
      <w:start w:val="1"/>
      <w:numFmt w:val="decimal"/>
      <w:lvlText w:val="%1."/>
      <w:lvlJc w:val="left"/>
      <w:pPr>
        <w:ind w:left="36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58"/>
    <w:rsid w:val="00093BBF"/>
    <w:rsid w:val="000B76D5"/>
    <w:rsid w:val="000D310F"/>
    <w:rsid w:val="0012729C"/>
    <w:rsid w:val="001B1218"/>
    <w:rsid w:val="002051F1"/>
    <w:rsid w:val="003A27CF"/>
    <w:rsid w:val="003A6EC7"/>
    <w:rsid w:val="003E0483"/>
    <w:rsid w:val="00422C8E"/>
    <w:rsid w:val="004601FE"/>
    <w:rsid w:val="00462871"/>
    <w:rsid w:val="004E17D7"/>
    <w:rsid w:val="00544BDC"/>
    <w:rsid w:val="00577985"/>
    <w:rsid w:val="005B5096"/>
    <w:rsid w:val="006C3EDF"/>
    <w:rsid w:val="006C66FA"/>
    <w:rsid w:val="00707358"/>
    <w:rsid w:val="00726C93"/>
    <w:rsid w:val="007D6D88"/>
    <w:rsid w:val="00834969"/>
    <w:rsid w:val="008C04F4"/>
    <w:rsid w:val="009352FE"/>
    <w:rsid w:val="0094474F"/>
    <w:rsid w:val="009A6FBD"/>
    <w:rsid w:val="009B6328"/>
    <w:rsid w:val="00A3000F"/>
    <w:rsid w:val="00A31378"/>
    <w:rsid w:val="00B01D6F"/>
    <w:rsid w:val="00B93F8C"/>
    <w:rsid w:val="00B9414F"/>
    <w:rsid w:val="00BC3874"/>
    <w:rsid w:val="00C738E6"/>
    <w:rsid w:val="00CF2DD3"/>
    <w:rsid w:val="00D40091"/>
    <w:rsid w:val="00DE76E9"/>
    <w:rsid w:val="00E21CFC"/>
    <w:rsid w:val="00E62283"/>
    <w:rsid w:val="00EB1D19"/>
    <w:rsid w:val="00F15018"/>
    <w:rsid w:val="00F24C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F9A8"/>
  <w15:chartTrackingRefBased/>
  <w15:docId w15:val="{4937A4BF-05B7-4B6B-9CAA-C8CE5E0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58"/>
    <w:pPr>
      <w:spacing w:after="0" w:line="264" w:lineRule="auto"/>
      <w:jc w:val="both"/>
    </w:pPr>
    <w:rPr>
      <w:rFonts w:ascii="Calibri" w:eastAsia="Times New Roman" w:hAnsi="Calibri" w:cs="Times New Roman"/>
      <w:lang w:eastAsia="pt-BR"/>
    </w:rPr>
  </w:style>
  <w:style w:type="paragraph" w:styleId="Ttulo1">
    <w:name w:val="heading 1"/>
    <w:basedOn w:val="Normal"/>
    <w:next w:val="Normal"/>
    <w:link w:val="Ttulo1Char"/>
    <w:uiPriority w:val="9"/>
    <w:qFormat/>
    <w:rsid w:val="00726C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707358"/>
    <w:pPr>
      <w:spacing w:after="120"/>
    </w:pPr>
  </w:style>
  <w:style w:type="character" w:customStyle="1" w:styleId="CorpodetextoChar">
    <w:name w:val="Corpo de texto Char"/>
    <w:basedOn w:val="Fontepargpadro"/>
    <w:link w:val="Corpodetexto"/>
    <w:uiPriority w:val="99"/>
    <w:semiHidden/>
    <w:rsid w:val="00707358"/>
    <w:rPr>
      <w:rFonts w:ascii="Calibri" w:eastAsia="Times New Roman" w:hAnsi="Calibri" w:cs="Times New Roman"/>
      <w:lang w:eastAsia="pt-BR"/>
    </w:rPr>
  </w:style>
  <w:style w:type="paragraph" w:customStyle="1" w:styleId="Sumrio11">
    <w:name w:val="Sumário 11"/>
    <w:basedOn w:val="Normal"/>
    <w:uiPriority w:val="1"/>
    <w:qFormat/>
    <w:rsid w:val="00707358"/>
    <w:pPr>
      <w:widowControl w:val="0"/>
      <w:autoSpaceDE w:val="0"/>
      <w:autoSpaceDN w:val="0"/>
      <w:spacing w:before="8" w:line="240" w:lineRule="auto"/>
      <w:ind w:left="396"/>
      <w:jc w:val="left"/>
    </w:pPr>
    <w:rPr>
      <w:rFonts w:eastAsia="Calibri" w:cs="Calibri"/>
      <w:sz w:val="20"/>
      <w:szCs w:val="20"/>
      <w:lang w:val="pt-PT" w:eastAsia="pt-PT" w:bidi="pt-PT"/>
    </w:rPr>
  </w:style>
  <w:style w:type="paragraph" w:customStyle="1" w:styleId="Default">
    <w:name w:val="Default"/>
    <w:rsid w:val="008C04F4"/>
    <w:pPr>
      <w:autoSpaceDE w:val="0"/>
      <w:autoSpaceDN w:val="0"/>
      <w:adjustRightInd w:val="0"/>
      <w:spacing w:after="0" w:line="240" w:lineRule="auto"/>
    </w:pPr>
    <w:rPr>
      <w:rFonts w:ascii="Verdana" w:hAnsi="Verdana" w:cs="Verdana"/>
      <w:color w:val="000000"/>
      <w:sz w:val="24"/>
      <w:szCs w:val="24"/>
    </w:rPr>
  </w:style>
  <w:style w:type="paragraph" w:styleId="Cabealho">
    <w:name w:val="header"/>
    <w:basedOn w:val="Normal"/>
    <w:link w:val="CabealhoChar"/>
    <w:uiPriority w:val="99"/>
    <w:unhideWhenUsed/>
    <w:rsid w:val="00F24C0F"/>
    <w:pPr>
      <w:tabs>
        <w:tab w:val="center" w:pos="4252"/>
        <w:tab w:val="right" w:pos="8504"/>
      </w:tabs>
      <w:spacing w:line="240" w:lineRule="auto"/>
    </w:pPr>
  </w:style>
  <w:style w:type="character" w:customStyle="1" w:styleId="CabealhoChar">
    <w:name w:val="Cabeçalho Char"/>
    <w:basedOn w:val="Fontepargpadro"/>
    <w:link w:val="Cabealho"/>
    <w:uiPriority w:val="99"/>
    <w:rsid w:val="00F24C0F"/>
    <w:rPr>
      <w:rFonts w:ascii="Calibri" w:eastAsia="Times New Roman" w:hAnsi="Calibri" w:cs="Times New Roman"/>
      <w:lang w:eastAsia="pt-BR"/>
    </w:rPr>
  </w:style>
  <w:style w:type="paragraph" w:styleId="Rodap">
    <w:name w:val="footer"/>
    <w:basedOn w:val="Normal"/>
    <w:link w:val="RodapChar"/>
    <w:uiPriority w:val="99"/>
    <w:unhideWhenUsed/>
    <w:rsid w:val="00F24C0F"/>
    <w:pPr>
      <w:tabs>
        <w:tab w:val="center" w:pos="4252"/>
        <w:tab w:val="right" w:pos="8504"/>
      </w:tabs>
      <w:spacing w:line="240" w:lineRule="auto"/>
    </w:pPr>
  </w:style>
  <w:style w:type="character" w:customStyle="1" w:styleId="RodapChar">
    <w:name w:val="Rodapé Char"/>
    <w:basedOn w:val="Fontepargpadro"/>
    <w:link w:val="Rodap"/>
    <w:uiPriority w:val="99"/>
    <w:rsid w:val="00F24C0F"/>
    <w:rPr>
      <w:rFonts w:ascii="Calibri" w:eastAsia="Times New Roman" w:hAnsi="Calibri" w:cs="Times New Roman"/>
      <w:lang w:eastAsia="pt-BR"/>
    </w:rPr>
  </w:style>
  <w:style w:type="character" w:customStyle="1" w:styleId="Ttulo1Char">
    <w:name w:val="Título 1 Char"/>
    <w:basedOn w:val="Fontepargpadro"/>
    <w:link w:val="Ttulo1"/>
    <w:uiPriority w:val="9"/>
    <w:rsid w:val="00726C93"/>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726C93"/>
    <w:pPr>
      <w:spacing w:line="259" w:lineRule="auto"/>
      <w:jc w:val="left"/>
      <w:outlineLvl w:val="9"/>
    </w:pPr>
  </w:style>
  <w:style w:type="paragraph" w:styleId="Sumrio1">
    <w:name w:val="toc 1"/>
    <w:basedOn w:val="Normal"/>
    <w:next w:val="Normal"/>
    <w:autoRedefine/>
    <w:uiPriority w:val="39"/>
    <w:unhideWhenUsed/>
    <w:rsid w:val="00726C93"/>
    <w:pPr>
      <w:spacing w:after="100"/>
    </w:pPr>
  </w:style>
  <w:style w:type="character" w:styleId="Hyperlink">
    <w:name w:val="Hyperlink"/>
    <w:basedOn w:val="Fontepargpadro"/>
    <w:uiPriority w:val="99"/>
    <w:unhideWhenUsed/>
    <w:rsid w:val="00726C93"/>
    <w:rPr>
      <w:color w:val="0563C1" w:themeColor="hyperlink"/>
      <w:u w:val="single"/>
    </w:rPr>
  </w:style>
  <w:style w:type="paragraph" w:styleId="Sumrio2">
    <w:name w:val="toc 2"/>
    <w:basedOn w:val="Normal"/>
    <w:next w:val="Normal"/>
    <w:autoRedefine/>
    <w:uiPriority w:val="39"/>
    <w:unhideWhenUsed/>
    <w:rsid w:val="00EB1D19"/>
    <w:pPr>
      <w:spacing w:after="100" w:line="259" w:lineRule="auto"/>
      <w:ind w:left="220"/>
      <w:jc w:val="left"/>
    </w:pPr>
    <w:rPr>
      <w:rFonts w:asciiTheme="minorHAnsi" w:eastAsiaTheme="minorEastAsia" w:hAnsiTheme="minorHAnsi"/>
    </w:rPr>
  </w:style>
  <w:style w:type="paragraph" w:styleId="Sumrio3">
    <w:name w:val="toc 3"/>
    <w:basedOn w:val="Normal"/>
    <w:next w:val="Normal"/>
    <w:autoRedefine/>
    <w:uiPriority w:val="39"/>
    <w:unhideWhenUsed/>
    <w:rsid w:val="00EB1D19"/>
    <w:pPr>
      <w:spacing w:after="100" w:line="259" w:lineRule="auto"/>
      <w:ind w:left="440"/>
      <w:jc w:val="left"/>
    </w:pPr>
    <w:rPr>
      <w:rFonts w:asciiTheme="minorHAnsi" w:eastAsiaTheme="minorEastAsia" w:hAnsiTheme="minorHAnsi"/>
    </w:rPr>
  </w:style>
  <w:style w:type="paragraph" w:styleId="PargrafodaLista">
    <w:name w:val="List Paragraph"/>
    <w:basedOn w:val="Normal"/>
    <w:uiPriority w:val="34"/>
    <w:qFormat/>
    <w:rsid w:val="00B01D6F"/>
    <w:pPr>
      <w:ind w:left="708"/>
    </w:pPr>
  </w:style>
  <w:style w:type="paragraph" w:customStyle="1" w:styleId="textocentralizado">
    <w:name w:val="texto_centralizado"/>
    <w:basedOn w:val="Normal"/>
    <w:rsid w:val="0012729C"/>
    <w:pPr>
      <w:spacing w:before="100" w:beforeAutospacing="1" w:after="100" w:afterAutospacing="1" w:line="240" w:lineRule="auto"/>
      <w:jc w:val="left"/>
    </w:pPr>
    <w:rPr>
      <w:rFonts w:ascii="Times New Roman" w:hAnsi="Times New Roman"/>
      <w:sz w:val="24"/>
      <w:szCs w:val="24"/>
    </w:rPr>
  </w:style>
  <w:style w:type="character" w:styleId="Forte">
    <w:name w:val="Strong"/>
    <w:basedOn w:val="Fontepargpadro"/>
    <w:uiPriority w:val="22"/>
    <w:qFormat/>
    <w:rsid w:val="0012729C"/>
    <w:rPr>
      <w:b/>
      <w:bCs/>
    </w:rPr>
  </w:style>
  <w:style w:type="paragraph" w:customStyle="1" w:styleId="textojustificado">
    <w:name w:val="texto_justificado"/>
    <w:basedOn w:val="Normal"/>
    <w:rsid w:val="0012729C"/>
    <w:pPr>
      <w:spacing w:before="100" w:beforeAutospacing="1" w:after="100" w:afterAutospacing="1" w:line="240" w:lineRule="auto"/>
      <w:jc w:val="left"/>
    </w:pPr>
    <w:rPr>
      <w:rFonts w:ascii="Times New Roman" w:hAnsi="Times New Roman"/>
      <w:sz w:val="24"/>
      <w:szCs w:val="24"/>
    </w:rPr>
  </w:style>
  <w:style w:type="paragraph" w:styleId="NormalWeb">
    <w:name w:val="Normal (Web)"/>
    <w:basedOn w:val="Normal"/>
    <w:uiPriority w:val="99"/>
    <w:semiHidden/>
    <w:unhideWhenUsed/>
    <w:rsid w:val="0012729C"/>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7DF9-9699-42AB-950B-8B08BEAB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11420</Words>
  <Characters>61672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Meneghini da Silva</dc:creator>
  <cp:keywords/>
  <dc:description/>
  <cp:lastModifiedBy>Patrícia Meneghini da Silva</cp:lastModifiedBy>
  <cp:revision>28</cp:revision>
  <dcterms:created xsi:type="dcterms:W3CDTF">2021-09-03T19:05:00Z</dcterms:created>
  <dcterms:modified xsi:type="dcterms:W3CDTF">2021-09-15T18:25:00Z</dcterms:modified>
</cp:coreProperties>
</file>