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0" w:rsidRDefault="00512B02">
      <w:pPr>
        <w:rPr>
          <w:b/>
          <w:sz w:val="24"/>
          <w:szCs w:val="24"/>
        </w:rPr>
      </w:pPr>
      <w:r w:rsidRPr="00512B02">
        <w:rPr>
          <w:b/>
          <w:sz w:val="24"/>
          <w:szCs w:val="24"/>
        </w:rPr>
        <w:t>11.08.2022</w:t>
      </w:r>
    </w:p>
    <w:p w:rsidR="00512B02" w:rsidRPr="00512B02" w:rsidRDefault="00512B02" w:rsidP="00512B02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color w:val="000000" w:themeColor="text1"/>
          <w:sz w:val="28"/>
          <w:szCs w:val="28"/>
          <w:lang w:eastAsia="pt-BR"/>
        </w:rPr>
      </w:pPr>
      <w:r w:rsidRPr="00512B02">
        <w:rPr>
          <w:rFonts w:eastAsia="Times New Roman" w:cstheme="minorHAnsi"/>
          <w:b/>
          <w:bCs/>
          <w:caps/>
          <w:color w:val="000000" w:themeColor="text1"/>
          <w:sz w:val="28"/>
          <w:szCs w:val="28"/>
          <w:lang w:eastAsia="pt-BR"/>
        </w:rPr>
        <w:t>DIÁRIO OFICIAL DA UNIÃO</w:t>
      </w:r>
    </w:p>
    <w:p w:rsidR="00512B02" w:rsidRPr="00512B02" w:rsidRDefault="00512B02" w:rsidP="00512B02">
      <w:pPr>
        <w:shd w:val="clear" w:color="auto" w:fill="FFFFFF"/>
        <w:spacing w:before="30" w:after="45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12B02">
        <w:rPr>
          <w:rFonts w:eastAsia="Times New Roman" w:cstheme="minorHAnsi"/>
          <w:b/>
          <w:bCs/>
          <w:color w:val="000000" w:themeColor="text1"/>
          <w:sz w:val="19"/>
          <w:szCs w:val="19"/>
          <w:lang w:eastAsia="pt-BR"/>
        </w:rPr>
        <w:t>Órgão: Ministério do Trabalho e Previdência/Instituto Nacional do Seguro Social/Diretoria de Benefícios e Relacionamento com o Cidadão</w:t>
      </w:r>
    </w:p>
    <w:p w:rsidR="00512B02" w:rsidRPr="00512B02" w:rsidRDefault="00512B02" w:rsidP="00512B02">
      <w:pPr>
        <w:shd w:val="clear" w:color="auto" w:fill="FFFFFF"/>
        <w:spacing w:before="450" w:after="450" w:line="240" w:lineRule="auto"/>
        <w:jc w:val="center"/>
        <w:rPr>
          <w:rFonts w:eastAsia="Times New Roman" w:cstheme="minorHAnsi"/>
          <w:b/>
          <w:bCs/>
          <w:caps/>
          <w:color w:val="162937"/>
          <w:sz w:val="29"/>
          <w:szCs w:val="29"/>
          <w:lang w:eastAsia="pt-BR"/>
        </w:rPr>
      </w:pPr>
      <w:r w:rsidRPr="00512B02">
        <w:rPr>
          <w:rFonts w:eastAsia="Times New Roman" w:cstheme="minorHAnsi"/>
          <w:b/>
          <w:bCs/>
          <w:caps/>
          <w:color w:val="000000" w:themeColor="text1"/>
          <w:sz w:val="29"/>
          <w:szCs w:val="29"/>
          <w:lang w:eastAsia="pt-BR"/>
        </w:rPr>
        <w:t xml:space="preserve">PORTARIA DIRBEN/INSS Nº 1.047, </w:t>
      </w:r>
      <w:r w:rsidRPr="00512B02">
        <w:rPr>
          <w:rFonts w:eastAsia="Times New Roman" w:cstheme="minorHAnsi"/>
          <w:b/>
          <w:bCs/>
          <w:caps/>
          <w:color w:val="162937"/>
          <w:sz w:val="29"/>
          <w:szCs w:val="29"/>
          <w:lang w:eastAsia="pt-BR"/>
        </w:rPr>
        <w:t xml:space="preserve">DE 10 DE AGOSTO DE </w:t>
      </w:r>
      <w:proofErr w:type="gramStart"/>
      <w:r w:rsidRPr="00512B02">
        <w:rPr>
          <w:rFonts w:eastAsia="Times New Roman" w:cstheme="minorHAnsi"/>
          <w:b/>
          <w:bCs/>
          <w:caps/>
          <w:color w:val="162937"/>
          <w:sz w:val="29"/>
          <w:szCs w:val="29"/>
          <w:lang w:eastAsia="pt-BR"/>
        </w:rPr>
        <w:t>2022</w:t>
      </w:r>
      <w:proofErr w:type="gramEnd"/>
    </w:p>
    <w:p w:rsidR="00512B02" w:rsidRPr="00512B02" w:rsidRDefault="00512B02" w:rsidP="00512B02">
      <w:pPr>
        <w:shd w:val="clear" w:color="auto" w:fill="FFFFFF"/>
        <w:spacing w:after="450" w:line="240" w:lineRule="auto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Altera a Portaria nº 949, de 18 de novembro de 2021 que dispõe sobre as regras e os procedimentos para análise do direito ao Benefício de Auxílio-Inclusão à Pessoa com Deficiência.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O DIRETOR DE BENEFÍCIOS E RELACIONAMENTO COM O CIDADÃO DO INSTITUTO NACIONAL DO SEGURO SOCIAL - INSS, no uso das atribuições que lhe foram conferidas no art. 16 do Decreto nº 10.995, de 14 de março de 2022, e considerando o constante dos autos do Processo Administrativo nº 35014.363383/2021-92, resolve: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1º Alterar a Portaria DIRBEN/INSS Nº 949, de 18 de novembro de 2021, que dispõe sobre as regras e os procedimentos para análise do direito ao Benefício de Auxílio-Inclusão à Pessoa com Deficiência, que passa vigorar com as seguintes alterações: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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7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°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...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...................................................................................................................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..................................................................................................................................</w:t>
      </w:r>
      <w:proofErr w:type="gramEnd"/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II - exercer, na Data de Entrada do Requerimento - DER do Auxílio-Inclusão à Pessoa com Deficiência (B-18), atividade remunerada que a enquadre como segurado obrigatório do Regime Geral de Previdência Social ou como filiado a Regime Próprio de Previdência Social da União, dos Estados, do Distrito Federal ou dos Municípios, inclusive regime de previdência militar;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VI - atender aos critérios de manutenção do benefício de prestação continuada, incluídos os critérios relativos à renda familiar mensal per capita exigida para o acesso ao benefício, inclusive aqueles decorrentes das ações civis públicas aplicáveis.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1º Para fins de direito ao Auxílio-Inclusão à Pessoa com Deficiência (B-18), os motivos de suspensão ou cessação do Benefício Assistencial à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Pessoa com Deficiência (B-87) considerados para reconhecimento do direito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conforme inciso I do caput, são os dispostos no art. 21-A da Lei 8.742, de 7 de dezembro de 1993: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 -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7 (BPC&gt;2 ANOS - APRENDIZ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C/ DEFIC), cessação;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II - 116 (CESS. B87 APOS ANALISE REQUERIMENTO B18), cessação;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e</w:t>
      </w:r>
      <w:proofErr w:type="gramEnd"/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III - 86 (SUSP. BPC EXERCE ATIVIDADE REMUNERADA), suspensão.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 xml:space="preserve">§ 2º Na hipótese de benefício assistencial anterior com motivo de suspensão ou cessação diverso do definido no parágrafo 1º, quando possível, caberá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alteração para possibilitar o reconhecimento do direito ao auxílio-inclusão." (NR)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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8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°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Para fins do disposto no caput do art. 7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º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, a defici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ê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ncia ser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á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presumida quando o requerente estiver com Benef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í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cio Assistencial 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à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Pessoa com Defici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ê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ncia (B-87) ativo, suspenso ou cessado em conformidade com o previsto nos §§ 1º e 2º do artigo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7º.</w:t>
      </w:r>
      <w:proofErr w:type="gramEnd"/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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(NR)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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10.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....................................................................................................................</w:t>
      </w:r>
      <w:proofErr w:type="gramEnd"/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...................................................................................................................................</w:t>
      </w:r>
      <w:proofErr w:type="gramEnd"/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§ 2° A concessão do Auxílio-Inclusão à Pessoa com Deficiência (B-18), em decorrência de sua natureza assistencial, independe de carência, devendo o requerimento ser indeferido quando, na DER, não restarem comprovados a filiação ao RGPS ou RPPS, inclusive originário de vínculo militar, ou ainda, o exercício da atividade remunerada. (NR)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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11.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....................................................................................................................</w:t>
      </w:r>
      <w:proofErr w:type="gramEnd"/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§ 1° O valor da remuneração considerado será o auferido à época da Data de Entrada do Requerimento - DER do Auxílio-Inclusão da Pessoa com Deficiência (B-18).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§2° O limite de até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2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(dois) salários-mínimos de remuneração pelo exercício de atividade remunerada é válido para todas as categorias de trabalhadores e, para o contribuinte individual ou segurado especial que contribuir facultativamente, deverá ser aferido pelo valor da contribuição previdenciária recolhida na competência de entrada do requerimento do auxílio-inclusão, se houver, ou, na imediatamente anterior à apresentação do pedido.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§3° Para o segurado especial sem contribuição facultativa, o valor de remuneração auferido a ser considerado será de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1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(um) salário-mínimo.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§4° Para o segurado especial que contribui facultativamente não será exigida a continuidade das contribuições previdenciárias para manutenção do direito ao Auxílio-Inclusão, cabendo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entretanto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, a comprovação da continuidade do exercício da atividade remunerada no período de manutenção do Auxílio-Inclusão.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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(NR)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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11-A. Para fins de an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á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lise do requerimento ao Aux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í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lio-Inclus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ã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o 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à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Pessoa com Defici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ê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ncia (B-18), a data a ser considerada como sendo do in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í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cio da atividade remunerada ser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á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: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1° Para o segurado especial com ou sem contribuição facultativa, de acordo com a data da documentação apresentada visando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comprovação do exercício da atividade laborativa de natureza rural nos moldes da legislação previdenciária;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lastRenderedPageBreak/>
        <w:t>§ 2° Para o trabalhador avulso, o primeiro dia da competência em que foi efetuada a primeira contribuição previdenciária sem que se verifique interrupção nos recolhimentos, anterior a DER do Auxílio-inclusão.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§ 3° Caberá a devolução de valores recebidos a título de Benefício Assistencial à Pessoa com Deficiência (B-87) em concomitância com o exercício de atividade remunerada, observado o disposto nos § 1º e § 2º deste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artigo.</w:t>
      </w:r>
      <w:proofErr w:type="gramEnd"/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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(NR)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2°. Revoga-se a alínea 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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b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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do 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§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5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º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do art. 10 da Portaria DIRBEN/INSS N</w:t>
      </w:r>
      <w:r w:rsidRPr="00512B02">
        <w:rPr>
          <w:rFonts w:ascii="Calibri" w:eastAsia="Times New Roman" w:hAnsi="Calibri" w:cs="Calibri"/>
          <w:color w:val="162937"/>
          <w:sz w:val="24"/>
          <w:szCs w:val="24"/>
          <w:lang w:eastAsia="pt-BR"/>
        </w:rPr>
        <w:t>º</w:t>
      </w: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949, de 18 de novembro de 2021.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3º. Esta Portaria entra em vigor na data de sua publicação.</w:t>
      </w:r>
    </w:p>
    <w:p w:rsidR="00512B02" w:rsidRDefault="00512B02" w:rsidP="00512B02">
      <w:pPr>
        <w:shd w:val="clear" w:color="auto" w:fill="FFFFFF"/>
        <w:spacing w:before="300" w:line="240" w:lineRule="auto"/>
        <w:jc w:val="right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512B02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t>EDSON AKIO YAMADA</w:t>
      </w:r>
    </w:p>
    <w:p w:rsidR="00512B02" w:rsidRDefault="00512B02" w:rsidP="00512B02">
      <w:pPr>
        <w:shd w:val="clear" w:color="auto" w:fill="FFFFFF"/>
        <w:spacing w:before="300" w:line="240" w:lineRule="auto"/>
        <w:jc w:val="right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</w:p>
    <w:p w:rsidR="00512B02" w:rsidRPr="00512B02" w:rsidRDefault="00512B02" w:rsidP="00512B02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color w:val="000000" w:themeColor="text1"/>
          <w:sz w:val="28"/>
          <w:szCs w:val="28"/>
          <w:lang w:eastAsia="pt-BR"/>
        </w:rPr>
      </w:pPr>
      <w:r w:rsidRPr="00512B02">
        <w:rPr>
          <w:rFonts w:eastAsia="Times New Roman" w:cstheme="minorHAnsi"/>
          <w:b/>
          <w:bCs/>
          <w:caps/>
          <w:color w:val="000000" w:themeColor="text1"/>
          <w:sz w:val="28"/>
          <w:szCs w:val="28"/>
          <w:lang w:eastAsia="pt-BR"/>
        </w:rPr>
        <w:t>DIÁRIO OFICIAL DA UNIÃO</w:t>
      </w:r>
    </w:p>
    <w:p w:rsidR="00512B02" w:rsidRPr="00512B02" w:rsidRDefault="00512B02" w:rsidP="00512B02">
      <w:pPr>
        <w:shd w:val="clear" w:color="auto" w:fill="FFFFFF"/>
        <w:spacing w:before="30" w:after="45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512B02">
        <w:rPr>
          <w:rFonts w:eastAsia="Times New Roman" w:cstheme="minorHAnsi"/>
          <w:b/>
          <w:bCs/>
          <w:color w:val="000000" w:themeColor="text1"/>
          <w:sz w:val="19"/>
          <w:szCs w:val="19"/>
          <w:lang w:eastAsia="pt-BR"/>
        </w:rPr>
        <w:t>Órgão: Ministério da Educação/Secretaria de Regulação e Supervisão da Educação Superior</w:t>
      </w:r>
    </w:p>
    <w:p w:rsidR="00512B02" w:rsidRPr="00512B02" w:rsidRDefault="00512B02" w:rsidP="00512B02">
      <w:pPr>
        <w:shd w:val="clear" w:color="auto" w:fill="FFFFFF"/>
        <w:spacing w:before="450" w:after="450" w:line="240" w:lineRule="auto"/>
        <w:jc w:val="center"/>
        <w:rPr>
          <w:rFonts w:eastAsia="Times New Roman" w:cstheme="minorHAnsi"/>
          <w:b/>
          <w:bCs/>
          <w:caps/>
          <w:color w:val="162937"/>
          <w:sz w:val="29"/>
          <w:szCs w:val="29"/>
          <w:lang w:eastAsia="pt-BR"/>
        </w:rPr>
      </w:pPr>
      <w:r w:rsidRPr="00512B02">
        <w:rPr>
          <w:rFonts w:eastAsia="Times New Roman" w:cstheme="minorHAnsi"/>
          <w:b/>
          <w:bCs/>
          <w:caps/>
          <w:color w:val="162937"/>
          <w:sz w:val="29"/>
          <w:szCs w:val="29"/>
          <w:lang w:eastAsia="pt-BR"/>
        </w:rPr>
        <w:t xml:space="preserve">PORTARIA Nº 820, DE 10 DE AGOSTO DE </w:t>
      </w:r>
      <w:proofErr w:type="gramStart"/>
      <w:r w:rsidRPr="00512B02">
        <w:rPr>
          <w:rFonts w:eastAsia="Times New Roman" w:cstheme="minorHAnsi"/>
          <w:b/>
          <w:bCs/>
          <w:caps/>
          <w:color w:val="162937"/>
          <w:sz w:val="29"/>
          <w:szCs w:val="29"/>
          <w:lang w:eastAsia="pt-BR"/>
        </w:rPr>
        <w:t>2022</w:t>
      </w:r>
      <w:proofErr w:type="gramEnd"/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 SECRETÁRIA DE REGULAÇÃO E SUPERVISÃO DA EDUCAÇÃO SUPERIOR, no uso da atribuição que lhe confere o Decreto n° 10.195, de 30 de dezembro de 2019, e tendo em vista o Decreto n° 9.235, de 15 de dezembro de 2017, e as Portarias Normativas n° 20 e nº 23, de 21 de dezembro de 2017, do Ministério da Educação, e considerando o disposto no(s) processo(s) </w:t>
      </w:r>
      <w:proofErr w:type="spell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e-MEC</w:t>
      </w:r>
      <w:proofErr w:type="spell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listado(s) na planilha anexa, resolve: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1º Fica(m) reconhecido(s) o(s) curso(s) </w:t>
      </w:r>
      <w:proofErr w:type="gram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superior(</w:t>
      </w:r>
      <w:proofErr w:type="gram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es) de graduação constante(s) da tabela do anexo desta Portaria, ministrado(s) pela(s) Instituição(</w:t>
      </w:r>
      <w:proofErr w:type="spellStart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ões</w:t>
      </w:r>
      <w:proofErr w:type="spellEnd"/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) de Educação Superior citada(s), nos termos do disposto no art. 10, do Decreto nº 9.235/2017.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2º O reconhecimento a que se refere esta Portaria é válido exclusivamente para o curso ministrado no endereço citado na tabela constante do anexo.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3º O reconhecimento a que se refere esta Portaria é válido até o ciclo avaliativo seguinte.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Art. 4º Esta Portaria entra em vigor na data de sua publicação.</w:t>
      </w:r>
    </w:p>
    <w:p w:rsidR="00512B02" w:rsidRPr="00512B02" w:rsidRDefault="00512B02" w:rsidP="00512B02">
      <w:pPr>
        <w:shd w:val="clear" w:color="auto" w:fill="FFFFFF"/>
        <w:spacing w:before="300" w:after="0" w:line="240" w:lineRule="auto"/>
        <w:jc w:val="right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512B02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t>DIANA GUIMARÃES AZIN</w:t>
      </w:r>
    </w:p>
    <w:p w:rsidR="00512B02" w:rsidRPr="00512B02" w:rsidRDefault="00512B02" w:rsidP="00512B02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ANEXO</w:t>
      </w:r>
    </w:p>
    <w:p w:rsidR="00512B02" w:rsidRPr="00512B02" w:rsidRDefault="00512B02" w:rsidP="00512B02">
      <w:pPr>
        <w:shd w:val="clear" w:color="auto" w:fill="FFFFFF"/>
        <w:spacing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512B02">
        <w:rPr>
          <w:rFonts w:eastAsia="Times New Roman" w:cstheme="minorHAnsi"/>
          <w:color w:val="162937"/>
          <w:sz w:val="24"/>
          <w:szCs w:val="24"/>
          <w:lang w:eastAsia="pt-BR"/>
        </w:rPr>
        <w:t>(Reconhecimento de Cursos)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002"/>
        <w:gridCol w:w="1362"/>
        <w:gridCol w:w="1025"/>
        <w:gridCol w:w="1365"/>
        <w:gridCol w:w="1379"/>
        <w:gridCol w:w="1744"/>
      </w:tblGrid>
      <w:tr w:rsidR="00512B02" w:rsidRPr="00512B02" w:rsidTr="00512B02">
        <w:trPr>
          <w:gridAfter w:val="6"/>
        </w:trPr>
        <w:tc>
          <w:tcPr>
            <w:tcW w:w="0" w:type="auto"/>
            <w:vAlign w:val="center"/>
            <w:hideMark/>
          </w:tcPr>
          <w:p w:rsidR="00512B02" w:rsidRPr="00512B02" w:rsidRDefault="00512B02" w:rsidP="00512B02">
            <w:pPr>
              <w:spacing w:before="300" w:after="30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Nº de Ordem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Registro </w:t>
            </w:r>
            <w:proofErr w:type="spell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e-MEC</w:t>
            </w:r>
            <w:proofErr w:type="spell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Nº de vagas totais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anuais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Mantida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Mantenedora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Endereço de funcionamento do curso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201817125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GASTRONOMIA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110 (cento e dez)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Anhanguera de São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ANHANGUERA EDUCACIONAL PARTICIPACOES S/A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BRAZ LEME, 3029, MARTE, SANTANA, SÃO PAULO/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201901593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DE PRODUÇÃO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80 (oitenta)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DANTE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SOCIEDADE EDUCACIONAL LEONARDO DA VINCI S/S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DOUTOR PEDRO ZIMMERMANN, 385, SALTO DO NORTE, BLUMENAU/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SC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201801047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DESIGN GRÁFICO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80 (oitenta)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DA SERRA GAÚCHA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SOCIEDADE EDUCACIONAL SANTA RITA S.A.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MARECHAL FLORIANO, 1229, CENTRO UNIVERSITÁRIO DA SERRA GAÚCHA - CAMPUS SEDE, PIO X, CAXIAS DO SUL/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RS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201818037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MARKETING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240 (duzentas e quarenta)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DE BRASÍLIA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DE ENSINO UNIFICADO DE BRASILIA CEUB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QUADRA QS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RUA 212, , UNICEUB - CAMPUS TAGUATINGA II, TAGUATINGA, BRASÍLIA/DF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201817910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FOTOGRAFIA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200 (duzentas)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DOS GUARARAPES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SOCEC- SOCIEDADE CAPIBARIBE DE EDUCACAO E CULTURA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COMENDADOR JOSÉ DIDIER, 27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PIEDADE, JABOATÃO DOS GUARARAPES/PE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201900828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CIÊNCIAS CONTÁBEIS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ESTÁCIO DE SERGIPE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IREP SOCIEDADE DE ENSINO SUPERIOR, MEDIO E FUNDAMENTAL LTDA.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TEIXEIRA DE FREITAS, 10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SALGADO FILHO, ARACAJU/SE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2019012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ENGENHARI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100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Centro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Universitário FAEMA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UNIDAS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SOCIEDADE DE EDUCACAO E CULTURA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AVENIDA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MACHADINHO, 4.349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ÁREA DE EXPANSÃO URBANA, ARIQUEMES/RO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MARIA MILZA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UNIMAM - UNIDADE DE ENSINO MARIA MILZA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BR-101; KM 212. ESTRADA DE CRUZ DAS ALMAS-GOVERNADOR MANGABEIRA. ZONA RURAL, S/N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SUNGAIA, CRUZ DAS ALMAS/BA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201901653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PRODUÇÃO AUDIOVISUAL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RITTER DOS REIS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SOCIEDADE DE EDUCACAO RITTER DOS REIS LTDA.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MANOEL ELIAS, 2001, CAMPUS FAPA, PASSO DAS PEDRAS, PORTO ALEGRE/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RS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EDUCAÇÃO FÍSICA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200 (duzentas)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UNINORTE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UNIAO EDUCACIONAL DO NORTE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ALAMEDA ALEMANHA, 200,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UNINORTE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JARDIM EUROPA, RIO BRANCO/AC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201900979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200 (duzentas)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ANHANGUERA DE IMPERATRIZ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EDITORA E DISTRIBUIDORA EDUCACIONAL S/A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BARÃO DO RIO BRANCO, 300, CAMPUS BARÃO RIO BRANCO, CENTRO, IMPERATRIZ/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MA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201901032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180 (cento e 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ANHANGUERA DE PORTO ALEGRE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ANHANGUERA EDUCACIONAL PARTICIPACOES S/A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CAVALHADA, 4980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CAVALHADA, PORTO ALEGRE/RS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201901022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CIÊNCIAS CONTÁBEIS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FACULDADE CATÓLICA DO RIO GRANDE DO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ASSOCIACAO SANTA TERESINHA DE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MOSSORO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PRAÇA DOM JOÃO COSTA, 511, SANTO ANTÔNIO,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MOSSORÓ/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RN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201901519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MECÂNICA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60 (sessenta)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CIÊNCIAS DA VIDA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CENTRO DE ESTUDOS III MILLENIUM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PREFEITO ALBERTO MOURA, 12632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DISTRITO INDUSTRIAL, SETE LAGOAS/MG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201817828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ELÉTRICA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DO CENTRO LESTE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UCL - ENSINO SUPERIOR UNIFICADO CENTRO LESTE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RODOVIA ES-010, S/N, KM 6,5, MANGUINHOS, SERRA/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ES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201816884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PROCESSOS GERENCIAIS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DO INSTITUTO NACIONAL DE PÓS-GRADUAÇÃO DE SÃO JOSÉ DOS CAMPOS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INPG - INSTITUTO NACIONAL DE POS-GRADUACAO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CORONEL JOSÉ MONTEIRO, 583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CENTRO, SÃO JOSÉ DOS CAMPOS/SP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201901778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AGRONOMIA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80 (oitenta)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EMPRESARIAL DE CHAPECÓ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UCEFF - UNIDADE CENTRAL DE EDUCACAO FAEM FACULDADE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IRINEU BORNHAUSEN, 2045, PALMITAL, PALMITAL, CHAPECÓ/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SC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201900827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FARMÁCIA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150 (cento e 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ESTÁCIO DE CASTANHAL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FACULDADES INTEGRADAS DE CASTANHAL LTDA - EPP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RODOVIA BR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316 KM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60, S/N, APEÚ, CASTANHAL/PA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201900886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ARQUITETURA E URBANISMO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50 (cinquenta)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Galileu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FRB- FACULDADES REUNIDAS DE BOTUCATU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MARGINAL 200, 680, ISAAC NEWTON, VILA REAL, BOTUCATU/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2019017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ENGENHARI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A MECÂNICA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200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(duzentas)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Faculdade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Ideal </w:t>
            </w:r>
            <w:proofErr w:type="spell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Wyden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SOCIEDADE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EDUCACIONAL IDEAL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TRAVESSA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TUPINAMBÁS, 461, ENTRE AS RUAS MUNDURUCUS E PARIQUIS, BATISTA CAMPOS, BELÉM/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PA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201815913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PEDAGOGIA 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80 (oitenta)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MURIALDO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INSTITUTO LEONARDO MURIALDO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R. MARQUÊS DO HERVAL, 701, PRÉDIO, CENTRO, CAXIAS DO SUL/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RS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201901441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60 (sessenta)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PINHALZINHO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SOCIEDADE EDUCACIONAL PINHALZINHO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BRASÍLIA, 625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CENTRO, PINHALZINHO/SC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201901637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PITÁGORAS DE BELO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PITAGORAS - SISTEMA DE EDUCACAO SUPERIOR SOCIEDADE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9540FB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RUA PADRE PEDRO PINTO, 1315, </w:t>
            </w:r>
            <w:r w:rsidR="00512B02"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VENDA NOVA, BELO HORIZONTE/</w:t>
            </w:r>
            <w:proofErr w:type="gramStart"/>
            <w:r w:rsidR="00512B02"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MG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201901634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MECÂNICA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PITÁGORAS DE BELO HORIZONTE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PITAGORAS - SISTEMA DE EDUCACAO SUPERIOR SOCIEDADE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9540FB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RUA PADRE PEDRO PINTO, 1315</w:t>
            </w:r>
            <w:bookmarkStart w:id="0" w:name="_GoBack"/>
            <w:bookmarkEnd w:id="0"/>
            <w:r w:rsidR="00512B02"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VENDA NOVA, BELO HORIZONTE/MG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201900921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AMBIENTAL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PITÁGORAS DE IPATINGA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PITAGORAS - SISTEMA DE EDUCACAO SUPERIOR SOCIEDADE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JEQUITIBÁ, 401, UNIDADE SEDE, HORTO, IPATINGA/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MG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201901035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FISIOTERAPIA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PITÁGORAS DE SÃO LUIZ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PITAGORAS - SISTEMA DE EDUCACAO SUPERIOR SOCIEDADE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AV. SÃO LUIS REI DE FRANÇA, 32, UNIDADE ACADÊMICA, TURÚ, SÃO LUÍS/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MA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201901764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JORNALISMO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200 (duzenta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FACULDADE PROMOVE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DE MINAS GERAIS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SEIM - SOCIEDADE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EDUCACIONAL IRMAOS MUNIZ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RUA SARZEDO, 31, UNIDADE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PRADO, PRADO, BELO HORIZONTE/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MG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NUTRIÇÃO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FACULDADE SÃO FRANCISCO DA PARAÍBA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VERA CLAUDINO EDUCACAO SUPERIOR LIMITADA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BRASIL, S/N, RODOVIA 393, JARDIM ADALGISA, CAJAZEIRAS/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PB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201816903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CIÊNCIAS CONTÁBEIS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INSTITUTO DE ENSINO SUPERIOR DE RONDÔNIA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FUNDACAO ASSISTENCIAL E EDUCATIVA CRISTA DE ARIQUEMES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AVENIDA CAPITÃO SÍLVIO, 2738, - DE 2640 A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2760 - LADO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PAR, GRANDES ÁREAS, ARIQUEMES/RO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201901336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ELÉTRICA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80 (oitenta)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FEDERAL DE EDUCAÇÃO, CIÊNCIA E TECNOLOGIA DE SANTA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CATARINA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FEDERAL DE EDUCACAO, CIENCIA E TECNOLOGIA DE SANTA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CATARINA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DOS IMIGRANTES, 445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RAU, JARAGUÁ DO SUL/SC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201815297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DESIGN DE MODA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30 (trinta)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FEDERAL DE EDUCAÇÃO, CIÊNCIA E TECNOLOGIA DO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PIAUÍ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FEDERAL DE EDUCACAO, CIENCIA E TECNOLOGIA DO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PIAUI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AV. PEDRO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FREITAS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1020, , SÃO PEDRO, TERESINA/PI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201815663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CIÊNCIA E TECNOLOGIA DE LATICÍNIOS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40 (quarenta)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FEDERAL DE EDUCAÇÃO, CIÊNCIA E TECNOLOGIA DO SUDESTE DE MINAS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GERAIS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FEDERAL DE EDUCACAO, CIENCIA E TECNOLOGIA DO SUDESTE DE MINAS 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GERAIS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DOUTOR JOSÉ SEBASTIÃO DA PAIXÃO, S/N, LINDO VALE, RIO POMBA/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MG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201811667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SEGURANÇA PÚBLICA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Superior de </w:t>
            </w:r>
            <w:proofErr w:type="spell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Ciencias</w:t>
            </w:r>
            <w:proofErr w:type="spell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Policiais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POLICIA MILITAR DO DISTRITO FEDERAL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SETOR SPO, 04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SETORES COMPLEMENTARES, BRASÍLIA/DF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2019009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MEDICINA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VETERINÁRIA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240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(duzentas e quarenta)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PONTIFÍCIA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UNIVERSIDADE CATÓLICA DE MINAS GERAIS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SOCIEDADE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MINEIRA DE CULTURA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AVENIDA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BRASIL, 2023, UNIDADE BH PRAÇA DA LIBERDADE (EDIFÍCIO DOM CABRAL), FUNCIONÁRIOS, BELO HORIZONTE/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MG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201817394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ENGENHARIA MECÂNICA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CESUMAR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CESUMAR - CENTRO DE ENSINO SUPERIOR DE MARINGA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GUEDNER, 1610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JARDIM ACLIMAÇÃO, MARINGÁ/PR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201806172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LETRAS - LIBRAS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30 (trinta)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FEDERAL DO 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FEDERAL DO 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BRIGADEIRO TROMPOWSKY, S/N, CIDADE UNIVERSITÁRIA, ILHA DO FUNDÃO, RIO DE JANEIRO/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RJ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201801810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EDUCAÇÃO FÍSICA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280 (duzentas e 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NOVE DE JULHO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ASSOCIACAO EDUCACIONAL NOVE DE JULHO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RUA VERGUEIRO, 235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LIBERDADE, SÃO PAULO/SP</w:t>
            </w:r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201901631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AGRONOMIA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45 (quarenta e cinco)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REGIONAL INTEGRADA DO ALTO URUGUAI E DAS MISSÕES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FUNDACAO REGIONAL INTEGRADA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AV. UNIVERSIDADE DAS MISSÕES, 464, CAMPUS DE SANTO ÂNGELO, UNIVERSITÁRIO, SANTO ÂNGELO/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RS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201818067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BIOMEDICINA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150 (cento e 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SALVADOR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FACS SERVICOS EDUCACIONAIS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AVENIDA GETÚLIO VARGAS, 2.734, CAMPUS GETÚLIO VARGAS, PARQUE </w:t>
            </w: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GETÚLIO VARGAS, FEIRA DE SANTANA/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BA</w:t>
            </w:r>
            <w:proofErr w:type="gramEnd"/>
          </w:p>
        </w:tc>
      </w:tr>
      <w:tr w:rsidR="00512B02" w:rsidRPr="00512B02" w:rsidTr="00512B0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201901500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GESTÃO COMERCIAL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180 (cento e 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UNIVERSIDADE SÃO JUDAS TADEU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AMC - SERVICOS EDUCACIONAIS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2B02" w:rsidRPr="00512B02" w:rsidRDefault="00512B02" w:rsidP="00512B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AVENIDA VITAL BRASIL, 1000, UNIDADE BUTANTÃ, BUTANTÃ, SÃO PAULO/</w:t>
            </w:r>
            <w:proofErr w:type="gramStart"/>
            <w:r w:rsidRPr="00512B02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</w:tbl>
    <w:p w:rsidR="00512B02" w:rsidRPr="00512B02" w:rsidRDefault="00512B02" w:rsidP="00512B02">
      <w:pPr>
        <w:shd w:val="clear" w:color="auto" w:fill="FFFFFF"/>
        <w:spacing w:before="300" w:line="240" w:lineRule="auto"/>
        <w:jc w:val="right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</w:p>
    <w:p w:rsidR="00512B02" w:rsidRPr="00512B02" w:rsidRDefault="00512B02">
      <w:pPr>
        <w:rPr>
          <w:b/>
          <w:sz w:val="24"/>
          <w:szCs w:val="24"/>
        </w:rPr>
      </w:pPr>
    </w:p>
    <w:sectPr w:rsidR="00512B02" w:rsidRPr="00512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02"/>
    <w:rsid w:val="000569FB"/>
    <w:rsid w:val="00512B02"/>
    <w:rsid w:val="006334B9"/>
    <w:rsid w:val="009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2400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2</cp:revision>
  <dcterms:created xsi:type="dcterms:W3CDTF">2022-08-11T13:57:00Z</dcterms:created>
  <dcterms:modified xsi:type="dcterms:W3CDTF">2022-08-11T14:00:00Z</dcterms:modified>
</cp:coreProperties>
</file>