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90" w:rsidRDefault="00DD1985">
      <w:pPr>
        <w:rPr>
          <w:sz w:val="24"/>
          <w:szCs w:val="24"/>
        </w:rPr>
      </w:pPr>
      <w:r w:rsidRPr="00DD1985">
        <w:rPr>
          <w:sz w:val="24"/>
          <w:szCs w:val="24"/>
        </w:rPr>
        <w:t>05.09.2022</w:t>
      </w:r>
    </w:p>
    <w:p w:rsidR="00DD1985" w:rsidRPr="00DD1985" w:rsidRDefault="00DD1985" w:rsidP="00DD1985">
      <w:pPr>
        <w:shd w:val="clear" w:color="auto" w:fill="FFFFFF"/>
        <w:spacing w:before="180" w:after="0" w:line="240" w:lineRule="auto"/>
        <w:outlineLvl w:val="1"/>
        <w:rPr>
          <w:rFonts w:ascii="Times New Roman" w:eastAsia="Times New Roman" w:hAnsi="Times New Roman" w:cs="Times New Roman"/>
          <w:b/>
          <w:bCs/>
          <w:caps/>
          <w:sz w:val="48"/>
          <w:szCs w:val="48"/>
          <w:lang w:eastAsia="pt-BR"/>
        </w:rPr>
      </w:pPr>
      <w:r w:rsidRPr="00DD1985">
        <w:rPr>
          <w:rFonts w:ascii="Times New Roman" w:eastAsia="Times New Roman" w:hAnsi="Times New Roman" w:cs="Times New Roman"/>
          <w:b/>
          <w:bCs/>
          <w:caps/>
          <w:sz w:val="48"/>
          <w:szCs w:val="48"/>
          <w:lang w:eastAsia="pt-BR"/>
        </w:rPr>
        <w:t>DIÁRIO OFICIAL DA UNIÃO</w:t>
      </w:r>
    </w:p>
    <w:p w:rsidR="00DD1985" w:rsidRPr="00DD1985" w:rsidRDefault="00DD1985" w:rsidP="00DD1985">
      <w:pPr>
        <w:shd w:val="clear" w:color="auto" w:fill="FFFFFF"/>
        <w:spacing w:before="30" w:after="45" w:line="240" w:lineRule="auto"/>
        <w:rPr>
          <w:rFonts w:ascii="Arial" w:eastAsia="Times New Roman" w:hAnsi="Arial" w:cs="Arial"/>
          <w:sz w:val="24"/>
          <w:szCs w:val="24"/>
          <w:lang w:eastAsia="pt-BR"/>
        </w:rPr>
      </w:pPr>
      <w:r w:rsidRPr="00DD1985">
        <w:rPr>
          <w:rFonts w:ascii="Arial" w:eastAsia="Times New Roman" w:hAnsi="Arial" w:cs="Arial"/>
          <w:b/>
          <w:bCs/>
          <w:sz w:val="19"/>
          <w:szCs w:val="19"/>
          <w:lang w:eastAsia="pt-BR"/>
        </w:rPr>
        <w:t>Órgão: Atos do Poder Legislativo</w:t>
      </w:r>
    </w:p>
    <w:p w:rsidR="00DD1985" w:rsidRDefault="00DD1985">
      <w:pPr>
        <w:rPr>
          <w:sz w:val="24"/>
          <w:szCs w:val="24"/>
        </w:rPr>
      </w:pPr>
    </w:p>
    <w:p w:rsidR="00DD1985" w:rsidRPr="00DD1985" w:rsidRDefault="00DD1985" w:rsidP="00DD1985">
      <w:pPr>
        <w:pStyle w:val="identifica"/>
        <w:shd w:val="clear" w:color="auto" w:fill="FFFFFF"/>
        <w:spacing w:before="450" w:beforeAutospacing="0" w:after="450" w:afterAutospacing="0"/>
        <w:jc w:val="center"/>
        <w:rPr>
          <w:rFonts w:asciiTheme="minorHAnsi" w:hAnsiTheme="minorHAnsi" w:cstheme="minorHAnsi"/>
          <w:b/>
          <w:bCs/>
          <w:caps/>
          <w:color w:val="162937"/>
          <w:sz w:val="29"/>
          <w:szCs w:val="29"/>
        </w:rPr>
      </w:pPr>
      <w:r w:rsidRPr="00DD1985">
        <w:rPr>
          <w:rFonts w:asciiTheme="minorHAnsi" w:hAnsiTheme="minorHAnsi" w:cstheme="minorHAnsi"/>
          <w:b/>
          <w:bCs/>
          <w:caps/>
          <w:color w:val="162937"/>
          <w:sz w:val="29"/>
          <w:szCs w:val="29"/>
        </w:rPr>
        <w:t xml:space="preserve">LEI Nº 14.441, DE </w:t>
      </w:r>
      <w:proofErr w:type="gramStart"/>
      <w:r w:rsidRPr="00DD1985">
        <w:rPr>
          <w:rFonts w:asciiTheme="minorHAnsi" w:hAnsiTheme="minorHAnsi" w:cstheme="minorHAnsi"/>
          <w:b/>
          <w:bCs/>
          <w:caps/>
          <w:color w:val="162937"/>
          <w:sz w:val="29"/>
          <w:szCs w:val="29"/>
        </w:rPr>
        <w:t>2</w:t>
      </w:r>
      <w:proofErr w:type="gramEnd"/>
      <w:r w:rsidRPr="00DD1985">
        <w:rPr>
          <w:rFonts w:asciiTheme="minorHAnsi" w:hAnsiTheme="minorHAnsi" w:cstheme="minorHAnsi"/>
          <w:b/>
          <w:bCs/>
          <w:caps/>
          <w:color w:val="162937"/>
          <w:sz w:val="29"/>
          <w:szCs w:val="29"/>
        </w:rPr>
        <w:t xml:space="preserve"> DE SETEMBRO DE 2022</w:t>
      </w:r>
    </w:p>
    <w:p w:rsidR="00DD1985" w:rsidRPr="00DD1985" w:rsidRDefault="00DD1985" w:rsidP="00DD1985">
      <w:pPr>
        <w:pStyle w:val="ementa"/>
        <w:shd w:val="clear" w:color="auto" w:fill="FFFFFF"/>
        <w:spacing w:before="0" w:beforeAutospacing="0" w:after="450" w:afterAutospacing="0"/>
        <w:jc w:val="both"/>
        <w:rPr>
          <w:rFonts w:asciiTheme="minorHAnsi" w:hAnsiTheme="minorHAnsi" w:cstheme="minorHAnsi"/>
          <w:color w:val="162937"/>
        </w:rPr>
      </w:pPr>
      <w:r w:rsidRPr="00DD1985">
        <w:rPr>
          <w:rFonts w:asciiTheme="minorHAnsi" w:hAnsiTheme="minorHAnsi" w:cstheme="minorHAnsi"/>
          <w:color w:val="162937"/>
        </w:rPr>
        <w:t xml:space="preserve">Altera as Leis </w:t>
      </w:r>
      <w:proofErr w:type="spellStart"/>
      <w:r w:rsidRPr="00DD1985">
        <w:rPr>
          <w:rFonts w:asciiTheme="minorHAnsi" w:hAnsiTheme="minorHAnsi" w:cstheme="minorHAnsi"/>
          <w:color w:val="162937"/>
        </w:rPr>
        <w:t>nºs</w:t>
      </w:r>
      <w:proofErr w:type="spellEnd"/>
      <w:r w:rsidRPr="00DD1985">
        <w:rPr>
          <w:rFonts w:asciiTheme="minorHAnsi" w:hAnsiTheme="minorHAnsi" w:cstheme="minorHAnsi"/>
          <w:color w:val="162937"/>
        </w:rPr>
        <w:t xml:space="preserve"> 8.213, de 24 de julho de 1991, 8.742, de </w:t>
      </w:r>
      <w:proofErr w:type="gramStart"/>
      <w:r w:rsidRPr="00DD1985">
        <w:rPr>
          <w:rFonts w:asciiTheme="minorHAnsi" w:hAnsiTheme="minorHAnsi" w:cstheme="minorHAnsi"/>
          <w:color w:val="162937"/>
        </w:rPr>
        <w:t>7</w:t>
      </w:r>
      <w:proofErr w:type="gramEnd"/>
      <w:r w:rsidRPr="00DD1985">
        <w:rPr>
          <w:rFonts w:asciiTheme="minorHAnsi" w:hAnsiTheme="minorHAnsi" w:cstheme="minorHAnsi"/>
          <w:color w:val="162937"/>
        </w:rPr>
        <w:t xml:space="preserve"> de dezembro de 1993, 11.699, de 13 de junho de 2008, 13.240, de 30 de dezembro de 2015, e 13.846, de 18 de junho de 2019, para dispor sobre o fluxo de análise de benefícios previdenciários e assistenciais sob avaliação do Instituto Nacional do Seguro Social (INSS), da Perícia Médica Federal e do Conselho de Recursos da Previdência Social e para dispor sobre a gestão dos imóveis que constituem o patrimônio imobiliário do Fundo do Regime Geral de Previdência Social.</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O PRESIDENTE DA REPÚBLICA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Faço saber que o Congresso Nacional decreta e eu sanciono a seguinte Lei:</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1ºA Lei nº 8.213, de 24 de julho de 1991,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60</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14. Ato do Ministro de Estado do Trabalho e Previdência poderá estabelecer as condições de dispensa da emissão de parecer conclusivo da perícia médica federal quanto à incapacidade laboral, hipótese na qual a concessão do benefício de que trata este artigo será feita por meio de análise documental, incluídos atestados ou laudos médicos, realizada pelo INSS."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"Art. 101.</w:t>
      </w:r>
      <w:proofErr w:type="gramEnd"/>
      <w:r w:rsidRPr="00DD1985">
        <w:rPr>
          <w:rFonts w:asciiTheme="minorHAnsi" w:hAnsiTheme="minorHAnsi" w:cstheme="minorHAnsi"/>
          <w:color w:val="162937"/>
        </w:rPr>
        <w:t xml:space="preserve"> O segurado em gozo de auxílio por incapacidade temporária, auxílio-acidente ou aposentadoria por incapacidade permanente e o pensionista inválido, cujos benefícios tenham sido concedidos judicial ou administrativamente, estão obrigados, sob pena de suspensão do benefício, a submeter-se 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 - exame médico a cargo da Previdência Social para avaliação das condições que ensejaram sua concessão ou manutenção;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II - processo de reabilitação profissional prescrito e custeado pela Previdência Social; </w:t>
      </w:r>
      <w:proofErr w:type="gramStart"/>
      <w:r w:rsidRPr="00DD1985">
        <w:rPr>
          <w:rFonts w:asciiTheme="minorHAnsi" w:hAnsiTheme="minorHAnsi" w:cstheme="minorHAnsi"/>
          <w:color w:val="162937"/>
        </w:rPr>
        <w:t>e</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III - tratamento oferecido gratuitamente, exceto o cirúrgico e a transfusão de sangue, que são facultativos.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lastRenderedPageBreak/>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6º A avaliação de que trata o inciso I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 poderá ser </w:t>
      </w:r>
      <w:proofErr w:type="gramStart"/>
      <w:r w:rsidRPr="00DD1985">
        <w:rPr>
          <w:rFonts w:asciiTheme="minorHAnsi" w:hAnsiTheme="minorHAnsi" w:cstheme="minorHAnsi"/>
          <w:color w:val="162937"/>
        </w:rPr>
        <w:t>realizada de forma remota</w:t>
      </w:r>
      <w:proofErr w:type="gramEnd"/>
      <w:r w:rsidRPr="00DD1985">
        <w:rPr>
          <w:rFonts w:asciiTheme="minorHAnsi" w:hAnsiTheme="minorHAnsi" w:cstheme="minorHAnsi"/>
          <w:color w:val="162937"/>
        </w:rPr>
        <w:t xml:space="preserve"> ou por análise documental, observado o disposto no § 14 do art. 60 desta Lei e no § 7º deste artigo.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w:t>
      </w:r>
      <w:proofErr w:type="gramStart"/>
      <w:r w:rsidRPr="00DD1985">
        <w:rPr>
          <w:rFonts w:asciiTheme="minorHAnsi" w:hAnsiTheme="minorHAnsi" w:cstheme="minorHAnsi"/>
          <w:color w:val="162937"/>
        </w:rPr>
        <w:t>7º Ato do Ministro de Estado do Trabalho e Previdência disporá sobre as hipóteses de substituição de exame pericial presencial por exame remoto e as condições e as limitações para sua realização."</w:t>
      </w:r>
      <w:proofErr w:type="gramEnd"/>
      <w:r w:rsidRPr="00DD1985">
        <w:rPr>
          <w:rFonts w:asciiTheme="minorHAnsi" w:hAnsiTheme="minorHAnsi" w:cstheme="minorHAnsi"/>
          <w:color w:val="162937"/>
        </w:rPr>
        <w:t xml:space="preserve">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126</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4º Os recursos de que tratam os incisos I e III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w:t>
      </w:r>
      <w:proofErr w:type="gramStart"/>
      <w:r w:rsidRPr="00DD1985">
        <w:rPr>
          <w:rFonts w:asciiTheme="minorHAnsi" w:hAnsiTheme="minorHAnsi" w:cstheme="minorHAnsi"/>
          <w:color w:val="162937"/>
        </w:rPr>
        <w:t>artigo poderão ser</w:t>
      </w:r>
      <w:proofErr w:type="gramEnd"/>
      <w:r w:rsidRPr="00DD1985">
        <w:rPr>
          <w:rFonts w:asciiTheme="minorHAnsi" w:hAnsiTheme="minorHAnsi" w:cstheme="minorHAnsi"/>
          <w:color w:val="162937"/>
        </w:rPr>
        <w:t xml:space="preserve"> interpostos diretamente ao Conselho de Recursos da Previdência Social, que emitirá notificação eletrônica automática para o INSS reanalisar, no prazo máximo de 30 (trinta) dias, a decisão administrativa, na forma disciplinada por ato conjunto do Ministério do Trabalho e Previdência, do Conselho de Recursos da Previdência Social e do INSS."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2º A Lei nº 8.742, de </w:t>
      </w:r>
      <w:proofErr w:type="gramStart"/>
      <w:r w:rsidRPr="00DD1985">
        <w:rPr>
          <w:rFonts w:asciiTheme="minorHAnsi" w:hAnsiTheme="minorHAnsi" w:cstheme="minorHAnsi"/>
          <w:color w:val="162937"/>
        </w:rPr>
        <w:t>7</w:t>
      </w:r>
      <w:proofErr w:type="gramEnd"/>
      <w:r w:rsidRPr="00DD1985">
        <w:rPr>
          <w:rFonts w:asciiTheme="minorHAnsi" w:hAnsiTheme="minorHAnsi" w:cstheme="minorHAnsi"/>
          <w:color w:val="162937"/>
        </w:rPr>
        <w:t xml:space="preserve"> de dezembro de 1993,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20</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6º-A. O INSS poderá celebrar parcerias para a realização da avaliação social, sob a supervisão do serviço social da autarquia.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r w:rsidRPr="00DD1985">
        <w:rPr>
          <w:rFonts w:asciiTheme="minorHAnsi" w:hAnsiTheme="minorHAnsi" w:cstheme="minorHAnsi"/>
          <w:color w:val="162937"/>
        </w:rPr>
        <w:t>"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26-B</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w:t>
      </w:r>
      <w:proofErr w:type="gramStart"/>
      <w:r w:rsidRPr="00DD1985">
        <w:rPr>
          <w:rFonts w:asciiTheme="minorHAnsi" w:hAnsiTheme="minorHAnsi" w:cstheme="minorHAnsi"/>
          <w:color w:val="162937"/>
        </w:rPr>
        <w:t>1º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2º O auxílio-inclusão será concedido automaticamente pelo INSS, observado o preenchimento dos demais requisitos, mediante constatação, pela própria autarquia ou pelo Ministério da Cidadania, de acumulação do benefício de prestação continuada com o exercício de atividade remunerada.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3º Na hipótese do § 2º deste artigo, o auxílio-inclusão será devido a partir do primeiro dia da competência em que se identificou a ocorrência de acumulação do benefício de prestação continuada com o exercício de atividade remunerada, e o titular deverá ser notificado quanto à alteração do benefício e suas consequências administrativas."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40-B</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lastRenderedPageBreak/>
        <w:t xml:space="preserve">Parágrafo único. </w:t>
      </w:r>
      <w:proofErr w:type="gramStart"/>
      <w:r w:rsidRPr="00DD1985">
        <w:rPr>
          <w:rFonts w:asciiTheme="minorHAnsi" w:hAnsiTheme="minorHAnsi" w:cstheme="minorHAnsi"/>
          <w:color w:val="162937"/>
        </w:rPr>
        <w:t>O INSS poderá celebrar parcerias para a realização da avaliação social, sob a supervisão do serviço social da autarquia."</w:t>
      </w:r>
      <w:proofErr w:type="gramEnd"/>
      <w:r w:rsidRPr="00DD1985">
        <w:rPr>
          <w:rFonts w:asciiTheme="minorHAnsi" w:hAnsiTheme="minorHAnsi" w:cstheme="minorHAnsi"/>
          <w:color w:val="162937"/>
        </w:rPr>
        <w:t xml:space="preserve">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3º A Lei nº 11.699, de 13 de junho de 2008,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w:t>
      </w:r>
      <w:proofErr w:type="gramStart"/>
      <w:r w:rsidRPr="00DD1985">
        <w:rPr>
          <w:rFonts w:asciiTheme="minorHAnsi" w:hAnsiTheme="minorHAnsi" w:cstheme="minorHAnsi"/>
          <w:color w:val="162937"/>
        </w:rPr>
        <w:t>1º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1º (VETADO)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2º As colônias têm liberdade de se organizarem em mais de uma federação estadual, e estas em mais de uma confederação nacional.</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3º Se houver mais de uma federação estadual ou confederação nacional, nos termos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e</w:t>
      </w:r>
      <w:proofErr w:type="spellEnd"/>
      <w:r w:rsidRPr="00DD1985">
        <w:rPr>
          <w:rFonts w:asciiTheme="minorHAnsi" w:hAnsiTheme="minorHAnsi" w:cstheme="minorHAnsi"/>
          <w:color w:val="162937"/>
        </w:rPr>
        <w:t xml:space="preserve"> do § 2º deste artigo, o disposto nesta Lei aplica-se igualmente a todas as colônias e confederações desde que tenham representatividade mínima de 20% (vinte por cento), respectivamente, das colônias e das federações existentes."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w:t>
      </w:r>
      <w:proofErr w:type="gramStart"/>
      <w:r w:rsidRPr="00DD1985">
        <w:rPr>
          <w:rFonts w:asciiTheme="minorHAnsi" w:hAnsiTheme="minorHAnsi" w:cstheme="minorHAnsi"/>
          <w:color w:val="162937"/>
        </w:rPr>
        <w:t>3º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VIII - firmar acordo de cooperação com o Ministério do Trabalho e Previdência para a manutenção e a gestão do sistema de cadastro dos segurados especiais de que trata o art. 38-A da Lei nº 8.213, de 24 de julho de 1991, referente aos pescadores artesanais."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4º O art. 22 da Lei nº 13.240, de 30 de dezembro de 2015,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22</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7º Na hipótese de destinação não econômica dos imóveis de que trata este artigo, nos termos do § 6º, a União recomporá o Fundo do Regime Geral de Previdência Social, conforme avaliação de valor de mercado realizada nos 12 (doze) meses anteriores, prorrogáveis por igual período, por meio da transferência ao Fundo de recursos previstos na lei orçamentária anual ou de cotas de fundos de investimentos previstos no art. 20 desta Lei.</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8º-A. Os imóveis que constituem o patrimônio imobiliário do Fundo do Regime Geral de Previdência Social poderão ser destinados, por iniciativa do INSS ou da Secretaria de Coordenação e Governança do Patrimônio da União, à integralização de cotas em fundos de investimento, observados os requisitos do § 2º do art. 20 desta Lei e a legislação referida </w:t>
      </w:r>
      <w:proofErr w:type="spellStart"/>
      <w:r w:rsidRPr="00DD1985">
        <w:rPr>
          <w:rFonts w:asciiTheme="minorHAnsi" w:hAnsiTheme="minorHAnsi" w:cstheme="minorHAnsi"/>
          <w:color w:val="162937"/>
        </w:rPr>
        <w:t>no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lastRenderedPageBreak/>
        <w:t>§ 8º-B. Em caso de destinação de bens na forma do § 8º-A deste artigo, as cotas em fundos de investimento comporão o patrimônio do Fundo do Regime Geral de Previdência Social.</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8º-C. Poderá ser contratada, por meio de processo licitatório, prestação de serviços de constituição, de estruturação, de administração e de gestão de fundo de investimento, para os fins de que trata o § 8º-A deste artigo, dispensada a licitação para a contratação de instituições financeiras oficiais federais.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9º (VETADO).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10. (VETADO).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11. (VETADO</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r w:rsidRPr="00DD1985">
        <w:rPr>
          <w:rFonts w:asciiTheme="minorHAnsi" w:hAnsiTheme="minorHAnsi" w:cstheme="minorHAnsi"/>
          <w:color w:val="162937"/>
        </w:rPr>
        <w:t>"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5º A Lei nº 13.846, de 18 de junho de 2019,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w:t>
      </w:r>
      <w:proofErr w:type="gramStart"/>
      <w:r w:rsidRPr="00DD1985">
        <w:rPr>
          <w:rFonts w:asciiTheme="minorHAnsi" w:hAnsiTheme="minorHAnsi" w:cstheme="minorHAnsi"/>
          <w:color w:val="162937"/>
        </w:rPr>
        <w:t>1º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 - o Programa Especial para Análise de Benefícios com Indícios de Irregularidade (Programa Especial), com o objetivo de analisar processos que apresentem indícios de irregularidade ou potencial risco de realização de gastos indevidos na concessão, no recurso ou na revisão de benefícios administrados pelo INSS; </w:t>
      </w:r>
      <w:proofErr w:type="gramStart"/>
      <w:r w:rsidRPr="00DD1985">
        <w:rPr>
          <w:rFonts w:asciiTheme="minorHAnsi" w:hAnsiTheme="minorHAnsi" w:cstheme="minorHAnsi"/>
          <w:color w:val="162937"/>
        </w:rPr>
        <w:t>e</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2º Integrará o Programa Especial, observado o disposto no § 1º do art. 2º desta Lei, a análise de processos administrativos de requerimento inicial e de revisão de benefícios administrados pelo INSS com prazo legal para conclusão expirado e que represente acréscimo real à capacidade operacional regular de conclusão de requerimentos, individualmente considerada, conforme estabelecido em ato do Presidente do INSS.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4º Integrarão o Programa de Revisão: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 - o acompanhamento por médico-perito de processos judiciais de benefícios por incapacidade; </w:t>
      </w:r>
      <w:proofErr w:type="gramStart"/>
      <w:r w:rsidRPr="00DD1985">
        <w:rPr>
          <w:rFonts w:asciiTheme="minorHAnsi" w:hAnsiTheme="minorHAnsi" w:cstheme="minorHAnsi"/>
          <w:color w:val="162937"/>
        </w:rPr>
        <w:t>e</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II - o exame médico pericial presencial realizado nas unidades de atendimento da Previdência Social cujo prazo máximo de agendamento de perícia médica for superior a 45 (quarenta e cinco) dias.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r w:rsidRPr="00DD1985">
        <w:rPr>
          <w:rFonts w:asciiTheme="minorHAnsi" w:hAnsiTheme="minorHAnsi" w:cstheme="minorHAnsi"/>
          <w:color w:val="162937"/>
        </w:rPr>
        <w:t>"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lastRenderedPageBreak/>
        <w:t>"Art. 10</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3º Aplica-se o pagamento de que trata </w:t>
      </w:r>
      <w:proofErr w:type="spellStart"/>
      <w:r w:rsidRPr="00DD1985">
        <w:rPr>
          <w:rFonts w:asciiTheme="minorHAnsi" w:hAnsiTheme="minorHAnsi" w:cstheme="minorHAnsi"/>
          <w:color w:val="162937"/>
        </w:rPr>
        <w:t>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 às tarefas extraordinárias a que se refere o § 4º do art. 1º desta Lei."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6º Os recursos de que trata o inciso IV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do</w:t>
      </w:r>
      <w:proofErr w:type="spellEnd"/>
      <w:r w:rsidRPr="00DD1985">
        <w:rPr>
          <w:rFonts w:asciiTheme="minorHAnsi" w:hAnsiTheme="minorHAnsi" w:cstheme="minorHAnsi"/>
          <w:color w:val="162937"/>
        </w:rPr>
        <w:t xml:space="preserve"> art. 126 da Lei nº 8.213, de 24 de julho de 1991, passarão a ser julgados pelo Conselho de Recursos da Previdência Social após a efetiva implantação das unidades responsáveis pelo seu julgamento e após a definição, no regimento interno do Conselho, dos procedimentos a serem observados em seu trâmite, na forma do regulamento.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7º Os bônus de que tratam os incisos I e II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do</w:t>
      </w:r>
      <w:proofErr w:type="spellEnd"/>
      <w:r w:rsidRPr="00DD1985">
        <w:rPr>
          <w:rFonts w:asciiTheme="minorHAnsi" w:hAnsiTheme="minorHAnsi" w:cstheme="minorHAnsi"/>
          <w:color w:val="162937"/>
        </w:rPr>
        <w:t xml:space="preserve"> art. 2º da Lei nº 13.846, de 18 de junho de 2019, serão renomeados, respectivamente, para: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 - Tarefa Extraordinária de Redução de Fila e Combate à Fraude (</w:t>
      </w:r>
      <w:proofErr w:type="spellStart"/>
      <w:r w:rsidRPr="00DD1985">
        <w:rPr>
          <w:rFonts w:asciiTheme="minorHAnsi" w:hAnsiTheme="minorHAnsi" w:cstheme="minorHAnsi"/>
          <w:color w:val="162937"/>
        </w:rPr>
        <w:t>Terf</w:t>
      </w:r>
      <w:proofErr w:type="spellEnd"/>
      <w:r w:rsidRPr="00DD1985">
        <w:rPr>
          <w:rFonts w:asciiTheme="minorHAnsi" w:hAnsiTheme="minorHAnsi" w:cstheme="minorHAnsi"/>
          <w:color w:val="162937"/>
        </w:rPr>
        <w:t xml:space="preserve">); </w:t>
      </w:r>
      <w:proofErr w:type="gramStart"/>
      <w:r w:rsidRPr="00DD1985">
        <w:rPr>
          <w:rFonts w:asciiTheme="minorHAnsi" w:hAnsiTheme="minorHAnsi" w:cstheme="minorHAnsi"/>
          <w:color w:val="162937"/>
        </w:rPr>
        <w:t>e</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II - Perícia Extraordinária de Redução de Fila e Combate à Fraude (</w:t>
      </w:r>
      <w:proofErr w:type="spellStart"/>
      <w:r w:rsidRPr="00DD1985">
        <w:rPr>
          <w:rFonts w:asciiTheme="minorHAnsi" w:hAnsiTheme="minorHAnsi" w:cstheme="minorHAnsi"/>
          <w:color w:val="162937"/>
        </w:rPr>
        <w:t>Perf</w:t>
      </w:r>
      <w:proofErr w:type="spell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8º Esta Lei entra em vigor na data de sua publicação.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Brasília, </w:t>
      </w:r>
      <w:proofErr w:type="gramStart"/>
      <w:r w:rsidRPr="00DD1985">
        <w:rPr>
          <w:rFonts w:asciiTheme="minorHAnsi" w:hAnsiTheme="minorHAnsi" w:cstheme="minorHAnsi"/>
          <w:color w:val="162937"/>
        </w:rPr>
        <w:t>2</w:t>
      </w:r>
      <w:proofErr w:type="gramEnd"/>
      <w:r w:rsidRPr="00DD1985">
        <w:rPr>
          <w:rFonts w:asciiTheme="minorHAnsi" w:hAnsiTheme="minorHAnsi" w:cstheme="minorHAnsi"/>
          <w:color w:val="162937"/>
        </w:rPr>
        <w:t xml:space="preserve"> de setembro de 2022; 201º da Independência e 134º da República.</w:t>
      </w:r>
    </w:p>
    <w:p w:rsidR="00DD1985" w:rsidRDefault="00DD1985" w:rsidP="00DD1985">
      <w:pPr>
        <w:pStyle w:val="assinapr"/>
        <w:shd w:val="clear" w:color="auto" w:fill="FFFFFF"/>
        <w:spacing w:before="300" w:beforeAutospacing="0" w:after="0" w:afterAutospacing="0"/>
        <w:rPr>
          <w:rFonts w:ascii="Arial" w:hAnsi="Arial" w:cs="Arial"/>
          <w:b/>
          <w:bCs/>
          <w:caps/>
          <w:color w:val="162937"/>
          <w:sz w:val="22"/>
          <w:szCs w:val="22"/>
        </w:rPr>
      </w:pPr>
    </w:p>
    <w:p w:rsidR="00DD1985" w:rsidRPr="00DD1985" w:rsidRDefault="00DD1985" w:rsidP="00DD1985">
      <w:pPr>
        <w:pStyle w:val="assinapr"/>
        <w:shd w:val="clear" w:color="auto" w:fill="FFFFFF"/>
        <w:spacing w:before="300" w:beforeAutospacing="0" w:after="0" w:afterAutospacing="0"/>
        <w:jc w:val="right"/>
        <w:rPr>
          <w:rFonts w:ascii="Arial" w:hAnsi="Arial" w:cs="Arial"/>
          <w:b/>
          <w:bCs/>
          <w:caps/>
          <w:color w:val="162937"/>
          <w:sz w:val="22"/>
          <w:szCs w:val="22"/>
        </w:rPr>
      </w:pPr>
      <w:r w:rsidRPr="00DD1985">
        <w:rPr>
          <w:rFonts w:ascii="Arial" w:hAnsi="Arial" w:cs="Arial"/>
          <w:b/>
          <w:bCs/>
          <w:caps/>
          <w:color w:val="162937"/>
          <w:sz w:val="22"/>
          <w:szCs w:val="22"/>
        </w:rPr>
        <w:t>JAIR MESSIAS BOLSONARO</w:t>
      </w:r>
    </w:p>
    <w:p w:rsidR="00DD1985" w:rsidRDefault="00DD1985" w:rsidP="00DD1985">
      <w:pPr>
        <w:pStyle w:val="assina"/>
        <w:shd w:val="clear" w:color="auto" w:fill="FFFFFF"/>
        <w:spacing w:before="0" w:beforeAutospacing="0" w:after="0" w:afterAutospacing="0"/>
        <w:jc w:val="right"/>
        <w:rPr>
          <w:rFonts w:ascii="Arial" w:hAnsi="Arial" w:cs="Arial"/>
          <w:i/>
          <w:iCs/>
          <w:color w:val="162937"/>
        </w:rPr>
      </w:pPr>
      <w:r>
        <w:rPr>
          <w:rFonts w:ascii="Arial" w:hAnsi="Arial" w:cs="Arial"/>
          <w:i/>
          <w:iCs/>
          <w:color w:val="162937"/>
        </w:rPr>
        <w:t>Paulo Guedes</w:t>
      </w:r>
    </w:p>
    <w:p w:rsidR="00DD1985" w:rsidRDefault="00DD1985" w:rsidP="00DD1985">
      <w:pPr>
        <w:pStyle w:val="assina"/>
        <w:shd w:val="clear" w:color="auto" w:fill="FFFFFF"/>
        <w:spacing w:before="0" w:beforeAutospacing="0" w:after="0" w:afterAutospacing="0"/>
        <w:jc w:val="right"/>
        <w:rPr>
          <w:rFonts w:ascii="Arial" w:hAnsi="Arial" w:cs="Arial"/>
          <w:i/>
          <w:iCs/>
          <w:color w:val="162937"/>
        </w:rPr>
      </w:pPr>
      <w:r>
        <w:rPr>
          <w:rFonts w:ascii="Arial" w:hAnsi="Arial" w:cs="Arial"/>
          <w:i/>
          <w:iCs/>
          <w:color w:val="162937"/>
        </w:rPr>
        <w:t>Ronaldo Vieira Bento</w:t>
      </w:r>
    </w:p>
    <w:p w:rsidR="00DD1985" w:rsidRDefault="00DD1985" w:rsidP="00DD1985">
      <w:pPr>
        <w:pStyle w:val="assina"/>
        <w:shd w:val="clear" w:color="auto" w:fill="FFFFFF"/>
        <w:spacing w:before="0" w:beforeAutospacing="0" w:after="0" w:afterAutospacing="0"/>
        <w:jc w:val="right"/>
        <w:rPr>
          <w:rFonts w:ascii="Arial" w:hAnsi="Arial" w:cs="Arial"/>
          <w:i/>
          <w:iCs/>
          <w:color w:val="162937"/>
        </w:rPr>
      </w:pPr>
      <w:r>
        <w:rPr>
          <w:rFonts w:ascii="Arial" w:hAnsi="Arial" w:cs="Arial"/>
          <w:i/>
          <w:iCs/>
          <w:color w:val="162937"/>
        </w:rPr>
        <w:t>José Carlos Oliveira</w:t>
      </w:r>
    </w:p>
    <w:p w:rsidR="00DD1985" w:rsidRDefault="00DD1985">
      <w:pPr>
        <w:rPr>
          <w:sz w:val="24"/>
          <w:szCs w:val="24"/>
        </w:rPr>
      </w:pPr>
    </w:p>
    <w:p w:rsidR="00DD1985" w:rsidRDefault="00DD1985">
      <w:pPr>
        <w:rPr>
          <w:sz w:val="24"/>
          <w:szCs w:val="24"/>
        </w:rPr>
      </w:pPr>
    </w:p>
    <w:p w:rsidR="00DD1985" w:rsidRDefault="00DD1985">
      <w:pPr>
        <w:rPr>
          <w:sz w:val="24"/>
          <w:szCs w:val="24"/>
        </w:rPr>
      </w:pPr>
    </w:p>
    <w:p w:rsidR="00DD1985" w:rsidRDefault="00DD1985">
      <w:pPr>
        <w:rPr>
          <w:rStyle w:val="orgao-dou"/>
          <w:rFonts w:ascii="Arial" w:eastAsia="Times New Roman" w:hAnsi="Arial" w:cs="Arial"/>
          <w:b/>
          <w:bCs/>
          <w:sz w:val="19"/>
          <w:szCs w:val="19"/>
          <w:lang w:eastAsia="pt-BR"/>
        </w:rPr>
      </w:pPr>
      <w:r>
        <w:rPr>
          <w:rStyle w:val="orgao-dou"/>
          <w:rFonts w:ascii="Arial" w:hAnsi="Arial" w:cs="Arial"/>
          <w:b/>
          <w:bCs/>
          <w:sz w:val="19"/>
          <w:szCs w:val="19"/>
        </w:rPr>
        <w:br w:type="page"/>
      </w:r>
    </w:p>
    <w:p w:rsidR="00DD1985" w:rsidRDefault="00DD1985" w:rsidP="00DD1985">
      <w:pPr>
        <w:pStyle w:val="text-center"/>
        <w:shd w:val="clear" w:color="auto" w:fill="FFFFFF"/>
        <w:spacing w:before="30" w:beforeAutospacing="0" w:after="45" w:afterAutospacing="0"/>
        <w:rPr>
          <w:rStyle w:val="orgao-dou"/>
          <w:rFonts w:ascii="Arial" w:hAnsi="Arial" w:cs="Arial"/>
          <w:b/>
          <w:bCs/>
          <w:sz w:val="19"/>
          <w:szCs w:val="19"/>
        </w:rPr>
      </w:pPr>
      <w:bookmarkStart w:id="0" w:name="_GoBack"/>
      <w:bookmarkEnd w:id="0"/>
    </w:p>
    <w:p w:rsidR="00DD1985" w:rsidRPr="00DD1985" w:rsidRDefault="00DD1985" w:rsidP="00DD1985">
      <w:pPr>
        <w:pStyle w:val="text-center"/>
        <w:shd w:val="clear" w:color="auto" w:fill="FFFFFF"/>
        <w:spacing w:before="30" w:beforeAutospacing="0" w:after="45" w:afterAutospacing="0"/>
        <w:rPr>
          <w:rFonts w:ascii="Arial" w:hAnsi="Arial" w:cs="Arial"/>
        </w:rPr>
      </w:pPr>
      <w:r w:rsidRPr="00DD1985">
        <w:rPr>
          <w:rStyle w:val="orgao-dou"/>
          <w:rFonts w:ascii="Arial" w:hAnsi="Arial" w:cs="Arial"/>
          <w:b/>
          <w:bCs/>
          <w:sz w:val="19"/>
          <w:szCs w:val="19"/>
        </w:rPr>
        <w:t>Órgão: </w:t>
      </w:r>
      <w:r w:rsidRPr="00DD1985">
        <w:rPr>
          <w:rStyle w:val="orgao-dou-data"/>
          <w:rFonts w:ascii="Arial" w:hAnsi="Arial" w:cs="Arial"/>
          <w:b/>
          <w:bCs/>
          <w:sz w:val="19"/>
          <w:szCs w:val="19"/>
        </w:rPr>
        <w:t>Atos do Poder Legislativo</w:t>
      </w:r>
    </w:p>
    <w:p w:rsidR="00DD1985" w:rsidRPr="00DD1985" w:rsidRDefault="00DD1985" w:rsidP="00DD1985">
      <w:pPr>
        <w:pStyle w:val="identifica"/>
        <w:shd w:val="clear" w:color="auto" w:fill="FFFFFF"/>
        <w:spacing w:before="450" w:beforeAutospacing="0" w:after="450" w:afterAutospacing="0"/>
        <w:jc w:val="center"/>
        <w:rPr>
          <w:rFonts w:ascii="Arial" w:hAnsi="Arial" w:cs="Arial"/>
          <w:b/>
          <w:bCs/>
          <w:caps/>
          <w:sz w:val="29"/>
          <w:szCs w:val="29"/>
        </w:rPr>
      </w:pPr>
      <w:r w:rsidRPr="00DD1985">
        <w:rPr>
          <w:rFonts w:ascii="Arial" w:hAnsi="Arial" w:cs="Arial"/>
          <w:b/>
          <w:bCs/>
          <w:caps/>
          <w:sz w:val="29"/>
          <w:szCs w:val="29"/>
        </w:rPr>
        <w:t xml:space="preserve">LEI Nº 14.442, DE </w:t>
      </w:r>
      <w:proofErr w:type="gramStart"/>
      <w:r w:rsidRPr="00DD1985">
        <w:rPr>
          <w:rFonts w:ascii="Arial" w:hAnsi="Arial" w:cs="Arial"/>
          <w:b/>
          <w:bCs/>
          <w:caps/>
          <w:sz w:val="29"/>
          <w:szCs w:val="29"/>
        </w:rPr>
        <w:t>2</w:t>
      </w:r>
      <w:proofErr w:type="gramEnd"/>
      <w:r w:rsidRPr="00DD1985">
        <w:rPr>
          <w:rFonts w:ascii="Arial" w:hAnsi="Arial" w:cs="Arial"/>
          <w:b/>
          <w:bCs/>
          <w:caps/>
          <w:sz w:val="29"/>
          <w:szCs w:val="29"/>
        </w:rPr>
        <w:t xml:space="preserve"> DE SETEMBRO DE 2022</w:t>
      </w:r>
    </w:p>
    <w:p w:rsidR="00DD1985" w:rsidRPr="00DD1985" w:rsidRDefault="00DD1985" w:rsidP="00DD1985">
      <w:pPr>
        <w:pStyle w:val="ementa"/>
        <w:shd w:val="clear" w:color="auto" w:fill="FFFFFF"/>
        <w:spacing w:before="0" w:beforeAutospacing="0" w:after="450" w:afterAutospacing="0"/>
        <w:jc w:val="both"/>
        <w:rPr>
          <w:rFonts w:asciiTheme="minorHAnsi" w:hAnsiTheme="minorHAnsi" w:cstheme="minorHAnsi"/>
          <w:color w:val="162937"/>
        </w:rPr>
      </w:pPr>
      <w:r w:rsidRPr="00DD1985">
        <w:rPr>
          <w:rFonts w:asciiTheme="minorHAnsi" w:hAnsiTheme="minorHAnsi" w:cstheme="minorHAnsi"/>
          <w:color w:val="162937"/>
        </w:rPr>
        <w:t>Dispõe sobre o pagamento de auxílio-alimentação ao empregado e altera a Lei nº 6.321, de 14 de abril de 1976, e a Consolidação das Leis do Trabalho, aprovada pelo Decreto-Lei nº 5.452, de 1º de maio de 1943.</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O PRESIDENTE DA REPÚBLICA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Faço saber que o Congresso Nacional decreta e eu sanciono a seguinte Lei:</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1º Esta Lei dispõe sobre o pagamento de auxílio-alimentação ao empregado, bem como altera a Lei nº 6.321, de 14 de abril de 1976, e a Consolidação das Leis do Trabalho, aprovada pelo Decreto-Lei nº 5.452, de 1º de maio de 1943.</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2º As importâncias pagas pelo empregador a título de auxílio-alimentação de que trata o § 2º do art. 457 da Consolidação das Leis do Trabalho, aprovada pelo Decreto-Lei nº 5.452, de 1º de maio de 1943, deverão ser utilizadas para o pagamento de refeições em restaurantes e estabelecimentos similares ou para a aquisição de gêneros alimentícios em estabelecimentos comerciais.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3º O empregador, ao contratar pessoa jurídica para o fornecimento do auxílio-alimentação de que trata o art. 2º desta Lei, não poderá exigir ou receber: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 - qualquer tipo de deságio ou imposição de descontos sobre o valor contratado;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II - prazos de repasse ou pagamento que descaracterizem a natureza pré-paga dos valores a serem disponibilizados aos empregados; </w:t>
      </w:r>
      <w:proofErr w:type="gramStart"/>
      <w:r w:rsidRPr="00DD1985">
        <w:rPr>
          <w:rFonts w:asciiTheme="minorHAnsi" w:hAnsiTheme="minorHAnsi" w:cstheme="minorHAnsi"/>
          <w:color w:val="162937"/>
        </w:rPr>
        <w:t>ou</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III - outras verbas e benefícios diretos ou indiretos de qualquer natureza não vinculados diretamente à promoção de saúde e segurança alimentar do empregado, no âmbito de contratos firmados com empresas emissoras de instrumentos de pagamento de auxílio-alimentação.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1º A vedação de que trata </w:t>
      </w:r>
      <w:proofErr w:type="spellStart"/>
      <w:r w:rsidRPr="00DD1985">
        <w:rPr>
          <w:rFonts w:asciiTheme="minorHAnsi" w:hAnsiTheme="minorHAnsi" w:cstheme="minorHAnsi"/>
          <w:color w:val="162937"/>
        </w:rPr>
        <w:t>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 não se aplica aos contratos de fornecimento de auxílio-alimentação vigentes, até seu encerramento ou até que tenha decorrido o prazo de 14 (quatorze) meses, contado da data de publicação desta Lei, o que ocorrer primeiro.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2º É vedada a prorrogação de contrato de fornecimento de auxílio-alimentação em desconformidade com o disposto </w:t>
      </w:r>
      <w:proofErr w:type="spellStart"/>
      <w:r w:rsidRPr="00DD1985">
        <w:rPr>
          <w:rFonts w:asciiTheme="minorHAnsi" w:hAnsiTheme="minorHAnsi" w:cstheme="minorHAnsi"/>
          <w:color w:val="162937"/>
        </w:rPr>
        <w:t>no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4º A execução inadequada, o desvio ou o desvirtuamento das finalidades do auxílio-alimentação de que trata o § 2º do art. 457 da Consolidação das Leis do Trabalho, aprovada pelo Decreto-Lei nº 5.452, de 1º de maio de 1943, pelos empregadores ou pelas empresas emissoras de instrumentos de pagamento de auxílio-</w:t>
      </w:r>
      <w:r w:rsidRPr="00DD1985">
        <w:rPr>
          <w:rFonts w:asciiTheme="minorHAnsi" w:hAnsiTheme="minorHAnsi" w:cstheme="minorHAnsi"/>
          <w:color w:val="162937"/>
        </w:rPr>
        <w:lastRenderedPageBreak/>
        <w:t>alimentação, sem prejuízo da aplicação de outras penalidades cabíveis pelos órgãos competentes, acarretara a aplicação de multa no valor de R$ 5.000,00 (cinco mil reais) a R$ 50.000,00 (cinquenta mil reais), a qual será aplicada em dobro em caso de reincidência ou de embaraço à fiscalização.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1º Os critérios de cálculo e os parâmetros de gradação da multa prevista </w:t>
      </w:r>
      <w:proofErr w:type="spellStart"/>
      <w:r w:rsidRPr="00DD1985">
        <w:rPr>
          <w:rFonts w:asciiTheme="minorHAnsi" w:hAnsiTheme="minorHAnsi" w:cstheme="minorHAnsi"/>
          <w:color w:val="162937"/>
        </w:rPr>
        <w:t>no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 serão estabelecidos em ato do Ministro de Estado do Trabalho e Previdência.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2º O estabelecimento que comercializa produtos não relacionados à alimentação do empregado e a empresa que o credenciou sujeitam-se à aplicação da multa prevista </w:t>
      </w:r>
      <w:proofErr w:type="spellStart"/>
      <w:r w:rsidRPr="00DD1985">
        <w:rPr>
          <w:rFonts w:asciiTheme="minorHAnsi" w:hAnsiTheme="minorHAnsi" w:cstheme="minorHAnsi"/>
          <w:color w:val="162937"/>
        </w:rPr>
        <w:t>no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5º A Lei nº 6.321, de 14 de abril de 1976,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"Art.</w:t>
      </w:r>
      <w:proofErr w:type="gramEnd"/>
      <w:r w:rsidRPr="00DD1985">
        <w:rPr>
          <w:rFonts w:asciiTheme="minorHAnsi" w:hAnsiTheme="minorHAnsi" w:cstheme="minorHAnsi"/>
          <w:color w:val="162937"/>
        </w:rPr>
        <w:t xml:space="preserve"> 1º As pessoas jurídicas poderão deduzir do lucro tributável, para fins de apuração do imposto sobre a renda, o dobro das despesas comprovadamente realizadas no período-base em programas de alimentação do trabalhador previamente aprovados pelo Ministério do Trabalho e Previdência, na forma e de acordo com os limites dispostos no decreto que regulamenta esta Lei.</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3º As despesas destinadas aos programas de alimentação do trabalhador deverão abranger exclusivamente o pagamento de refeições em restaurantes e estabelecimentos similares e a aquisição de gêneros alimentícios em estabelecimentos comerciais.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4º As pessoas jurídicas beneficiárias não poderão exigir ou receber: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 - qualquer tipo de deságio ou imposição de descontos sobre o valor contratado;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II - prazos de repasse ou pagamento que descaracterizem a natureza pré-paga dos valores a serem disponibilizados aos trabalhadores; </w:t>
      </w:r>
      <w:proofErr w:type="gramStart"/>
      <w:r w:rsidRPr="00DD1985">
        <w:rPr>
          <w:rFonts w:asciiTheme="minorHAnsi" w:hAnsiTheme="minorHAnsi" w:cstheme="minorHAnsi"/>
          <w:color w:val="162937"/>
        </w:rPr>
        <w:t>ou</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III - outras verbas e benefícios diretos ou indiretos de qualquer natureza não vinculados diretamente à promoção de saúde e segurança alimentar do trabalhador, no âmbito do contrato firmado com empresas emissoras de instrumentos de pagamento de auxílio-alimentação.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5º A vedação de que trata o § 4º deste artigo terá vigência conforme definido em regulamento para os programas de alimentação do trabalhador."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"Art. 1º-A.</w:t>
      </w:r>
      <w:proofErr w:type="gramEnd"/>
      <w:r w:rsidRPr="00DD1985">
        <w:rPr>
          <w:rFonts w:asciiTheme="minorHAnsi" w:hAnsiTheme="minorHAnsi" w:cstheme="minorHAnsi"/>
          <w:color w:val="162937"/>
        </w:rPr>
        <w:t xml:space="preserve"> Os serviços de pagamentos de alimentação contratados para execução dos programas de alimentação de que trata esta Lei observarão o seguinte:</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 - a operacionalização por meio de arranjo de pagamento fechado ou aberto, devendo as empresas organizadas na forma de arranjo de pagamento fechado permitir a interoperabilidade entre si e com arranjos abertos, indistintamente, com o objetivo de compartilhar a rede credenciada de estabelecimentos comerciais, a partir de 1º de maio de 2023;</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lastRenderedPageBreak/>
        <w:t>II - a portabilidade gratuita do serviço, mediante solicitação expressa do trabalhador, além de outras normas fixadas em decreto do Poder Executivo, a partir de 1º de maio de 2023;</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III - (VETADO)."</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"Art. 3º-A.</w:t>
      </w:r>
      <w:proofErr w:type="gramEnd"/>
      <w:r w:rsidRPr="00DD1985">
        <w:rPr>
          <w:rFonts w:asciiTheme="minorHAnsi" w:hAnsiTheme="minorHAnsi" w:cstheme="minorHAnsi"/>
          <w:color w:val="162937"/>
        </w:rPr>
        <w:t xml:space="preserve"> A execução inadequada, o desvio ou o desvirtuamento das finalidades dos programas de alimentação do trabalhador pelas pessoas jurídicas beneficiárias ou pelas empresas registradas no Ministério do Trabalho e Previdência, sem prejuízo da aplicação de outras penalidades cabíveis pelos órgãos competentes, acarretarão: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I - a aplicação de multa no valor de R$ 5.000,00 (cinco mil reais) a R$ 50.000,00 (cinquenta mil reais), a qual será aplicada em dobro em caso de reincidência ou de embaraço à fiscalização;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II - o cancelamento da inscrição da pessoa jurídica beneficiária ou do registro das empresas vinculadas aos </w:t>
      </w:r>
      <w:proofErr w:type="gramStart"/>
      <w:r w:rsidRPr="00DD1985">
        <w:rPr>
          <w:rFonts w:asciiTheme="minorHAnsi" w:hAnsiTheme="minorHAnsi" w:cstheme="minorHAnsi"/>
          <w:color w:val="162937"/>
        </w:rPr>
        <w:t>programas de alimentação do trabalhador cadastradas no Ministério do Trabalho e Previdência, desde a data da primeira irregularidade passível de cancelamento</w:t>
      </w:r>
      <w:proofErr w:type="gramEnd"/>
      <w:r w:rsidRPr="00DD1985">
        <w:rPr>
          <w:rFonts w:asciiTheme="minorHAnsi" w:hAnsiTheme="minorHAnsi" w:cstheme="minorHAnsi"/>
          <w:color w:val="162937"/>
        </w:rPr>
        <w:t>, conforme estabelecido em ato específico; e</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III - a perda do incentivo fiscal da pessoa jurídica beneficiária, em consequência do cancelamento previsto no inciso II </w:t>
      </w:r>
      <w:proofErr w:type="spellStart"/>
      <w:r w:rsidRPr="00DD1985">
        <w:rPr>
          <w:rFonts w:asciiTheme="minorHAnsi" w:hAnsiTheme="minorHAnsi" w:cstheme="minorHAnsi"/>
          <w:color w:val="162937"/>
        </w:rPr>
        <w:t>deste</w:t>
      </w:r>
      <w:r w:rsidRPr="00DD1985">
        <w:rPr>
          <w:rStyle w:val="Forte"/>
          <w:rFonts w:asciiTheme="minorHAnsi" w:hAnsiTheme="minorHAnsi" w:cstheme="minorHAnsi"/>
          <w:color w:val="162937"/>
        </w:rPr>
        <w:t>caput</w:t>
      </w:r>
      <w:proofErr w:type="spell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1º Os critérios de cálculo e os parâmetros de gradação da multa prevista no inciso I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 serão estabelecidos em ato do Ministro de Estado do Trabalho e Previdência.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2º O estabelecimento que comercializa produtos não relacionados à alimentação do trabalhador e a empresa que o credenciou sujeitam-se à aplicação da multa prevista no inciso I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w:t>
      </w:r>
      <w:proofErr w:type="gramStart"/>
      <w:r w:rsidRPr="00DD1985">
        <w:rPr>
          <w:rFonts w:asciiTheme="minorHAnsi" w:hAnsiTheme="minorHAnsi" w:cstheme="minorHAnsi"/>
          <w:color w:val="162937"/>
        </w:rPr>
        <w:t xml:space="preserve">3º Na hipótese do cancelamento previsto no inciso II </w:t>
      </w:r>
      <w:proofErr w:type="spellStart"/>
      <w:r w:rsidRPr="00DD1985">
        <w:rPr>
          <w:rFonts w:asciiTheme="minorHAnsi" w:hAnsiTheme="minorHAnsi" w:cstheme="minorHAnsi"/>
          <w:color w:val="162937"/>
        </w:rPr>
        <w:t>do</w:t>
      </w:r>
      <w:r w:rsidRPr="00DD1985">
        <w:rPr>
          <w:rStyle w:val="Forte"/>
          <w:rFonts w:asciiTheme="minorHAnsi" w:hAnsiTheme="minorHAnsi" w:cstheme="minorHAnsi"/>
          <w:color w:val="162937"/>
        </w:rPr>
        <w:t>caput</w:t>
      </w:r>
      <w:r w:rsidRPr="00DD1985">
        <w:rPr>
          <w:rFonts w:asciiTheme="minorHAnsi" w:hAnsiTheme="minorHAnsi" w:cstheme="minorHAnsi"/>
          <w:color w:val="162937"/>
        </w:rPr>
        <w:t>deste</w:t>
      </w:r>
      <w:proofErr w:type="spellEnd"/>
      <w:r w:rsidRPr="00DD1985">
        <w:rPr>
          <w:rFonts w:asciiTheme="minorHAnsi" w:hAnsiTheme="minorHAnsi" w:cstheme="minorHAnsi"/>
          <w:color w:val="162937"/>
        </w:rPr>
        <w:t xml:space="preserve"> artigo, novo registro ou inscrição perante o Ministério do Trabalho e Previdência somente poderá ser pleiteado decorrido o prazo a ser definido em regulamento."</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6º A Consolidação das Leis do Trabalho, aprovada pelo Decreto-Lei nº 5.452, de 1º de maio de 1943, passa a vigorar com as seguintes alterações: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62</w:t>
      </w:r>
      <w:proofErr w:type="gramStart"/>
      <w:r w:rsidRPr="00DD1985">
        <w:rPr>
          <w:rFonts w:asciiTheme="minorHAnsi" w:hAnsiTheme="minorHAnsi" w:cstheme="minorHAnsi"/>
          <w:color w:val="162937"/>
        </w:rPr>
        <w:t>. ...</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III - os empregados em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que prestam serviço por produção ou tarefa.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r w:rsidRPr="00DD1985">
        <w:rPr>
          <w:rFonts w:asciiTheme="minorHAnsi" w:hAnsiTheme="minorHAnsi" w:cstheme="minorHAnsi"/>
          <w:color w:val="162937"/>
        </w:rPr>
        <w:t>"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"Art. 75-B.</w:t>
      </w:r>
      <w:proofErr w:type="gramEnd"/>
      <w:r w:rsidRPr="00DD1985">
        <w:rPr>
          <w:rFonts w:asciiTheme="minorHAnsi" w:hAnsiTheme="minorHAnsi" w:cstheme="minorHAnsi"/>
          <w:color w:val="162937"/>
        </w:rPr>
        <w:t xml:space="preserve"> Considera-se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 a prestação de serviços fora das dependências do empregador, de maneira preponderante ou não, </w:t>
      </w:r>
      <w:r w:rsidRPr="00DD1985">
        <w:rPr>
          <w:rFonts w:asciiTheme="minorHAnsi" w:hAnsiTheme="minorHAnsi" w:cstheme="minorHAnsi"/>
          <w:color w:val="162937"/>
        </w:rPr>
        <w:lastRenderedPageBreak/>
        <w:t>com a utilização de tecnologias de informação e de comunicação, que, por sua natureza, não configure trabalho externo.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1º O comparecimento, ainda que de modo habitual, às dependências do empregador para a realização de atividades específicas que exijam a presença do empregado no estabelecimento não descaracteriza o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2º O empregado submetido ao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 poderá prestar serviços por jornada ou por produção ou tarefa.</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3º Na hipótese da prestação de serviços em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 por produção ou tarefa, não se aplicará o disposto no Capítulo II do Título II desta Consolidação.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4º O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 não se confunde nem se equipara à ocupação de operador </w:t>
      </w:r>
      <w:proofErr w:type="spellStart"/>
      <w:r w:rsidRPr="00DD1985">
        <w:rPr>
          <w:rFonts w:asciiTheme="minorHAnsi" w:hAnsiTheme="minorHAnsi" w:cstheme="minorHAnsi"/>
          <w:color w:val="162937"/>
        </w:rPr>
        <w:t>de</w:t>
      </w:r>
      <w:r w:rsidRPr="00DD1985">
        <w:rPr>
          <w:rStyle w:val="Forte"/>
          <w:rFonts w:asciiTheme="minorHAnsi" w:hAnsiTheme="minorHAnsi" w:cstheme="minorHAnsi"/>
          <w:color w:val="162937"/>
        </w:rPr>
        <w:t>telemarketing</w:t>
      </w:r>
      <w:r w:rsidRPr="00DD1985">
        <w:rPr>
          <w:rFonts w:asciiTheme="minorHAnsi" w:hAnsiTheme="minorHAnsi" w:cstheme="minorHAnsi"/>
          <w:color w:val="162937"/>
        </w:rPr>
        <w:t>ou</w:t>
      </w:r>
      <w:proofErr w:type="spellEnd"/>
      <w:r w:rsidRPr="00DD1985">
        <w:rPr>
          <w:rFonts w:asciiTheme="minorHAnsi" w:hAnsiTheme="minorHAnsi" w:cstheme="minorHAnsi"/>
          <w:color w:val="162937"/>
        </w:rPr>
        <w:t xml:space="preserve"> de </w:t>
      </w:r>
      <w:proofErr w:type="spellStart"/>
      <w:r w:rsidRPr="00DD1985">
        <w:rPr>
          <w:rFonts w:asciiTheme="minorHAnsi" w:hAnsiTheme="minorHAnsi" w:cstheme="minorHAnsi"/>
          <w:color w:val="162937"/>
        </w:rPr>
        <w:t>teleatendimento</w:t>
      </w:r>
      <w:proofErr w:type="spell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5º O tempo de uso de equipamentos tecnológicos e de infraestrutura necessária, bem como </w:t>
      </w:r>
      <w:proofErr w:type="spellStart"/>
      <w:r w:rsidRPr="00DD1985">
        <w:rPr>
          <w:rFonts w:asciiTheme="minorHAnsi" w:hAnsiTheme="minorHAnsi" w:cstheme="minorHAnsi"/>
          <w:color w:val="162937"/>
        </w:rPr>
        <w:t>de</w:t>
      </w:r>
      <w:r w:rsidRPr="00DD1985">
        <w:rPr>
          <w:rStyle w:val="Forte"/>
          <w:rFonts w:asciiTheme="minorHAnsi" w:hAnsiTheme="minorHAnsi" w:cstheme="minorHAnsi"/>
          <w:color w:val="162937"/>
        </w:rPr>
        <w:t>softwares</w:t>
      </w:r>
      <w:proofErr w:type="spellEnd"/>
      <w:r w:rsidRPr="00DD1985">
        <w:rPr>
          <w:rFonts w:asciiTheme="minorHAnsi" w:hAnsiTheme="minorHAnsi" w:cstheme="minorHAnsi"/>
          <w:color w:val="162937"/>
        </w:rPr>
        <w:t xml:space="preserve">, de ferramentas digitais ou de aplicações de internet utilizados para o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fora da jornada de trabalho normal do empregado não constitui tempo à disposição ou regime de prontidão ou de sobreaviso, exceto se houver previsão em acordo individual ou em acordo ou convenção coletiva de trabalho.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6º Fica permitida a adoção do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 para estagiários e aprendizes.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7º Aos empregados em regime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aplicam-se as disposições previstas na legislação local e nas convenções e nos acordos </w:t>
      </w:r>
      <w:proofErr w:type="gramStart"/>
      <w:r w:rsidRPr="00DD1985">
        <w:rPr>
          <w:rFonts w:asciiTheme="minorHAnsi" w:hAnsiTheme="minorHAnsi" w:cstheme="minorHAnsi"/>
          <w:color w:val="162937"/>
        </w:rPr>
        <w:t>coletivos de trabalho relativas à base territorial do estabelecimento de lotação do empregado</w:t>
      </w:r>
      <w:proofErr w:type="gramEnd"/>
      <w:r w:rsidRPr="00DD1985">
        <w:rPr>
          <w:rFonts w:asciiTheme="minorHAnsi" w:hAnsiTheme="minorHAnsi" w:cstheme="minorHAnsi"/>
          <w:color w:val="162937"/>
        </w:rPr>
        <w:t>.</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8º Ao contrato de trabalho do empregado admitido no Brasil que optar pela realização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fora do território nacional aplica-se a legislação brasileira, excetuadas as disposições constantes da Lei nº 7.064, de </w:t>
      </w:r>
      <w:proofErr w:type="gramStart"/>
      <w:r w:rsidRPr="00DD1985">
        <w:rPr>
          <w:rFonts w:asciiTheme="minorHAnsi" w:hAnsiTheme="minorHAnsi" w:cstheme="minorHAnsi"/>
          <w:color w:val="162937"/>
        </w:rPr>
        <w:t>6</w:t>
      </w:r>
      <w:proofErr w:type="gramEnd"/>
      <w:r w:rsidRPr="00DD1985">
        <w:rPr>
          <w:rFonts w:asciiTheme="minorHAnsi" w:hAnsiTheme="minorHAnsi" w:cstheme="minorHAnsi"/>
          <w:color w:val="162937"/>
        </w:rPr>
        <w:t xml:space="preserve"> de dezembro de 1982, salvo disposição em contrário estipulada entre as partes.</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w:t>
      </w:r>
      <w:proofErr w:type="gramStart"/>
      <w:r w:rsidRPr="00DD1985">
        <w:rPr>
          <w:rFonts w:asciiTheme="minorHAnsi" w:hAnsiTheme="minorHAnsi" w:cstheme="minorHAnsi"/>
          <w:color w:val="162937"/>
        </w:rPr>
        <w:t>9º Acordo individual poderá dispor sobre os horários e os meios de comunicação entre empregado e empregador, desde que assegurados os repousos legais."</w:t>
      </w:r>
      <w:proofErr w:type="gramEnd"/>
      <w:r w:rsidRPr="00DD1985">
        <w:rPr>
          <w:rFonts w:asciiTheme="minorHAnsi" w:hAnsiTheme="minorHAnsi" w:cstheme="minorHAnsi"/>
          <w:color w:val="162937"/>
        </w:rPr>
        <w:t xml:space="preserve"> (NR)</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"Art. 75-C.</w:t>
      </w:r>
      <w:proofErr w:type="gramEnd"/>
      <w:r w:rsidRPr="00DD1985">
        <w:rPr>
          <w:rFonts w:asciiTheme="minorHAnsi" w:hAnsiTheme="minorHAnsi" w:cstheme="minorHAnsi"/>
          <w:color w:val="162937"/>
        </w:rPr>
        <w:t xml:space="preserve"> A prestação de serviços na modalidade de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deverá constar expressamente do instrumento de contrato individual de trabalho.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 3º O empregador não será responsável pelas despesas resultantes do retorno ao trabalho presencial, na hipótese de o empregado optar pela realização do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 fora da localidade prevista no contrato, salvo disposição em contrário estipulada entre as partes." (NR</w:t>
      </w:r>
      <w:proofErr w:type="gramStart"/>
      <w:r w:rsidRPr="00DD1985">
        <w:rPr>
          <w:rFonts w:asciiTheme="minorHAnsi" w:hAnsiTheme="minorHAnsi" w:cstheme="minorHAnsi"/>
          <w:color w:val="162937"/>
        </w:rPr>
        <w:t>)</w:t>
      </w:r>
      <w:proofErr w:type="gramEnd"/>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"Art. 75-F. Os empregadores deverão dar prioridade aos empregados com deficiência e aos empregados com filhos ou criança sob guarda judicial até </w:t>
      </w:r>
      <w:proofErr w:type="gramStart"/>
      <w:r w:rsidRPr="00DD1985">
        <w:rPr>
          <w:rFonts w:asciiTheme="minorHAnsi" w:hAnsiTheme="minorHAnsi" w:cstheme="minorHAnsi"/>
          <w:color w:val="162937"/>
        </w:rPr>
        <w:t>4</w:t>
      </w:r>
      <w:proofErr w:type="gramEnd"/>
      <w:r w:rsidRPr="00DD1985">
        <w:rPr>
          <w:rFonts w:asciiTheme="minorHAnsi" w:hAnsiTheme="minorHAnsi" w:cstheme="minorHAnsi"/>
          <w:color w:val="162937"/>
        </w:rPr>
        <w:t xml:space="preserve"> (quatro) </w:t>
      </w:r>
      <w:r w:rsidRPr="00DD1985">
        <w:rPr>
          <w:rFonts w:asciiTheme="minorHAnsi" w:hAnsiTheme="minorHAnsi" w:cstheme="minorHAnsi"/>
          <w:color w:val="162937"/>
        </w:rPr>
        <w:lastRenderedPageBreak/>
        <w:t xml:space="preserve">anos de idade na alocação em vagas para atividades que possam ser efetuadas por meio do </w:t>
      </w:r>
      <w:proofErr w:type="spellStart"/>
      <w:r w:rsidRPr="00DD1985">
        <w:rPr>
          <w:rFonts w:asciiTheme="minorHAnsi" w:hAnsiTheme="minorHAnsi" w:cstheme="minorHAnsi"/>
          <w:color w:val="162937"/>
        </w:rPr>
        <w:t>teletrabalho</w:t>
      </w:r>
      <w:proofErr w:type="spellEnd"/>
      <w:r w:rsidRPr="00DD1985">
        <w:rPr>
          <w:rFonts w:asciiTheme="minorHAnsi" w:hAnsiTheme="minorHAnsi" w:cstheme="minorHAnsi"/>
          <w:color w:val="162937"/>
        </w:rPr>
        <w:t xml:space="preserve"> ou trabalho remoto."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7º (VETADO).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Art. 8º Esta Lei entra em vigor na data de sua publicação.</w:t>
      </w:r>
    </w:p>
    <w:p w:rsidR="00DD1985" w:rsidRPr="00DD1985" w:rsidRDefault="00DD1985" w:rsidP="00DD1985">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DD1985">
        <w:rPr>
          <w:rFonts w:asciiTheme="minorHAnsi" w:hAnsiTheme="minorHAnsi" w:cstheme="minorHAnsi"/>
          <w:color w:val="162937"/>
        </w:rPr>
        <w:t xml:space="preserve">Brasília, </w:t>
      </w:r>
      <w:proofErr w:type="gramStart"/>
      <w:r w:rsidRPr="00DD1985">
        <w:rPr>
          <w:rFonts w:asciiTheme="minorHAnsi" w:hAnsiTheme="minorHAnsi" w:cstheme="minorHAnsi"/>
          <w:color w:val="162937"/>
        </w:rPr>
        <w:t>2</w:t>
      </w:r>
      <w:proofErr w:type="gramEnd"/>
      <w:r w:rsidRPr="00DD1985">
        <w:rPr>
          <w:rFonts w:asciiTheme="minorHAnsi" w:hAnsiTheme="minorHAnsi" w:cstheme="minorHAnsi"/>
          <w:color w:val="162937"/>
        </w:rPr>
        <w:t xml:space="preserve"> de setembro de 2022; 201º da Independência e 134º da República.</w:t>
      </w:r>
    </w:p>
    <w:p w:rsidR="00DD1985" w:rsidRPr="00DD1985" w:rsidRDefault="00DD1985" w:rsidP="00DD1985">
      <w:pPr>
        <w:pStyle w:val="assinapr"/>
        <w:shd w:val="clear" w:color="auto" w:fill="FFFFFF"/>
        <w:spacing w:before="300" w:beforeAutospacing="0" w:after="0" w:afterAutospacing="0"/>
        <w:jc w:val="right"/>
        <w:rPr>
          <w:rFonts w:ascii="Arial" w:hAnsi="Arial" w:cs="Arial"/>
          <w:b/>
          <w:bCs/>
          <w:caps/>
          <w:color w:val="162937"/>
          <w:sz w:val="22"/>
          <w:szCs w:val="22"/>
        </w:rPr>
      </w:pPr>
      <w:r w:rsidRPr="00DD1985">
        <w:rPr>
          <w:rFonts w:ascii="Arial" w:hAnsi="Arial" w:cs="Arial"/>
          <w:b/>
          <w:bCs/>
          <w:caps/>
          <w:color w:val="162937"/>
          <w:sz w:val="22"/>
          <w:szCs w:val="22"/>
        </w:rPr>
        <w:t>JAIR MESSIAS BOLSONARO</w:t>
      </w:r>
    </w:p>
    <w:p w:rsidR="00DD1985" w:rsidRDefault="00DD1985" w:rsidP="00DD1985">
      <w:pPr>
        <w:pStyle w:val="assina"/>
        <w:shd w:val="clear" w:color="auto" w:fill="FFFFFF"/>
        <w:spacing w:before="0" w:beforeAutospacing="0" w:after="0" w:afterAutospacing="0"/>
        <w:jc w:val="right"/>
        <w:rPr>
          <w:rFonts w:ascii="Arial" w:hAnsi="Arial" w:cs="Arial"/>
          <w:i/>
          <w:iCs/>
          <w:color w:val="162937"/>
        </w:rPr>
      </w:pPr>
      <w:r>
        <w:rPr>
          <w:rFonts w:ascii="Arial" w:hAnsi="Arial" w:cs="Arial"/>
          <w:i/>
          <w:iCs/>
          <w:color w:val="162937"/>
        </w:rPr>
        <w:t>Paulo Guedes</w:t>
      </w:r>
    </w:p>
    <w:p w:rsidR="00DD1985" w:rsidRDefault="00DD1985" w:rsidP="00DD1985">
      <w:pPr>
        <w:pStyle w:val="assina"/>
        <w:shd w:val="clear" w:color="auto" w:fill="FFFFFF"/>
        <w:spacing w:before="0" w:beforeAutospacing="0" w:after="0" w:afterAutospacing="0"/>
        <w:jc w:val="right"/>
        <w:rPr>
          <w:rFonts w:ascii="Arial" w:hAnsi="Arial" w:cs="Arial"/>
          <w:i/>
          <w:iCs/>
          <w:color w:val="162937"/>
        </w:rPr>
      </w:pPr>
      <w:r>
        <w:rPr>
          <w:rFonts w:ascii="Arial" w:hAnsi="Arial" w:cs="Arial"/>
          <w:i/>
          <w:iCs/>
          <w:color w:val="162937"/>
        </w:rPr>
        <w:t>José Carlos Oliveira</w:t>
      </w:r>
    </w:p>
    <w:p w:rsidR="00DD1985" w:rsidRPr="00DD1985" w:rsidRDefault="00DD1985">
      <w:pPr>
        <w:rPr>
          <w:sz w:val="24"/>
          <w:szCs w:val="24"/>
        </w:rPr>
      </w:pPr>
    </w:p>
    <w:sectPr w:rsidR="00DD1985" w:rsidRPr="00DD19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85"/>
    <w:rsid w:val="000569FB"/>
    <w:rsid w:val="006334B9"/>
    <w:rsid w:val="00DD1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1985"/>
    <w:rPr>
      <w:b/>
      <w:bCs/>
    </w:rPr>
  </w:style>
  <w:style w:type="paragraph" w:customStyle="1" w:styleId="assinapr">
    <w:name w:val="assinapr"/>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rgao-dou">
    <w:name w:val="orgao-dou"/>
    <w:basedOn w:val="Fontepargpadro"/>
    <w:rsid w:val="00DD1985"/>
  </w:style>
  <w:style w:type="character" w:customStyle="1" w:styleId="orgao-dou-data">
    <w:name w:val="orgao-dou-data"/>
    <w:basedOn w:val="Fontepargpadro"/>
    <w:rsid w:val="00DD1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1985"/>
    <w:rPr>
      <w:b/>
      <w:bCs/>
    </w:rPr>
  </w:style>
  <w:style w:type="paragraph" w:customStyle="1" w:styleId="assinapr">
    <w:name w:val="assinapr"/>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DD1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rgao-dou">
    <w:name w:val="orgao-dou"/>
    <w:basedOn w:val="Fontepargpadro"/>
    <w:rsid w:val="00DD1985"/>
  </w:style>
  <w:style w:type="character" w:customStyle="1" w:styleId="orgao-dou-data">
    <w:name w:val="orgao-dou-data"/>
    <w:basedOn w:val="Fontepargpadro"/>
    <w:rsid w:val="00DD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1839">
      <w:bodyDiv w:val="1"/>
      <w:marLeft w:val="0"/>
      <w:marRight w:val="0"/>
      <w:marTop w:val="0"/>
      <w:marBottom w:val="0"/>
      <w:divBdr>
        <w:top w:val="none" w:sz="0" w:space="0" w:color="auto"/>
        <w:left w:val="none" w:sz="0" w:space="0" w:color="auto"/>
        <w:bottom w:val="none" w:sz="0" w:space="0" w:color="auto"/>
        <w:right w:val="none" w:sz="0" w:space="0" w:color="auto"/>
      </w:divBdr>
      <w:divsChild>
        <w:div w:id="601113586">
          <w:marLeft w:val="0"/>
          <w:marRight w:val="0"/>
          <w:marTop w:val="0"/>
          <w:marBottom w:val="300"/>
          <w:divBdr>
            <w:top w:val="none" w:sz="0" w:space="0" w:color="auto"/>
            <w:left w:val="none" w:sz="0" w:space="0" w:color="auto"/>
            <w:bottom w:val="none" w:sz="0" w:space="0" w:color="auto"/>
            <w:right w:val="none" w:sz="0" w:space="0" w:color="auto"/>
          </w:divBdr>
        </w:div>
      </w:divsChild>
    </w:div>
    <w:div w:id="1668821004">
      <w:bodyDiv w:val="1"/>
      <w:marLeft w:val="0"/>
      <w:marRight w:val="0"/>
      <w:marTop w:val="0"/>
      <w:marBottom w:val="0"/>
      <w:divBdr>
        <w:top w:val="none" w:sz="0" w:space="0" w:color="auto"/>
        <w:left w:val="none" w:sz="0" w:space="0" w:color="auto"/>
        <w:bottom w:val="none" w:sz="0" w:space="0" w:color="auto"/>
        <w:right w:val="none" w:sz="0" w:space="0" w:color="auto"/>
      </w:divBdr>
      <w:divsChild>
        <w:div w:id="1016612534">
          <w:marLeft w:val="0"/>
          <w:marRight w:val="0"/>
          <w:marTop w:val="0"/>
          <w:marBottom w:val="0"/>
          <w:divBdr>
            <w:top w:val="none" w:sz="0" w:space="0" w:color="auto"/>
            <w:left w:val="none" w:sz="0" w:space="0" w:color="auto"/>
            <w:bottom w:val="none" w:sz="0" w:space="0" w:color="auto"/>
            <w:right w:val="none" w:sz="0" w:space="0" w:color="auto"/>
          </w:divBdr>
        </w:div>
      </w:divsChild>
    </w:div>
    <w:div w:id="1745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3401</Words>
  <Characters>18370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1</cp:revision>
  <dcterms:created xsi:type="dcterms:W3CDTF">2022-09-05T14:58:00Z</dcterms:created>
  <dcterms:modified xsi:type="dcterms:W3CDTF">2022-09-05T15:06:00Z</dcterms:modified>
</cp:coreProperties>
</file>