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4"/>
          <w:szCs w:val="24"/>
        </w:rPr>
      </w:pPr>
      <w:r w:rsidDel="00000000" w:rsidR="00000000" w:rsidRPr="00000000">
        <w:rPr>
          <w:sz w:val="24"/>
          <w:szCs w:val="24"/>
          <w:rtl w:val="0"/>
        </w:rPr>
        <w:t xml:space="preserve">Quinta-feira, 14 de julho de 2022.</w:t>
      </w:r>
    </w:p>
    <w:p w:rsidR="00000000" w:rsidDel="00000000" w:rsidP="00000000" w:rsidRDefault="00000000" w:rsidRPr="00000000" w14:paraId="00000002">
      <w:pPr>
        <w:jc w:val="both"/>
        <w:rPr>
          <w:sz w:val="24"/>
          <w:szCs w:val="24"/>
        </w:rPr>
      </w:pPr>
      <w:r w:rsidDel="00000000" w:rsidR="00000000" w:rsidRPr="00000000">
        <w:rPr>
          <w:rtl w:val="0"/>
        </w:rPr>
      </w:r>
    </w:p>
    <w:p w:rsidR="00000000" w:rsidDel="00000000" w:rsidP="00000000" w:rsidRDefault="00000000" w:rsidRPr="00000000" w14:paraId="00000003">
      <w:pPr>
        <w:jc w:val="both"/>
        <w:rPr>
          <w:b w:val="1"/>
          <w:sz w:val="24"/>
          <w:szCs w:val="24"/>
        </w:rPr>
      </w:pPr>
      <w:r w:rsidDel="00000000" w:rsidR="00000000" w:rsidRPr="00000000">
        <w:rPr>
          <w:b w:val="1"/>
          <w:sz w:val="24"/>
          <w:szCs w:val="24"/>
          <w:rtl w:val="0"/>
        </w:rPr>
        <w:t xml:space="preserve">D.O da UNIÃO</w:t>
      </w:r>
    </w:p>
    <w:p w:rsidR="00000000" w:rsidDel="00000000" w:rsidP="00000000" w:rsidRDefault="00000000" w:rsidRPr="00000000" w14:paraId="00000004">
      <w:pPr>
        <w:jc w:val="both"/>
        <w:rPr>
          <w:b w:val="1"/>
          <w:sz w:val="24"/>
          <w:szCs w:val="24"/>
        </w:rPr>
      </w:pPr>
      <w:r w:rsidDel="00000000" w:rsidR="00000000" w:rsidRPr="00000000">
        <w:rPr>
          <w:b w:val="1"/>
          <w:sz w:val="24"/>
          <w:szCs w:val="24"/>
          <w:rtl w:val="0"/>
        </w:rPr>
        <w:t xml:space="preserve">PÁGINA 06</w:t>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INSTRUÇÃO NORMATIVA Nº 17/SEDS/SENARC/MC, DE 13 DE JULHO DE 2022</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Altera a Instrução Normativa nº 13/SEDS/SENARC/MC, de 3 de março de 2022, que define e divulga os procedimentos operacionais, o cronograma e as repercussões relativos ao processo de Focalização do Programa Auxílio Brasil 2022, de que trata a Portaria MC nº 746, de 03 de fevereiro de 2022.</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O SECRETÁRIO NACIONAL DE RENDA DE CIDADANIA, no uso das atribuições que lhe confere o art. 29 do Decreto nº 11.023, de 31 de março de 2022, tendo em vista o disposto no art. 23 da Lei nº 13.844, de 18 de junho de 2019, na Lei nº 14.284, de 29 de dezembro de 2021, no Decreto nº 10.852, de 8 de novembro 2021, e na Portaria MC nº 746, de 03 de fevereiro de 2022, resolve:</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Art. 1º Alterar o cronograma de repercussões relativo ao processo de Focalização do Programa Auxílio Brasil 2022, de que trata a Portaria nº 746, de 03 de fevereiro de 2022, previsto na Instrução Normativa nº 13/SEDS/SENARC/MC, de 3 de março de 2022, conforme orientações disponíveis no link:</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https://www.gov.br/cidadania/pt-br/acesso-a-informacao/legislacao/instrucaonormativa-da-focalizacao-do-programa-auxilio-brasil-2022-focaliza</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Art. 2º Esta Instrução Normativa entra em vigor na data de sua publicação.</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ÁTILA BRANDÃO DE OLIVEIRA JUNIOR</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b w:val="1"/>
          <w:sz w:val="24"/>
          <w:szCs w:val="24"/>
        </w:rPr>
      </w:pPr>
      <w:r w:rsidDel="00000000" w:rsidR="00000000" w:rsidRPr="00000000">
        <w:rPr>
          <w:b w:val="1"/>
          <w:sz w:val="24"/>
          <w:szCs w:val="24"/>
          <w:rtl w:val="0"/>
        </w:rPr>
        <w:t xml:space="preserve">D.O DO ESTADO</w:t>
      </w:r>
    </w:p>
    <w:p w:rsidR="00000000" w:rsidDel="00000000" w:rsidP="00000000" w:rsidRDefault="00000000" w:rsidRPr="00000000" w14:paraId="0000000F">
      <w:pPr>
        <w:jc w:val="both"/>
        <w:rPr>
          <w:b w:val="1"/>
          <w:sz w:val="24"/>
          <w:szCs w:val="24"/>
        </w:rPr>
      </w:pPr>
      <w:r w:rsidDel="00000000" w:rsidR="00000000" w:rsidRPr="00000000">
        <w:rPr>
          <w:rtl w:val="0"/>
        </w:rPr>
      </w:r>
    </w:p>
    <w:p w:rsidR="00000000" w:rsidDel="00000000" w:rsidP="00000000" w:rsidRDefault="00000000" w:rsidRPr="00000000" w14:paraId="00000010">
      <w:pPr>
        <w:jc w:val="both"/>
        <w:rPr>
          <w:b w:val="1"/>
          <w:sz w:val="24"/>
          <w:szCs w:val="24"/>
        </w:rPr>
      </w:pPr>
      <w:r w:rsidDel="00000000" w:rsidR="00000000" w:rsidRPr="00000000">
        <w:rPr>
          <w:b w:val="1"/>
          <w:sz w:val="24"/>
          <w:szCs w:val="24"/>
          <w:rtl w:val="0"/>
        </w:rPr>
        <w:t xml:space="preserve">PÁGINA 70</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SECRETARIA DE DESENVOLVIMENTO ECONÔMICO PROGRAMA BOLSA-TRABALHO</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Convocação dos candidatos selecionados no Edital SDE/CPER n.º 003/2022 do Programa Bolsa-Trabalho – residentes no Município de São Paulo.</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A Secretaria de Desenvolvimento Econômico – SDE, atendendo ao disposto nas Leis n.º 10.321, de 08 de junho de 1999 e n.º 17.372, de 26 de maio de 2021, bem como nos Decretos n.º 44.034, de 08 de junho de 1999, n.º 65.812, de 23 de junho de 2021, n.º 65.916, de 10 de agosto de 2021, e n.º 66.411, de 29 de dezembro de 2021, e nas Resoluções SDE n.º 30, de 16 de agosto de 2021, n.º 42, de 13 de outubro de 2021, e n.º 25, de 27 de junho de 2022, CONVOCA os candidatos abaixo relacionados, classificados do município de São Paulo e em ordem alfabética, para comparecerem, no período de 18 de julho a 28 de julho de 2022, das 09h às 16h, nos endereços indicados abaixo, munidos dos seguintes documentos:</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a. Carteira de Identidade (RG);</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b. Cadastro de Pessoas Físicas (CPF);</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c. Carteira de Trabalho e Previdência Social (CTPS);</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d. Comprovante de residência (conta de água, luz, etc…).</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Considera-se residente, para efeito de alistamento no Programa, o morador de rua que, albergado ou não, tiver assento permanente em qualquer um dos logradouros públicos existentes na área do cadastramento, conforme o Decreto nº 49.017/2004.</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Os referidos selecionados poderão apresentar declaração que comprove a situação.</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Locais de Comparecimento:</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DESCOMPLICA JABAQUARA - Av. Eng. Armando de Arruda</w:t>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Pereira, 2.314</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VILA PRUDENTE - Av. Do Oratório, 172</w:t>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SANTO AMARO - Praça Floriano Peixoto, 54</w:t>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INTERLAGOS - Av. Interlagos, 6.122</w:t>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DESCOMPLICA CAMPO LIMPO - Rua Nsª Senhora do Bom</w:t>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Conselho, 62</w:t>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CIDADE ADEMAR - Av. Yervant Kissajikian, 416</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DESCOMPLICA CAPELA DO SOCORRO - Rua Cassiano dos</w:t>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Santos, 499</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PARELHEIROS - Est. Ecoturística de Parelheiros, 5252</w:t>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ITAQUERA - Rua Augusto Carlos Bauman, 851</w:t>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GUAIANASES - Rua Hipólito de Camargo, 479</w:t>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CIDADE TIRADENTES - Rua Milagre dos Peixes, 357</w:t>
      </w:r>
    </w:p>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DESCOMPLICA SÃO MATEUS - Av. Ragueb Chohfi, 1.400</w:t>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ITAIM PAULISTA - Av. Marechal Tito, 3.012</w:t>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SAPOPEMBA - Av. Sapopemba, 9.064</w:t>
      </w:r>
    </w:p>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DESCOMPLICA PENHA - Rua Candapui, 492</w:t>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DESCOMPLICA SÃO MIGUEL - Rua Dona Ana Flora Pinheiro</w:t>
      </w:r>
    </w:p>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de Souza, 76</w:t>
      </w:r>
    </w:p>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LAPA - Rua Guaicurus, 1.000</w:t>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JAÇANÃ - Rua Luis Stamatis, 300</w:t>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DESCOMPLICA SANTANA / TUCURUVI - Av. Tucuruvi, 808</w:t>
      </w:r>
    </w:p>
    <w:p w:rsidR="00000000" w:rsidDel="00000000" w:rsidP="00000000" w:rsidRDefault="00000000" w:rsidRPr="00000000" w14:paraId="00000033">
      <w:pPr>
        <w:jc w:val="both"/>
        <w:rPr>
          <w:sz w:val="24"/>
          <w:szCs w:val="24"/>
        </w:rPr>
      </w:pPr>
      <w:r w:rsidDel="00000000" w:rsidR="00000000" w:rsidRPr="00000000">
        <w:rPr>
          <w:sz w:val="24"/>
          <w:szCs w:val="24"/>
          <w:rtl w:val="0"/>
        </w:rPr>
        <w:t xml:space="preserve">JARAGUÁ - Estrada de Taipas, 990</w:t>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PERUS - Rua Ylídio Figueiredo, 349</w:t>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PIRITUBA - Rua Dr. Felipe Pinel, 12</w:t>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DESCOMPLICA BUTANTÃ - Rua Dr. Upiano da Costa Manso, 201</w:t>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BRASILÂNDIA - Av. João Marcelino Branco, 95</w:t>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DESCOMPLICA VILA MARIA/ VILA GUILHERME - R. General</w:t>
      </w:r>
    </w:p>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Mendes n° 111</w:t>
      </w:r>
    </w:p>
    <w:p w:rsidR="00000000" w:rsidDel="00000000" w:rsidP="00000000" w:rsidRDefault="00000000" w:rsidRPr="00000000" w14:paraId="0000003A">
      <w:pPr>
        <w:jc w:val="both"/>
        <w:rPr>
          <w:sz w:val="24"/>
          <w:szCs w:val="24"/>
        </w:rPr>
      </w:pPr>
      <w:r w:rsidDel="00000000" w:rsidR="00000000" w:rsidRPr="00000000">
        <w:rPr>
          <w:rtl w:val="0"/>
        </w:rPr>
      </w:r>
    </w:p>
    <w:p w:rsidR="00000000" w:rsidDel="00000000" w:rsidP="00000000" w:rsidRDefault="00000000" w:rsidRPr="00000000" w14:paraId="0000003B">
      <w:pPr>
        <w:jc w:val="both"/>
        <w:rPr>
          <w:sz w:val="24"/>
          <w:szCs w:val="24"/>
        </w:rPr>
      </w:pPr>
      <w:r w:rsidDel="00000000" w:rsidR="00000000" w:rsidRPr="00000000">
        <w:rPr>
          <w:rtl w:val="0"/>
        </w:rPr>
      </w:r>
    </w:p>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14.07.2022</w:t>
      </w:r>
    </w:p>
    <w:p w:rsidR="00000000" w:rsidDel="00000000" w:rsidP="00000000" w:rsidRDefault="00000000" w:rsidRPr="00000000" w14:paraId="0000003D">
      <w:pPr>
        <w:jc w:val="both"/>
        <w:rPr>
          <w:sz w:val="24"/>
          <w:szCs w:val="24"/>
        </w:rPr>
      </w:pPr>
      <w:r w:rsidDel="00000000" w:rsidR="00000000" w:rsidRPr="00000000">
        <w:rPr>
          <w:sz w:val="24"/>
          <w:szCs w:val="24"/>
          <w:rtl w:val="0"/>
        </w:rPr>
        <w:t xml:space="preserve">Bom dia!</w:t>
      </w:r>
    </w:p>
    <w:p w:rsidR="00000000" w:rsidDel="00000000" w:rsidP="00000000" w:rsidRDefault="00000000" w:rsidRPr="00000000" w14:paraId="0000003E">
      <w:pPr>
        <w:jc w:val="both"/>
        <w:rPr>
          <w:sz w:val="24"/>
          <w:szCs w:val="24"/>
        </w:rPr>
      </w:pPr>
      <w:r w:rsidDel="00000000" w:rsidR="00000000" w:rsidRPr="00000000">
        <w:rPr>
          <w:rtl w:val="0"/>
        </w:rPr>
      </w:r>
    </w:p>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*Diário oficial da Cidade*</w:t>
      </w:r>
    </w:p>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-Sem publicação relevante</w:t>
      </w:r>
    </w:p>
    <w:p w:rsidR="00000000" w:rsidDel="00000000" w:rsidP="00000000" w:rsidRDefault="00000000" w:rsidRPr="00000000" w14:paraId="00000041">
      <w:pPr>
        <w:jc w:val="both"/>
        <w:rPr>
          <w:sz w:val="24"/>
          <w:szCs w:val="24"/>
        </w:rPr>
      </w:pPr>
      <w:r w:rsidDel="00000000" w:rsidR="00000000" w:rsidRPr="00000000">
        <w:rPr>
          <w:rtl w:val="0"/>
        </w:rPr>
      </w:r>
    </w:p>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*Diário Oficial do Estado*</w:t>
      </w:r>
    </w:p>
    <w:p w:rsidR="00000000" w:rsidDel="00000000" w:rsidP="00000000" w:rsidRDefault="00000000" w:rsidRPr="00000000" w14:paraId="00000043">
      <w:pPr>
        <w:jc w:val="both"/>
        <w:rPr>
          <w:sz w:val="24"/>
          <w:szCs w:val="24"/>
        </w:rPr>
      </w:pPr>
      <w:r w:rsidDel="00000000" w:rsidR="00000000" w:rsidRPr="00000000">
        <w:rPr>
          <w:sz w:val="24"/>
          <w:szCs w:val="24"/>
          <w:rtl w:val="0"/>
        </w:rPr>
        <w:t xml:space="preserve">-Convocação dos candidatos selecionados no Programa Bolsa-Trabalho – residentes no Município de São Paulo.</w:t>
      </w:r>
    </w:p>
    <w:p w:rsidR="00000000" w:rsidDel="00000000" w:rsidP="00000000" w:rsidRDefault="00000000" w:rsidRPr="00000000" w14:paraId="00000044">
      <w:pPr>
        <w:jc w:val="both"/>
        <w:rPr>
          <w:sz w:val="24"/>
          <w:szCs w:val="24"/>
        </w:rPr>
      </w:pPr>
      <w:r w:rsidDel="00000000" w:rsidR="00000000" w:rsidRPr="00000000">
        <w:rPr>
          <w:rtl w:val="0"/>
        </w:rPr>
      </w:r>
    </w:p>
    <w:p w:rsidR="00000000" w:rsidDel="00000000" w:rsidP="00000000" w:rsidRDefault="00000000" w:rsidRPr="00000000" w14:paraId="00000045">
      <w:pPr>
        <w:jc w:val="both"/>
        <w:rPr>
          <w:sz w:val="24"/>
          <w:szCs w:val="24"/>
        </w:rPr>
      </w:pPr>
      <w:r w:rsidDel="00000000" w:rsidR="00000000" w:rsidRPr="00000000">
        <w:rPr>
          <w:sz w:val="24"/>
          <w:szCs w:val="24"/>
          <w:rtl w:val="0"/>
        </w:rPr>
        <w:t xml:space="preserve">*Diário Oficial da União*</w:t>
      </w:r>
    </w:p>
    <w:p w:rsidR="00000000" w:rsidDel="00000000" w:rsidP="00000000" w:rsidRDefault="00000000" w:rsidRPr="00000000" w14:paraId="00000046">
      <w:pPr>
        <w:jc w:val="both"/>
        <w:rPr>
          <w:sz w:val="24"/>
          <w:szCs w:val="24"/>
        </w:rPr>
      </w:pPr>
      <w:r w:rsidDel="00000000" w:rsidR="00000000" w:rsidRPr="00000000">
        <w:rPr>
          <w:sz w:val="24"/>
          <w:szCs w:val="24"/>
          <w:rtl w:val="0"/>
        </w:rPr>
        <w:t xml:space="preserve">-instrução normativa que divulga os procedimentos operacionais, o cronograma e as repercussões relativos ao processo de Focalização do Programa Auxílio Brasil 2022</w:t>
      </w:r>
    </w:p>
    <w:p w:rsidR="00000000" w:rsidDel="00000000" w:rsidP="00000000" w:rsidRDefault="00000000" w:rsidRPr="00000000" w14:paraId="00000047">
      <w:pPr>
        <w:jc w:val="both"/>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