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Workshop de Cocriação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2º Plano de Ação em Governo Aberto do município de São Paulo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rtl w:val="0"/>
        </w:rPr>
        <w:t xml:space="preserve">: Quarta-feira, 08 de agosto de 2018</w:t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Horário</w:t>
      </w:r>
      <w:r w:rsidDel="00000000" w:rsidR="00000000" w:rsidRPr="00000000">
        <w:rPr>
          <w:rtl w:val="0"/>
        </w:rPr>
        <w:t xml:space="preserve">: 10h às 17h30</w:t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Local</w:t>
      </w:r>
      <w:r w:rsidDel="00000000" w:rsidR="00000000" w:rsidRPr="00000000">
        <w:rPr>
          <w:rtl w:val="0"/>
        </w:rPr>
        <w:t xml:space="preserve">: Edifício Martinelli, 15º andar (auditório)</w:t>
      </w:r>
    </w:p>
    <w:p w:rsidR="00000000" w:rsidDel="00000000" w:rsidP="00000000" w:rsidRDefault="00000000" w:rsidRPr="00000000" w14:paraId="00000006">
      <w:pPr>
        <w:spacing w:line="36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Participantes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Listas de presença (períodos da manhã e da tarde) disponíveis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Proposta da dinâmica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Iniciar o processo de cocriação do 2º Plano de Ação em Governo Aberto do município de São Paulo, com a definição de três dos cinco temas que delimitarão os compromissos a serem assumidos pela Prefeitura nos próximos dois anos</w:t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Mediação</w:t>
      </w:r>
      <w:r w:rsidDel="00000000" w:rsidR="00000000" w:rsidRPr="00000000">
        <w:rPr>
          <w:rtl w:val="0"/>
        </w:rPr>
        <w:t xml:space="preserve">: Vitor Sugita, facilitador</w:t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Atividades realizadas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Abertura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As atividades foram iniciadas com uma fala de abertura do Secretário Municipal de Relações Internacionais, Embaixador Affonso Massot. A seguir, também falaram o Controlador Geral do município, Gustavo Ungaro; a Secretária-Adjunta de Inovação e Tecnologia, Marianna Sampaio; e o Secretário Municipal de Gestão, Sérgio Avelleda. Todos reforçaram a importância da atividade a ser realizada, da pauta de governo aberto para a Prefeitura de São Paulo e para a gestão pública e do trabalho conjunto entre Governo e Sociedade Civil. A presença de servidores de diferentes secretarias também foi ressaltada. 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Em seguida, Danielle Bello (SP Aberta/SMRI), Ana Dienstmann (COPI/CGM), Daniely Votto (WRI Brasil) e Maria Angélica (PIDS) descreveram brevemente o processo de construção do 2º Plano de Ação e os objetivos da atividade do dia, além de retomarem o histórico das ações de governo aberto do município de São Paulo e da participação do município no programa local da </w:t>
      </w:r>
      <w:r w:rsidDel="00000000" w:rsidR="00000000" w:rsidRPr="00000000">
        <w:rPr>
          <w:i w:val="1"/>
          <w:rtl w:val="0"/>
        </w:rPr>
        <w:t xml:space="preserve">Open Government Partnership</w:t>
      </w:r>
      <w:r w:rsidDel="00000000" w:rsidR="00000000" w:rsidRPr="00000000">
        <w:rPr>
          <w:rtl w:val="0"/>
        </w:rPr>
        <w:t xml:space="preserve"> (OGP).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Rodas de conversa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Os participantes foram divididos em dois grupos: um apenas com representantes do Governo e outro apenas com representantes da Sociedade Civil, para troca de ideias, compartilhamento de experiências e alinhamentos.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Chuva de demandas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Governo e Sociedade Civil retornaram ao auditório. Em seguida</w:t>
      </w:r>
      <w:r w:rsidDel="00000000" w:rsidR="00000000" w:rsidRPr="00000000">
        <w:rPr>
          <w:rtl w:val="0"/>
        </w:rPr>
        <w:t xml:space="preserve">, foram formados grupos de forma aleatória para discussão e levantamento de problemas/demandas existentes na cidade.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Apresentações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Os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problemas/demandas*</w:t>
        </w:r>
      </w:hyperlink>
      <w:r w:rsidDel="00000000" w:rsidR="00000000" w:rsidRPr="00000000">
        <w:rPr>
          <w:rtl w:val="0"/>
        </w:rPr>
        <w:t xml:space="preserve"> de cada grupo foram apresentados brevemente por um/uma representante.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Almoço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Durante o almoço, todas as contribuições de problemas/demandas foram categorizadas em grandes temas, de forma discricionária pelo mediador da atividade e, voluntariamente, por participantes que se dispuseram a contribuir com esse momento. Dentre tais participantes, havia representantes da sociedade civil e do Governo, alguns destes membros do Fórum de Gestão Compartilhada. Os grandes temas foram: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Mobilidade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Sistema de Informação e Comunicação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Saúde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Orçamento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Descentralização e Desenvolvimento Local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Educação e Cultura Cidadã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World Café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A partir da divisão realizada, 6 mesas de discussão foram montadas. Nestas, ao menos duas pessoas voluntárias ficaram fixas (de forma a orientar, acompanhar e registrar as discussões), enquanto os demais circulavam entre as mesas de seu interesse, fazendo suas contribuições às discussões. O intuito era qualificar as discussões, aprofundando os argumentos acerca dos temas, refiná-los e validá-los antes de levá-los à votação.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Apresentações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Os responsáveis pelo acompanhamento de cada mesa relataram brevemente as discussões realizadas 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principais desafios levantados*</w:t>
        </w:r>
      </w:hyperlink>
      <w:r w:rsidDel="00000000" w:rsidR="00000000" w:rsidRPr="00000000">
        <w:rPr>
          <w:rtl w:val="0"/>
        </w:rPr>
        <w:t xml:space="preserve"> dentro de cada tema. Neste momento, a dupla responsável pela mesa de “Sistema de Informação e Comunicação” sugeriu a troca do nome do tema em questão para “Comunicação Participativa e Transparência”. A discussão sobre a troca foi deixada para o final da atividade.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Votação</w:t>
      </w:r>
    </w:p>
    <w:p w:rsidR="00000000" w:rsidDel="00000000" w:rsidP="00000000" w:rsidRDefault="00000000" w:rsidRPr="00000000" w14:paraId="00000024">
      <w:pPr>
        <w:spacing w:after="200" w:before="200" w:line="36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De início, houve um desacordo sobre a proposta de votação por parte de alguns participantes presentes, que sugeriram a seleção dos temas por consenso. Como não houve consenso quanto à definição dos temas, a votação foi retomada, garantindo a paridade de votos. Assim, alguns membros do Governo, que estava em maior número, não votaram. </w:t>
      </w:r>
      <w:r w:rsidDel="00000000" w:rsidR="00000000" w:rsidRPr="00000000">
        <w:rPr>
          <w:rtl w:val="0"/>
        </w:rPr>
        <w:t xml:space="preserve">Os presentes votaram em até 3 temas que julgaram fundamentais serem contemplados no Plano Municipal de Governo Aberto. Foram eles: Sistema de Informação e Comunicação/Comunicação Participativa e Transparência; Orçamento; e Descentralização e Desenvolvimento Local.</w:t>
        <w:br w:type="textWrapping"/>
      </w:r>
      <w:r w:rsidDel="00000000" w:rsidR="00000000" w:rsidRPr="00000000">
        <w:rPr/>
        <w:drawing>
          <wp:inline distB="114300" distT="114300" distL="114300" distR="114300">
            <wp:extent cx="5324475" cy="1547813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547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8"/>
          <w:szCs w:val="18"/>
          <w:rtl w:val="0"/>
        </w:rPr>
        <w:t xml:space="preserve">Na imagem, as opções de temas após a votação, na ordem: Mobilidade; Sistema de Informação e Comunicação/Comunicação Participativa e Transparência; Saúde; Orçamento; Descentralização e Desenvolvimento Local; e Educação e Cultura Cidadã.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36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Devido ao atraso na agenda causado pela discussão sobre a votação, não houve tempo para a escolha da nomenclatura do tema “Sistema de Informação e Comunicação”/”Comunicação Participativa e Transparência”. Em reunião do Fórum de Gestão Compartilhada, realizada no dia 14 de agosto, optou-se pela aglutinação das duas sugestões de nomes, contemplando assim ambas as propostas. O nome final para o tema, veiculado como resultante da dinâmica, foi “Sistema de Informação, Comunicação Participativa e Transparência”</w:t>
      </w:r>
    </w:p>
    <w:p w:rsidR="00000000" w:rsidDel="00000000" w:rsidP="00000000" w:rsidRDefault="00000000" w:rsidRPr="00000000" w14:paraId="00000026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Fotos do Workshop</w:t>
      </w:r>
      <w:r w:rsidDel="00000000" w:rsidR="00000000" w:rsidRPr="00000000">
        <w:rPr>
          <w:rtl w:val="0"/>
        </w:rPr>
        <w:t xml:space="preserve">: Disponíveis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aqui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8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*A sistematização das contribuições dadas nas atividades Chuve de Demandas e World Café está disponível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aqui</w:t>
        </w:r>
      </w:hyperlink>
      <w:r w:rsidDel="00000000" w:rsidR="00000000" w:rsidRPr="00000000">
        <w:rPr>
          <w:rtl w:val="0"/>
        </w:rPr>
        <w:t xml:space="preserve">. Tais contribuições serão parte dos insumos para as Oficinas Territorias Temáticas, quando as dicussões sobre os temas e desafios serão aprofundadas e propostas de compromissos serão desenhadas. </w:t>
      </w:r>
    </w:p>
    <w:p w:rsidR="00000000" w:rsidDel="00000000" w:rsidP="00000000" w:rsidRDefault="00000000" w:rsidRPr="00000000" w14:paraId="0000002A">
      <w:pPr>
        <w:spacing w:after="200"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4648200</wp:posOffset>
          </wp:positionH>
          <wp:positionV relativeFrom="paragraph">
            <wp:posOffset>276225</wp:posOffset>
          </wp:positionV>
          <wp:extent cx="1666875" cy="1085850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085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3771900</wp:posOffset>
          </wp:positionH>
          <wp:positionV relativeFrom="paragraph">
            <wp:posOffset>323850</wp:posOffset>
          </wp:positionV>
          <wp:extent cx="742950" cy="828675"/>
          <wp:effectExtent b="0" l="0" r="0" t="0"/>
          <wp:wrapTopAndBottom distB="114300" distT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spreadsheets/d/16qwXIL1e9P1UuWZ2adcFAizMOpD8IciPitl1btREtiQ/edit?usp=sharing" TargetMode="External"/><Relationship Id="rId10" Type="http://schemas.openxmlformats.org/officeDocument/2006/relationships/hyperlink" Target="https://drive.google.com/drive/folders/11o5FTmP_UPlMGtRMJ_11XJcWa80s0FSF?usp=sharing" TargetMode="External"/><Relationship Id="rId12" Type="http://schemas.openxmlformats.org/officeDocument/2006/relationships/header" Target="header1.xml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ZSL5VT-LnQ1edqjbQxF8nUpD2LXg0369/view?usp=sharing" TargetMode="External"/><Relationship Id="rId7" Type="http://schemas.openxmlformats.org/officeDocument/2006/relationships/hyperlink" Target="https://docs.google.com/spreadsheets/d/16qwXIL1e9P1UuWZ2adcFAizMOpD8IciPitl1btREtiQ/edit?usp=sharing" TargetMode="External"/><Relationship Id="rId8" Type="http://schemas.openxmlformats.org/officeDocument/2006/relationships/hyperlink" Target="https://docs.google.com/spreadsheets/d/16qwXIL1e9P1UuWZ2adcFAizMOpD8IciPitl1btREtiQ/edit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