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9D49" w14:textId="77777777" w:rsidR="00C63503" w:rsidRPr="00C63503" w:rsidRDefault="00C63503" w:rsidP="00C6350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C6350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t-BR"/>
        </w:rPr>
        <w:t>PROCESSO 6019.2023/0002711-6</w:t>
      </w:r>
    </w:p>
    <w:p w14:paraId="3831D5AF" w14:textId="77777777" w:rsidR="00C63503" w:rsidRPr="00C63503" w:rsidRDefault="00C63503" w:rsidP="00C6350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Decisão SEME/CAF/DCL/APE Nº 090947578</w:t>
      </w:r>
    </w:p>
    <w:p w14:paraId="6ADF5E15" w14:textId="77777777" w:rsidR="00C63503" w:rsidRPr="00C63503" w:rsidRDefault="00C63503" w:rsidP="00C6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6293EB9" w14:textId="77777777" w:rsidR="00C63503" w:rsidRPr="00C63503" w:rsidRDefault="00C63503" w:rsidP="00C6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Paulo, 29 de setembro de 2023.</w:t>
      </w:r>
    </w:p>
    <w:p w14:paraId="4757F2AF" w14:textId="77777777" w:rsidR="00C63503" w:rsidRPr="00C63503" w:rsidRDefault="00C63503" w:rsidP="00C6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405F540" w14:textId="77777777" w:rsidR="00C63503" w:rsidRPr="00C63503" w:rsidRDefault="00C63503" w:rsidP="00C63503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Edital de Convite nº 08/SEME/2023</w:t>
      </w:r>
    </w:p>
    <w:p w14:paraId="439E4B47" w14:textId="77777777" w:rsidR="00C63503" w:rsidRPr="00C63503" w:rsidRDefault="00C63503" w:rsidP="00C63503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Processo Administrativo SEI nº </w:t>
      </w:r>
      <w:r w:rsidRPr="00C63503">
        <w:rPr>
          <w:rFonts w:ascii="Arial" w:eastAsia="Times New Roman" w:hAnsi="Arial" w:cs="Arial"/>
          <w:b/>
          <w:bCs/>
          <w:color w:val="000000"/>
          <w:lang w:eastAsia="pt-BR"/>
        </w:rPr>
        <w:t>6019.2023/0002711-6</w:t>
      </w:r>
    </w:p>
    <w:p w14:paraId="2ABAB105" w14:textId="77777777" w:rsidR="00C63503" w:rsidRPr="00C63503" w:rsidRDefault="00C63503" w:rsidP="00C63503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Objeto: CONTRATAÇÃO DE EMPRESA ESPECIALIZADA DE ENGENHARIA PARA REVITALIZAÇÃO DE ALAMBRADO NO CDC JARDIM SÃO CARLOSLOCALIZADO NA RUA EL REY, 01 – JARDIM SÃO CARLOS - SÃO PAULO – S.P.</w:t>
      </w:r>
    </w:p>
    <w:p w14:paraId="5725D891" w14:textId="77777777" w:rsidR="00C63503" w:rsidRPr="00C63503" w:rsidRDefault="00C63503" w:rsidP="00C63503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Recorrente: DBL CONSTRUÇÕES LTDA</w:t>
      </w:r>
    </w:p>
    <w:p w14:paraId="61F22504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182EB56" w14:textId="77777777" w:rsidR="00C63503" w:rsidRPr="00C63503" w:rsidRDefault="00C63503" w:rsidP="00C63503">
      <w:pPr>
        <w:spacing w:after="0" w:line="240" w:lineRule="auto"/>
        <w:ind w:left="570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68B16C3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Por intermédio do Convite n.º 08/SEME/2023, esta Pasta fez publicar edital de licitação, cujo escopo é a contratação de empresa especializada de engenharia para revitalização de alambrado no CDC Jardim São Carlos, localizado na Rua El Rey, 01 – Jardim São Carlos – São Paulo/SP.</w:t>
      </w:r>
    </w:p>
    <w:p w14:paraId="10F50C7C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3ECBC21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sessão de abertura do certame ocorreu às 10h30, do dia 04 de setembro de 2023, conforme o acostado em doc.089427448 do processo em epígrafe.</w:t>
      </w:r>
    </w:p>
    <w:p w14:paraId="4BF9F19D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EB6F3A5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Após a classificação e habilitação definitiva da licitante AMDS ENGENHARIA E CONSTRUÇÕES LTDA-EPP, a empresa DBL CONSTRUÇÕES LTDA interpôs recurso administrativo contra a decisão da CPL-01.</w:t>
      </w:r>
    </w:p>
    <w:p w14:paraId="5BADD216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6618B55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síntese, aduziu a insurgente que a licitante vencedora deixou de atender ao item 5.3.6.3 do instrumento convocatório, já que apresentou desconto linear de 7,98%, deixando e fora os itens de Administração Local e Projeto. Descontos que são vetados pelo edital já que se tratam exclusivamente de mão-de-obra e de materiais.</w:t>
      </w:r>
    </w:p>
    <w:p w14:paraId="572B0096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7C269FD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Outrossim, alegou que a licitante vencedora deixou de cumprir os itens 4.6, alíneas “a” e “d”, prova de inscrição no Cadastro Nacional de Pessoa Jurídica e prova de regularidade com a Fazenda do Município de São Paulo.</w:t>
      </w:r>
    </w:p>
    <w:p w14:paraId="6868CD2C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7940F04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Foi aberto o prazo de 02 (dois) dias úteis para que a licitante AMDS ENGENHARIA E CONSTRUÇÕES LTDA-EPP apresentasse contrarrazões.</w:t>
      </w:r>
    </w:p>
    <w:p w14:paraId="2610D3DD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E9C7CBB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sua defesa, a licitante vencedora expressou que é descabia a alegação de descumprimento do item 5.3.6.3, pois a insurgente não comprovou cabalmente o desconto linear citado no recurso administrativo interposto.</w:t>
      </w:r>
    </w:p>
    <w:p w14:paraId="0469FBA9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14:paraId="70E84142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Ainda, expressou que é evidente que não foi apresentado preço global ou unitários simbólicos, irrisórios ou de valor zero, incompatíveis com os preços dos insumos e salários de mercado.</w:t>
      </w:r>
    </w:p>
    <w:p w14:paraId="191C6A07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21C5B7E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Quanto à alegação de descumprimento do item 4.6, alíneas “a” e “d”, a licitante vencedora aduziu que a prova de regularidade com a Fazenda do Município de São Paulo foi </w:t>
      </w:r>
      <w:proofErr w:type="gramStart"/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apresentado</w:t>
      </w:r>
      <w:proofErr w:type="gramEnd"/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na proposta, bem como a comprovação da inscrição da empresa no Cadastro Nacional de Pessoa Jurídica (CNPJ), encontra-se em “vários” documentos presentes no envelope de habilitação.</w:t>
      </w:r>
    </w:p>
    <w:p w14:paraId="44EEDF84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B01B6C7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feito foi remetido à </w:t>
      </w: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Divisão de Engenharia e Serviços de Manutenção para que se manifestação quanto aos argumentos apresentados. O setor técnico competente foi categórico ao afirmar que a empresa vencedora descumpriu o item 5.3.6.3 do instrumento convocatório ao apresentar oferta com desconto linear nos itens, “abrindo mão de salários e encargos”.</w:t>
      </w:r>
    </w:p>
    <w:p w14:paraId="2BCDB262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D411506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4D03C3B" w14:textId="77777777" w:rsidR="00C63503" w:rsidRPr="00C63503" w:rsidRDefault="00C63503" w:rsidP="00C63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CONCLUSÃO</w:t>
      </w:r>
    </w:p>
    <w:p w14:paraId="13A36DFE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BF527B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9CC3523" w14:textId="77777777" w:rsidR="00C63503" w:rsidRPr="00C63503" w:rsidRDefault="00C63503" w:rsidP="00C63503">
      <w:pPr>
        <w:spacing w:after="0" w:line="240" w:lineRule="auto"/>
        <w:ind w:left="570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A1F74AD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recurso administrativo da insurgente, bem como a manifestação técnica do setor competente aponta o descumprimento do item 5.3.6.3.</w:t>
      </w:r>
    </w:p>
    <w:p w14:paraId="03CBFF72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4136FC9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fato, ao analisar a proposta encaminhada pela empresa licitante, nota-se que a vencedora ofereceu desconto em mão de obra e materiais, o que viola o item citado do edital. Devendo, neste ponto, ser acolhida.</w:t>
      </w:r>
    </w:p>
    <w:p w14:paraId="38B454C7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9251933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Quanto à alegação de não apresentação da documentação prevista no item 4.6, alíneas “a” e “d”, não merece prosperar. Isto porque, em que pese à existência do princípio da vinculação ao instrumento convocatório, a Administração Pública não pode se ater ao formalismo exacerbado quando do julgamento dos documentos </w:t>
      </w:r>
      <w:proofErr w:type="spellStart"/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habilitatórios</w:t>
      </w:r>
      <w:proofErr w:type="spellEnd"/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um certame licitatório.</w:t>
      </w:r>
    </w:p>
    <w:p w14:paraId="1F44C199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BC3DF07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Neste sentido, o entendimento do Egrégio Tribunal de Contas da União no Acórdão 2239/2018, vejamos</w:t>
      </w:r>
    </w:p>
    <w:p w14:paraId="144FDE38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70CD98B" w14:textId="77777777" w:rsidR="00C63503" w:rsidRPr="00C63503" w:rsidRDefault="00C63503" w:rsidP="00C63503">
      <w:pPr>
        <w:spacing w:after="0" w:line="240" w:lineRule="auto"/>
        <w:ind w:left="169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i/>
          <w:iCs/>
          <w:color w:val="3A3A3A"/>
          <w:sz w:val="24"/>
          <w:szCs w:val="24"/>
          <w:shd w:val="clear" w:color="auto" w:fill="FFFFFF"/>
          <w:lang w:eastAsia="pt-BR"/>
        </w:rPr>
        <w:t xml:space="preserve">O entendimento adotado pela entidade de que diligência, ‘em qualquer tempo’, resulta necessariamente em ‘novas propostas’, com violação ao § 3° do art. 43 da Lei 8.666/93 e ao princípio da isonomia, encontra-se amplamente ultrapassado pela moderna jurisprudência deste Tribunal. O princípio da vinculação ao instrumento convocatório, em que se fundamenta a posição do Sebrae/PA, deve ser utilizado em equilíbrio com princípios maiores, como o do interesse público e o da seleção da proposta mais vantajosa, este último consagrado no art. 3º da Lei de Licitações. O formalismo moderado nos certames licitatórios </w:t>
      </w:r>
      <w:r w:rsidRPr="00C63503">
        <w:rPr>
          <w:rFonts w:ascii="Calibri" w:eastAsia="Times New Roman" w:hAnsi="Calibri" w:cs="Calibri"/>
          <w:i/>
          <w:iCs/>
          <w:color w:val="3A3A3A"/>
          <w:sz w:val="24"/>
          <w:szCs w:val="24"/>
          <w:shd w:val="clear" w:color="auto" w:fill="FFFFFF"/>
          <w:lang w:eastAsia="pt-BR"/>
        </w:rPr>
        <w:lastRenderedPageBreak/>
        <w:t>é fortemente incentivado pelo Tribunal de Contas da União, que compreende ser a diligência ‘medida simples que privilegia a obtenção da proposta mais vantajosa e evita a desclassificação indevida de propostas’</w:t>
      </w:r>
    </w:p>
    <w:p w14:paraId="2302831D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6CAC4E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E1AEBBB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Destarte, ante o exposto, o recurso administrativo interposto pela empresa DBL CONSTRUÇÕES LTDA por estar tempestivo e em conformidade com a legislação será </w:t>
      </w: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ADMITIDO</w:t>
      </w: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no mérito resta </w:t>
      </w:r>
      <w:r w:rsidRPr="00C635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PROCEDENTE</w:t>
      </w:r>
    </w:p>
    <w:p w14:paraId="39D20BAC" w14:textId="77777777" w:rsidR="00C63503" w:rsidRPr="00C63503" w:rsidRDefault="00C63503" w:rsidP="00C63503">
      <w:pPr>
        <w:spacing w:after="0" w:line="240" w:lineRule="auto"/>
        <w:ind w:left="570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A169BCD" w14:textId="77777777" w:rsidR="00C63503" w:rsidRPr="00C63503" w:rsidRDefault="00C63503" w:rsidP="00C63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atendimento ao parágrafo 4º, artigo 109, da Lei Federal n.º 8.666/93, remeta-se a decisão à apreciação do mérito pela autoridade superior.</w:t>
      </w:r>
    </w:p>
    <w:p w14:paraId="6063EAE7" w14:textId="77777777" w:rsidR="00C63503" w:rsidRPr="00C63503" w:rsidRDefault="00C63503" w:rsidP="00C63503">
      <w:pPr>
        <w:spacing w:after="0" w:line="240" w:lineRule="auto"/>
        <w:ind w:left="570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C63503" w:rsidRPr="00C63503" w14:paraId="091229FC" w14:textId="77777777" w:rsidTr="00C63503">
        <w:trPr>
          <w:trHeight w:val="2670"/>
        </w:trPr>
        <w:tc>
          <w:tcPr>
            <w:tcW w:w="91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77B2E" w14:textId="77777777" w:rsidR="00C63503" w:rsidRPr="00C63503" w:rsidRDefault="00C63503" w:rsidP="00C63503">
            <w:pPr>
              <w:spacing w:after="195" w:line="240" w:lineRule="auto"/>
              <w:ind w:left="57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35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0F7D76B2" w14:textId="77777777" w:rsidR="00C63503" w:rsidRPr="00C63503" w:rsidRDefault="00C63503" w:rsidP="00C63503">
            <w:pPr>
              <w:spacing w:after="195" w:line="240" w:lineRule="auto"/>
              <w:ind w:left="57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35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5B3F3C31" w14:textId="77777777" w:rsidR="00C63503" w:rsidRPr="00C63503" w:rsidRDefault="00C63503" w:rsidP="00C63503">
            <w:pPr>
              <w:spacing w:after="195" w:line="240" w:lineRule="auto"/>
              <w:ind w:left="57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35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FERNANDA RODGERIO COSTA</w:t>
            </w:r>
          </w:p>
          <w:p w14:paraId="23F5001D" w14:textId="77777777" w:rsidR="00C63503" w:rsidRPr="00C63503" w:rsidRDefault="00C63503" w:rsidP="00C63503">
            <w:pPr>
              <w:spacing w:after="195" w:line="240" w:lineRule="auto"/>
              <w:ind w:left="57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35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PRESIDENTE DA CPL-01</w:t>
            </w:r>
          </w:p>
        </w:tc>
      </w:tr>
    </w:tbl>
    <w:p w14:paraId="18E16D09" w14:textId="77777777" w:rsidR="00C63503" w:rsidRPr="00C63503" w:rsidRDefault="00C63503" w:rsidP="00C6350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6350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B20A67F" w14:textId="77777777" w:rsidR="00C63503" w:rsidRPr="00C63503" w:rsidRDefault="00C63503" w:rsidP="00C6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35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6AD1FC1" w14:textId="77777777" w:rsidR="007D0FDA" w:rsidRDefault="007D0FDA"/>
    <w:sectPr w:rsidR="007D0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03"/>
    <w:rsid w:val="007D0FDA"/>
    <w:rsid w:val="00C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9B8"/>
  <w15:chartTrackingRefBased/>
  <w15:docId w15:val="{76F8B16D-0503-4DE8-8593-08218A68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ntralizadotimbresecretaria">
    <w:name w:val="centralizado_timbre_secretaria"/>
    <w:basedOn w:val="Normal"/>
    <w:rsid w:val="00C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3503"/>
    <w:rPr>
      <w:b/>
      <w:bCs/>
    </w:rPr>
  </w:style>
  <w:style w:type="paragraph" w:customStyle="1" w:styleId="textocentralizado">
    <w:name w:val="texto_centralizado"/>
    <w:basedOn w:val="Normal"/>
    <w:rsid w:val="00C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 Barbosa Louzada Gimenes</dc:creator>
  <cp:keywords/>
  <dc:description/>
  <cp:lastModifiedBy>Rosely Barbosa Louzada Gimenes</cp:lastModifiedBy>
  <cp:revision>1</cp:revision>
  <dcterms:created xsi:type="dcterms:W3CDTF">2023-10-09T20:15:00Z</dcterms:created>
  <dcterms:modified xsi:type="dcterms:W3CDTF">2023-10-09T20:16:00Z</dcterms:modified>
</cp:coreProperties>
</file>