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Conselho Municipal de Direitos da Pessoa Idosa (CMI), NO USO DAS ATRIBUIÇÕES QUE LHE SÃO CONFERIDAS PELA LEI MUNICIPAL Nº 17.452/09/2020, com a disposição do seu REGIMENTO INTERNO, informa:</w:t>
      </w:r>
    </w:p>
    <w:p w:rsidR="00000000" w:rsidDel="00000000" w:rsidP="00000000" w:rsidRDefault="00000000" w:rsidRPr="00000000" w14:paraId="00000004">
      <w:pPr>
        <w:spacing w:after="8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440" w:lineRule="auto"/>
        <w:ind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ind w:firstLine="0"/>
        <w:jc w:val="right"/>
        <w:rPr>
          <w:rFonts w:ascii="Quattrocento Sans" w:cs="Quattrocento Sans" w:eastAsia="Quattrocento Sans" w:hAnsi="Quattrocento Sans"/>
          <w:b w:val="0"/>
          <w:sz w:val="22"/>
          <w:szCs w:val="22"/>
        </w:rPr>
      </w:pPr>
      <w:bookmarkStart w:colFirst="0" w:colLast="0" w:name="_heading=h.jymaje2c0wkh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Ata nº 28 – Ano de 2023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before="240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18.4" w:lineRule="auto"/>
        <w:ind w:right="4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 concordância com o Calendário Oficial do ano de 2023 do Conselho Municipal de Direitos da Pessoa Idosa (CMI),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 mês de dezembro não foi realizada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reunião ordinária 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Assembleia Geral do CMI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agendada para acontecer no dia 11 do mês, em decorrência dos processos de transição para o seu novo mandato (Gestão 2023/2025).</w:t>
      </w:r>
    </w:p>
    <w:p w:rsidR="00000000" w:rsidDel="00000000" w:rsidP="00000000" w:rsidRDefault="00000000" w:rsidRPr="00000000" w14:paraId="0000000A">
      <w:pPr>
        <w:spacing w:line="218.4" w:lineRule="auto"/>
        <w:ind w:right="4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18.4" w:lineRule="auto"/>
        <w:ind w:right="4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Abaixo disponibilizamos 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Calendário Oficial do ano de 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 alterações:</w:t>
      </w:r>
    </w:p>
    <w:p w:rsidR="00000000" w:rsidDel="00000000" w:rsidP="00000000" w:rsidRDefault="00000000" w:rsidRPr="00000000" w14:paraId="0000000D">
      <w:pPr>
        <w:spacing w:after="40" w:line="218.4" w:lineRule="auto"/>
        <w:ind w:right="4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5439735" cy="3848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20" w:w="11900" w:orient="portrait"/>
      <w:pgMar w:bottom="1397" w:top="1416" w:left="1701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196433" cy="9439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     </w:t>
    </w:r>
    <w:r w:rsidDel="00000000" w:rsidR="00000000" w:rsidRPr="00000000">
      <w:rPr>
        <w:rFonts w:ascii="Calibri" w:cs="Calibri" w:eastAsia="Calibri" w:hAnsi="Calibri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1454150" cy="4095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150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GmIX0Gtl2H2PEmXX684ZL5PwQ==">CgMxLjAyDmguanltYWplMmMwd2toOAByITFhcmNrYnJ0eFgzUmJkT0laU050MTQ3RUs1Q0FoVy1PaA==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