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PUBLICAÇÃO Nº 142/CMDCA-SP/2023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Conselho Municipal dos Direitos da Criança e do Adolescente da Cidade de São Paulo – CMDCA/SP, no uso das atribuições que lhes são conferidas pela Lei nº 8.069/90 e com fulcro no que dispõe o art. 36 da Lei nº 17.827, de 7 de julho de 2022, torna público o extrato de ata de Reunião de 25/08/2023 da Comissão Eleitoral Central do Processo de Escolha Unificado dos membros dos Conselhos Tutelares no Município de São Paulo 2023 (mandato 2024-2028), designada pela Publicação nº 075/CMDCA-SP/2023 (Diário Oficial da Cidade de São Paulo - 29/06/2023).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ATA DE REUNIÃO - COMISSÃO ELEITORAL CENTRAL - 25/08/2023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 da Câmara: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Camila Lustosa (Titular).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do Fórum: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Mauro Caseri (Titular) e Jorge Artur Canfield (Suplente).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da SMDHC: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Andréia dos Santos Pereira (Titular), Bárbara Vicente (Titular), Tifani Coelho (Titular), Damaris Therezinha (Suplente) e Elizete Regina Nicolini (Suplente).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do CMDCA - Governo: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Esequias Marcelino da Silva Filho (Titular) e Cleusa Guimarães (Titular - CMDCA).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do CMDCA - Soc. civil: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de Souza Junior (Suplente - CMDCA), Maria Elineuba Bezerra de Souza (Titular) e Fernanda Celi de Souza Oliveira (Suplente).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Faltas Justificadas: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Marcelo Panico (Titular - CMDCA).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equipe administrativa inicia a reunião às 15:30, estando presentes os titulares e suplentes nomeados acima, com o objetivo de definir mais detalhadamente as regras da campanha dispostas pelo Edital 002/CMDCA-SP/2023: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Campanha Eleitoral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equipe administrativa apresenta Minuta do Manual da Campanha, informando que a Comissão terá até domingo (27/08) para avaliação e contribuições ao documento, para que se possa publicar o referido Manual até a segunda-feira (28/08).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Além disso, a equipe administrativa sugere que este manual seja enviado a todos os candidatos na segunda-feira e que a Comissão dê um prazo de 24 horas, a partir desta notificação, para retirada de qualquer material de campanha coletivo que tenha sido veiculado, considerando a grande demanda de dúvidas recebidas e confusões a respeito da campanha e propaganda/divulgação.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se demonstra contrária a esta sugestão, porque as pessoas que foram indeferidas anteriormente não tiveram a oportunidade de esperar esta notificação. Além disso, considera que este intervalo de 24 horas pode ser utilizado como argumento para que alguns candidatos publiquem suas chapas com o pressuposto de não serem punidos durante este intervalo de tempo.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relembra que os motivos de impugnação anteriores se referiam à campanha antecipada, não à composição de chapa/material coletivo. Camila responde que ambas as vedações estão expressas no Edital. Carlos Alberto discorda do prazo de 24 horas, porque não o considera passível de controle, já que existem postagem em redes sociais que não são públicas. Por fim, defende a impugnação de qualquer candidato com artes coletivas divulgadas pelo próprio candidato e que a Comissão deve analisar divulgação de materiais coletivos feitas por terceiros, caso a caso, considerando problemáticas de influência e abuso de poder político ou econômico. 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Fernanda compartilha exemplo de conhecida que juntou santinhos de candidatos e divulgou para demonstrar em quem votaria e relembra que, em geral, a população é leiga e desconhece as regras do Edital. Seguindo esta linha de pensamento, Elineuba e Esequias questionam como a Comissão entenderá casos de divulgação coletiva feita por munícipes, tanto pelo desconhecimento das regras do Edital, quanto pela tentativa de prejudicar certos candidatos.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defende que o candidato não tem meios de controlar postagens e divulgações de terceiros e, portanto, não pode ser punido por isto. Jorge Artur afirma que indeferimento não é punição.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e Bárbara defendem que o candidato é responsável por sua imagem. Carlos Alberto acrescenta que o problema não é o munícipe divulgar de forma leiga, mas sim outras forças políticas/econômicas tirarem vantagem desta omissão. Camila responde que a Lei Federal 9.504/1997 menciona que o candidato é responsável por sua imagem apenas para estabelecer direito de resposta em caso de calúnias.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Camila, Fernanda e Elineuba defendem que não se pode impedir o eleitor por dizer e divulgar seus candidatos. 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à denúncia contra as candidatas N.S.C., R.L.R.M. e M.R.S., a comissão deliberou por impugnar somente a candidata que postou a arte, já que não se pode inferir que as demais candidatas estivessem em acordo com esta publicação. Portanto, a Comissão entendeu pela impugnação da candidatura da Srª R.L.R.M e pela notificação das demais candidatas.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Fernanda defende que há uma contradição quando se defende que as duas candidatas denunciadas sejam apenas advertidas (por presunção de que estas não estejam ou não saibam da postagem) e punir os futuros candidatos denunciados por veiculação de terceiros.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Fernanda, Camila e Elineuba demonstram-se contrárias a punir candidatos por propaganda feita por terceiros.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defende a proibição de materiais coletivos, já que permitir a divulgação de material coletivo por terceiros, na prática, em sua opinião, é permitir a formação encoberta de chapas. Acrescenta que, se a Comissão não tem meios para definir uma regra e medida de influência, deve-se analisar caso a caso.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encerrar a discussão, Elizete relembra as atribuições da Comissão Eleitoral Central definidas pelo Edital e conclui que esta Comissão não tem papel fiscalizador, acolhendo e analisando denúncias caso a caso.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Finalmente, Carlos Alberto solicita que conste em ata que a Comissão deve discutir vazamento de informações, pois recebeu mensagens questionando sobre a mudança do DE/PARA, com dados específicos da lista antes mesmo que houvesse publicação em Diário Oficial da Cidade e que, ao voltar à Conferência Municipal de Assistência Social, muitos já sabiam destas alterações também. Elineuba afirma que tal relato é muito grave e demonstra-se favorável a uma apuração do caso.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a reunião é encerrada, enquanto eu, Talita Patricio Perez, lavro a presente ata.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