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142/CMDCA-SP/2023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25/08/2023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- 25/08/2023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 da Câmara: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Camila Lustosa (Titular).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do Fórum: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Mauro Caseri (Titular) e Jorge Artur Canfield (Suplente).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Andréia dos Santos Pereira (Titular), Bárbara Vicente (Titular), Tifani Coelho (Titular), Damaris Therezinha (Suplente) e Elizete Regina Nicolini (Suplente).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Esequias Marcelino da Silva Filho (Titular) e Cleusa Guimarães (Titular - CMDCA).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de Souza Junior (Suplente - CMDCA), Maria Elineuba Bezerra de Souza (Titular) e Fernanda Celi de Souza Oliveira (Suplente).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Faltas Justificadas: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Marcelo Panico (Titular - CMDCA).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equipe administrativa inicia a reunião às 15:30, estando presentes os titulares e suplentes nomeados acima, com o objetivo de definir mais detalhadamente as regras da campanha dispostas pelo Edital 002/CMDCA-SP/2023: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Campanha Eleitoral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equipe administrativa apresenta Minuta do Manual da Campanha, informando que a Comissão terá até domingo (27/08) para avaliação e contribuições ao documento, para que se possa publicar o referido Manual até a segunda-feira (28/08).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Além disso, a equipe administrativa sugere que este manual seja enviado a todos os candidatos na segunda-feira e que a Comissão dê um prazo de 24 horas, a partir desta notificação, para retirada de qualquer material de campanha coletivo que tenha sido veiculado, considerando a grande demanda de dúvidas recebidas e confusões a respeito da campanha e propaganda/divulgação. 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se demonstra contrária a esta sugestão, porque as pessoas que foram indeferidas anteriormente não tiveram a oportunidade de esperar esta notificação. Além disso, considera que este intervalo de 24 horas pode ser utilizado como argumento para que alguns candidatos publiquem suas chapas com o pressuposto de não serem punidos durante este intervalo de tempo.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relembra que os motivos de impugnação anteriores se referiam à campanha antecipada, não à composição de chapa/material coletivo. Camila responde que ambas as vedações estão expressas no Edital. Carlos Alberto discorda do prazo de 24 horas, porque não o considera passível de controle, já que existem postagem em redes sociais que não são públicas. Por fim, defende a impugnação de qualquer candidato com artes coletivas divulgadas pelo próprio candidato e que a Comissão deve analisar divulgação de materiais coletivos feitas por terceiros, caso a caso, considerando problemáticas de influência e abuso de poder político ou econômico. 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Fernanda compartilha exemplo de conhecida que juntou santinhos de candidatos e divulgou para demonstrar em quem votaria e relembra que, em geral, a população é leiga e desconhece as regras do Edital. Seguindo esta linha de pensamento, Elineuba e Esequias questionam como a Comissão entenderá casos de divulgação coletiva feita por munícipes, tanto pelo desconhecimento das regras do Edital, quanto pela tentativa de prejudicar certos candidatos.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defende que o candidato não tem meios de controlar postagens e divulgações de terceiros e, portanto, não pode ser punido por isto. Jorge Artur afirma que indeferimento não é punição.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e Bárbara defendem que o candidato é responsável por sua imagem. Carlos Alberto acrescenta que o problema não é o munícipe divulgar de forma leiga, mas sim outras forças políticas/econômicas tirarem vantagem desta omissão. Camila responde que a Lei Federal 9.504/1997 menciona que o candidato é responsável por sua imagem apenas para estabelecer direito de resposta em caso de calúnias.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Camila, Fernanda e Elineuba defendem que não se pode impedir o eleitor por dizer e divulgar seus candidatos. 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à denúncia contra as candidatas N.S.C., R.L.R.M. e M.R.S., a comissão deliberou por impugnar somente a candidata que postou a arte, já que não se pode inferir que as demais candidatas estivessem em acordo com esta publicação. Portanto, a Comissão entendeu pela impugnação da candidatura da Srª R.L.R.M e pela notificação das demais candidatas.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Fernanda defende que há uma contradição quando se defende que as duas candidatas denunciadas sejam apenas advertidas (por presunção de que estas não estejam ou não saibam da postagem) e punir os futuros candidatos denunciados por veiculação de terceiros.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Fernanda, Camila e Elineuba demonstram-se contrárias a punir candidatos por propaganda feita por terceiros.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defende a proibição de materiais coletivos, já que permitir a divulgação de material coletivo por terceiros, na prática, em sua opinião, é permitir a formação encoberta de chapas. Acrescenta que, se a Comissão não tem meios para definir uma regra e medida de influência, deve-se analisar caso a caso.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encerrar a discussão, Elizete relembra as atribuições da Comissão Eleitoral Central definidas pelo Edital e conclui que esta Comissão não tem papel fiscalizador, acolhendo e analisando denúncias caso a caso.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Finalmente, Carlos Alberto solicita que conste em ata que a Comissão deve discutir vazamento de informações, pois recebeu mensagens questionando sobre a mudança do DE/PARA, com dados específicos da lista antes mesmo que houvesse publicação em Diário Oficial da Cidade e que, ao voltar à Conferência Municipal de Assistência Social, muitos já sabiam destas alterações também. Elineuba afirma que tal relato é muito grave e demonstra-se favorável a uma apuração do caso.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