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7"/>
        <w:ind w:left="778" w:right="248" w:firstLine="0"/>
        <w:jc w:val="center"/>
        <w:rPr>
          <w:b/>
          <w:sz w:val="24"/>
        </w:rPr>
      </w:pPr>
      <w:r>
        <w:rPr>
          <w:b/>
          <w:sz w:val="24"/>
        </w:rPr>
        <w:t>Comissão Municipal de Erradicação do Trabalho Escravo</w:t>
      </w:r>
    </w:p>
    <w:p>
      <w:pPr>
        <w:pStyle w:val="Heading1"/>
        <w:spacing w:before="146"/>
        <w:ind w:left="789" w:right="248"/>
        <w:jc w:val="center"/>
      </w:pPr>
      <w:r>
        <w:rPr/>
        <w:t>04 de outubro de 2018</w:t>
      </w:r>
    </w:p>
    <w:p>
      <w:pPr>
        <w:pStyle w:val="BodyText"/>
        <w:spacing w:before="131"/>
        <w:ind w:left="793" w:right="248" w:firstLine="0"/>
        <w:jc w:val="center"/>
      </w:pPr>
      <w:r>
        <w:rPr/>
        <w:t>Rua Líbero Badaró, 119, Secretaria Municipal de Direitos Humanos e Cidadania –</w:t>
      </w:r>
    </w:p>
    <w:p>
      <w:pPr>
        <w:pStyle w:val="BodyText"/>
        <w:spacing w:before="127"/>
        <w:ind w:left="242" w:right="248" w:firstLine="0"/>
        <w:jc w:val="center"/>
      </w:pPr>
      <w:r>
        <w:rPr/>
        <w:t>Auditório Térreo.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6"/>
        <w:ind w:left="0" w:firstLine="0"/>
        <w:rPr>
          <w:sz w:val="19"/>
        </w:rPr>
      </w:pPr>
    </w:p>
    <w:p>
      <w:pPr>
        <w:pStyle w:val="Heading1"/>
        <w:ind w:left="783" w:right="248"/>
        <w:jc w:val="center"/>
      </w:pPr>
      <w:r>
        <w:rPr>
          <w:u w:val="thick"/>
        </w:rPr>
        <w:t>ATA XLII REUNIÃO ORDINÁRIA</w:t>
      </w: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10"/>
        <w:ind w:left="0" w:firstLine="0"/>
        <w:rPr>
          <w:b/>
          <w:sz w:val="15"/>
        </w:rPr>
      </w:pPr>
    </w:p>
    <w:p>
      <w:pPr>
        <w:spacing w:before="94"/>
        <w:ind w:left="662" w:right="0" w:firstLine="0"/>
        <w:jc w:val="left"/>
        <w:rPr>
          <w:sz w:val="22"/>
        </w:rPr>
      </w:pPr>
      <w:r>
        <w:rPr>
          <w:b/>
          <w:sz w:val="22"/>
        </w:rPr>
        <w:t>Presentes</w:t>
      </w:r>
      <w:r>
        <w:rPr>
          <w:sz w:val="22"/>
        </w:rPr>
        <w:t>:</w:t>
      </w:r>
    </w:p>
    <w:p>
      <w:pPr>
        <w:pStyle w:val="Heading2"/>
        <w:spacing w:before="131"/>
        <w:rPr>
          <w:i/>
        </w:rPr>
      </w:pPr>
      <w:r>
        <w:rPr>
          <w:i/>
        </w:rPr>
        <w:t>Membros do Poder Público Municipal:</w:t>
      </w:r>
    </w:p>
    <w:p>
      <w:pPr>
        <w:pStyle w:val="BodyText"/>
        <w:spacing w:line="360" w:lineRule="auto" w:before="126"/>
        <w:ind w:right="117"/>
        <w:jc w:val="both"/>
      </w:pPr>
      <w:r>
        <w:rPr/>
        <w:t>Luciana Elena Vázquez (SMDHC/CPMigTD); Bryan Sempertegui Rodas (SMDHC/CPMigTD); Rebeca Bicudo Duran (CRAI); Tereza Macêdo Vidal (SMS-COVISA); Marta Almeida Conceição (SMS); Sueli de Paula Santos (SMADS-CPSB); Maria Silvia Matano (SME); Erik Chiconelli Gomes (SMDE); Monique P. Garrido (SMPED-COPPI); Bruna Mammi Starling Diniz (SMRI).</w:t>
      </w:r>
    </w:p>
    <w:p>
      <w:pPr>
        <w:pStyle w:val="Heading2"/>
        <w:spacing w:line="252" w:lineRule="exact"/>
        <w:rPr>
          <w:i/>
        </w:rPr>
      </w:pPr>
      <w:r>
        <w:rPr>
          <w:i/>
        </w:rPr>
        <w:t>Membros da Sociedade Civil:</w:t>
      </w:r>
    </w:p>
    <w:p>
      <w:pPr>
        <w:pStyle w:val="BodyText"/>
        <w:spacing w:line="362" w:lineRule="auto" w:before="126"/>
        <w:ind w:right="115"/>
        <w:jc w:val="both"/>
      </w:pPr>
      <w:r>
        <w:rPr/>
        <w:t>Camila Zelezoglo (ABIT); Débora Anfimof Sergio (ABVTEX); Patrícia  Almeida Ramos (AMATRA-2); Ademar Silva Rosa (AMATRA-2); Isabel Torres </w:t>
      </w:r>
      <w:r>
        <w:rPr>
          <w:spacing w:val="-3"/>
        </w:rPr>
        <w:t>(CAMI); </w:t>
      </w:r>
      <w:r>
        <w:rPr/>
        <w:t>Nathália Conde Napolitano (CDHIC); Letícia Carvalho </w:t>
      </w:r>
      <w:r>
        <w:rPr>
          <w:spacing w:val="-3"/>
        </w:rPr>
        <w:t>(Missão </w:t>
      </w:r>
      <w:r>
        <w:rPr/>
        <w:t>Paz); Natália Suzuki (Repórter Brasil); Julia Catez da Cunha Cruz</w:t>
      </w:r>
      <w:r>
        <w:rPr>
          <w:spacing w:val="-4"/>
        </w:rPr>
        <w:t> </w:t>
      </w:r>
      <w:r>
        <w:rPr/>
        <w:t>(CONECTAS).</w:t>
      </w:r>
    </w:p>
    <w:p>
      <w:pPr>
        <w:pStyle w:val="Heading2"/>
        <w:spacing w:line="247" w:lineRule="exact"/>
        <w:rPr>
          <w:i/>
        </w:rPr>
      </w:pPr>
      <w:r>
        <w:rPr>
          <w:i/>
        </w:rPr>
        <w:t>Instituições Observadoras:</w:t>
      </w:r>
    </w:p>
    <w:p>
      <w:pPr>
        <w:pStyle w:val="BodyText"/>
        <w:spacing w:line="360" w:lineRule="auto" w:before="127"/>
        <w:ind w:right="117"/>
      </w:pPr>
      <w:r>
        <w:rPr/>
        <w:t>Nara de Souza (DPU); Lívia dos Santos Ferreira (MTb); André Roston  (MTb); Claude Henri Appy (MPT-PRT2); Antonio Mello</w:t>
      </w:r>
      <w:r>
        <w:rPr>
          <w:spacing w:val="3"/>
        </w:rPr>
        <w:t> </w:t>
      </w:r>
      <w:r>
        <w:rPr/>
        <w:t>(OIT).</w:t>
      </w:r>
    </w:p>
    <w:p>
      <w:pPr>
        <w:pStyle w:val="BodyText"/>
        <w:spacing w:before="6"/>
        <w:ind w:left="0" w:firstLine="0"/>
        <w:rPr>
          <w:sz w:val="32"/>
        </w:rPr>
      </w:pPr>
    </w:p>
    <w:p>
      <w:pPr>
        <w:pStyle w:val="Heading1"/>
        <w:rPr>
          <w:b w:val="0"/>
        </w:rPr>
      </w:pPr>
      <w:r>
        <w:rPr/>
        <w:t>Pautas</w:t>
      </w:r>
      <w:r>
        <w:rPr>
          <w:b w:val="0"/>
        </w:rPr>
        <w:t>: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31" w:after="0"/>
        <w:ind w:left="840" w:right="0" w:hanging="178"/>
        <w:jc w:val="left"/>
        <w:rPr>
          <w:sz w:val="22"/>
        </w:rPr>
      </w:pPr>
      <w:r>
        <w:rPr>
          <w:sz w:val="22"/>
        </w:rPr>
        <w:t>Ata da Reunião</w:t>
      </w:r>
      <w:r>
        <w:rPr>
          <w:spacing w:val="-3"/>
          <w:sz w:val="22"/>
        </w:rPr>
        <w:t> </w:t>
      </w:r>
      <w:r>
        <w:rPr>
          <w:sz w:val="22"/>
        </w:rPr>
        <w:t>XLI;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24" w:after="0"/>
        <w:ind w:left="840" w:right="0" w:hanging="178"/>
        <w:jc w:val="left"/>
        <w:rPr>
          <w:sz w:val="22"/>
        </w:rPr>
      </w:pPr>
      <w:r>
        <w:rPr>
          <w:sz w:val="22"/>
        </w:rPr>
        <w:t>Informes: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24" w:after="0"/>
        <w:ind w:left="1560" w:right="0" w:hanging="538"/>
        <w:jc w:val="left"/>
        <w:rPr>
          <w:sz w:val="22"/>
        </w:rPr>
      </w:pPr>
      <w:r>
        <w:rPr>
          <w:sz w:val="22"/>
        </w:rPr>
        <w:t>V Encontro de</w:t>
      </w:r>
      <w:r>
        <w:rPr>
          <w:spacing w:val="1"/>
          <w:sz w:val="22"/>
        </w:rPr>
        <w:t> </w:t>
      </w:r>
      <w:r>
        <w:rPr>
          <w:sz w:val="22"/>
        </w:rPr>
        <w:t>COETRAEs;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843" w:footer="1184" w:top="2900" w:bottom="1380" w:left="1580" w:right="1580"/>
        </w:sectPr>
      </w:pPr>
    </w:p>
    <w:p>
      <w:pPr>
        <w:pStyle w:val="ListParagraph"/>
        <w:numPr>
          <w:ilvl w:val="2"/>
          <w:numId w:val="1"/>
        </w:numPr>
        <w:tabs>
          <w:tab w:pos="1546" w:val="left" w:leader="none"/>
        </w:tabs>
        <w:spacing w:line="362" w:lineRule="auto" w:before="137" w:after="0"/>
        <w:ind w:left="1545" w:right="126" w:hanging="360"/>
        <w:jc w:val="both"/>
        <w:rPr>
          <w:sz w:val="22"/>
        </w:rPr>
      </w:pPr>
      <w:r>
        <w:rPr>
          <w:sz w:val="22"/>
        </w:rPr>
        <w:t>Oficina “Incorporação das Temáticas de Gênero e Raça/Etnia/Origem nas Estratégias de Redução da Pobreza e Geração de Emprego e Renda”, realizada pela</w:t>
      </w:r>
      <w:r>
        <w:rPr>
          <w:spacing w:val="-1"/>
          <w:sz w:val="22"/>
        </w:rPr>
        <w:t> </w:t>
      </w:r>
      <w:r>
        <w:rPr>
          <w:sz w:val="22"/>
        </w:rPr>
        <w:t>OIT;</w:t>
      </w:r>
    </w:p>
    <w:p>
      <w:pPr>
        <w:pStyle w:val="ListParagraph"/>
        <w:numPr>
          <w:ilvl w:val="2"/>
          <w:numId w:val="1"/>
        </w:numPr>
        <w:tabs>
          <w:tab w:pos="1560" w:val="left" w:leader="none"/>
          <w:tab w:pos="1561" w:val="left" w:leader="none"/>
        </w:tabs>
        <w:spacing w:line="250" w:lineRule="exact" w:before="0" w:after="0"/>
        <w:ind w:left="1560" w:right="0" w:hanging="360"/>
        <w:jc w:val="left"/>
        <w:rPr>
          <w:sz w:val="22"/>
        </w:rPr>
      </w:pPr>
      <w:r>
        <w:rPr>
          <w:sz w:val="22"/>
        </w:rPr>
        <w:t>Informes Gerais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25" w:after="0"/>
        <w:ind w:left="840" w:right="0" w:hanging="178"/>
        <w:jc w:val="left"/>
        <w:rPr>
          <w:sz w:val="22"/>
        </w:rPr>
      </w:pPr>
      <w:r>
        <w:rPr>
          <w:sz w:val="22"/>
        </w:rPr>
        <w:t>Regularização</w:t>
      </w:r>
      <w:r>
        <w:rPr>
          <w:spacing w:val="1"/>
          <w:sz w:val="22"/>
        </w:rPr>
        <w:t> </w:t>
      </w:r>
      <w:r>
        <w:rPr>
          <w:sz w:val="22"/>
        </w:rPr>
        <w:t>interna: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25" w:after="0"/>
        <w:ind w:left="1560" w:right="0" w:hanging="360"/>
        <w:jc w:val="left"/>
        <w:rPr>
          <w:sz w:val="22"/>
        </w:rPr>
      </w:pPr>
      <w:r>
        <w:rPr>
          <w:sz w:val="22"/>
        </w:rPr>
        <w:t>Informe sobre Secretarias Municipais e organizações da sociedade</w:t>
      </w:r>
      <w:r>
        <w:rPr>
          <w:spacing w:val="-20"/>
          <w:sz w:val="22"/>
        </w:rPr>
        <w:t> </w:t>
      </w:r>
      <w:r>
        <w:rPr>
          <w:sz w:val="22"/>
        </w:rPr>
        <w:t>civil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26" w:after="0"/>
        <w:ind w:left="1560" w:right="0" w:hanging="360"/>
        <w:jc w:val="left"/>
        <w:rPr>
          <w:sz w:val="22"/>
        </w:rPr>
      </w:pPr>
      <w:r>
        <w:rPr>
          <w:sz w:val="22"/>
        </w:rPr>
        <w:t>Alteração ou inclusão de membros da</w:t>
      </w:r>
      <w:r>
        <w:rPr>
          <w:spacing w:val="-5"/>
          <w:sz w:val="22"/>
        </w:rPr>
        <w:t> </w:t>
      </w:r>
      <w:r>
        <w:rPr>
          <w:sz w:val="22"/>
        </w:rPr>
        <w:t>COMTRAE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26" w:after="0"/>
        <w:ind w:left="840" w:right="0" w:hanging="178"/>
        <w:jc w:val="left"/>
        <w:rPr>
          <w:sz w:val="22"/>
        </w:rPr>
      </w:pPr>
      <w:r>
        <w:rPr>
          <w:sz w:val="22"/>
        </w:rPr>
        <w:t>Regimento</w:t>
      </w:r>
      <w:r>
        <w:rPr>
          <w:spacing w:val="-3"/>
          <w:sz w:val="22"/>
        </w:rPr>
        <w:t> </w:t>
      </w:r>
      <w:r>
        <w:rPr>
          <w:sz w:val="22"/>
        </w:rPr>
        <w:t>Interno: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25" w:after="0"/>
        <w:ind w:left="1560" w:right="0" w:hanging="360"/>
        <w:jc w:val="left"/>
        <w:rPr>
          <w:sz w:val="22"/>
        </w:rPr>
      </w:pPr>
      <w:r>
        <w:rPr>
          <w:sz w:val="22"/>
        </w:rPr>
        <w:t>Apresentação das alterações da primeira parte do</w:t>
      </w:r>
      <w:r>
        <w:rPr>
          <w:spacing w:val="-13"/>
          <w:sz w:val="22"/>
        </w:rPr>
        <w:t> </w:t>
      </w:r>
      <w:r>
        <w:rPr>
          <w:sz w:val="22"/>
        </w:rPr>
        <w:t>texto;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  <w:tab w:pos="1561" w:val="left" w:leader="none"/>
        </w:tabs>
        <w:spacing w:line="240" w:lineRule="auto" w:before="126" w:after="0"/>
        <w:ind w:left="1560" w:right="0" w:hanging="360"/>
        <w:jc w:val="left"/>
        <w:rPr>
          <w:sz w:val="22"/>
        </w:rPr>
      </w:pPr>
      <w:r>
        <w:rPr>
          <w:sz w:val="22"/>
        </w:rPr>
        <w:t>Leitura conjunta e alterações da segunda metade do</w:t>
      </w:r>
      <w:r>
        <w:rPr>
          <w:spacing w:val="-7"/>
          <w:sz w:val="22"/>
        </w:rPr>
        <w:t> </w:t>
      </w:r>
      <w:r>
        <w:rPr>
          <w:sz w:val="22"/>
        </w:rPr>
        <w:t>texto.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6"/>
        <w:ind w:left="0" w:firstLine="0"/>
        <w:rPr>
          <w:sz w:val="19"/>
        </w:rPr>
      </w:pPr>
    </w:p>
    <w:p>
      <w:pPr>
        <w:pStyle w:val="Heading1"/>
      </w:pPr>
      <w:r>
        <w:rPr/>
        <w:t>Reunião:</w:t>
      </w:r>
    </w:p>
    <w:p>
      <w:pPr>
        <w:pStyle w:val="BodyText"/>
        <w:spacing w:before="127"/>
        <w:ind w:left="662" w:firstLine="0"/>
      </w:pPr>
      <w:r>
        <w:rPr/>
        <w:t>A reunião teve inicio com uma breve apresentação dos membros presentes.</w:t>
      </w:r>
    </w:p>
    <w:p>
      <w:pPr>
        <w:pStyle w:val="BodyText"/>
        <w:ind w:left="0" w:firstLine="0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1200" w:val="left" w:leader="none"/>
          <w:tab w:pos="1201" w:val="left" w:leader="none"/>
        </w:tabs>
        <w:spacing w:line="240" w:lineRule="auto" w:before="210" w:after="0"/>
        <w:ind w:left="1200" w:right="0" w:hanging="663"/>
        <w:jc w:val="left"/>
      </w:pPr>
      <w:r>
        <w:rPr>
          <w:spacing w:val="-3"/>
        </w:rPr>
        <w:t>Ata </w:t>
      </w:r>
      <w:r>
        <w:rPr/>
        <w:t>da Reunião</w:t>
      </w:r>
      <w:r>
        <w:rPr>
          <w:spacing w:val="7"/>
        </w:rPr>
        <w:t> </w:t>
      </w:r>
      <w:r>
        <w:rPr/>
        <w:t>XLI</w:t>
      </w:r>
    </w:p>
    <w:p>
      <w:pPr>
        <w:pStyle w:val="BodyText"/>
        <w:spacing w:before="126"/>
        <w:ind w:left="662" w:firstLine="0"/>
      </w:pPr>
      <w:r>
        <w:rPr/>
        <w:t>A aprovação da ata da XlI reunião foi postergada para o próximo encontro.</w:t>
      </w:r>
    </w:p>
    <w:p>
      <w:pPr>
        <w:pStyle w:val="BodyText"/>
        <w:ind w:left="0" w:firstLine="0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1200" w:val="left" w:leader="none"/>
          <w:tab w:pos="1201" w:val="left" w:leader="none"/>
        </w:tabs>
        <w:spacing w:line="240" w:lineRule="auto" w:before="211" w:after="0"/>
        <w:ind w:left="1200" w:right="0" w:hanging="725"/>
        <w:jc w:val="left"/>
      </w:pPr>
      <w:r>
        <w:rPr/>
        <w:t>Informes: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  <w:tab w:pos="1561" w:val="left" w:leader="none"/>
        </w:tabs>
        <w:spacing w:line="240" w:lineRule="auto" w:before="122" w:after="0"/>
        <w:ind w:left="662" w:right="0" w:firstLine="0"/>
        <w:jc w:val="left"/>
        <w:rPr>
          <w:b/>
          <w:sz w:val="22"/>
        </w:rPr>
      </w:pPr>
      <w:r>
        <w:rPr>
          <w:b/>
          <w:sz w:val="22"/>
        </w:rPr>
        <w:t>V Encontro Nacional Encontro </w:t>
      </w:r>
      <w:r>
        <w:rPr>
          <w:b/>
          <w:spacing w:val="-3"/>
          <w:sz w:val="22"/>
        </w:rPr>
        <w:t>de</w:t>
      </w:r>
      <w:r>
        <w:rPr>
          <w:b/>
          <w:spacing w:val="8"/>
          <w:sz w:val="22"/>
        </w:rPr>
        <w:t> </w:t>
      </w:r>
      <w:r>
        <w:rPr>
          <w:b/>
          <w:spacing w:val="-3"/>
          <w:sz w:val="22"/>
        </w:rPr>
        <w:t>COETRAEs</w:t>
      </w:r>
    </w:p>
    <w:p>
      <w:pPr>
        <w:pStyle w:val="BodyText"/>
        <w:spacing w:before="126"/>
        <w:ind w:right="114"/>
        <w:jc w:val="both"/>
      </w:pPr>
      <w:r>
        <w:rPr/>
        <w:t>A Sra. Luciana (SMDHC/ CPMigTD) iniciou a pauta comentando que ela e a Sra. Letícia (Missão Paz) representaram a COMTRAE no V Encontro Nacional de COETRAEs. Nesta edição, o Encontro foi realizado em parceria com a OIT e foram convidados, além das COETRAES, os Núcleos de Enfrentamento ao Tráfico de Pessoas – NETPs, a fim de promover a aproximação entre ambas temáticas.</w:t>
      </w:r>
    </w:p>
    <w:p>
      <w:pPr>
        <w:pStyle w:val="BodyText"/>
        <w:spacing w:before="118"/>
        <w:ind w:right="114"/>
        <w:jc w:val="both"/>
      </w:pPr>
      <w:r>
        <w:rPr/>
        <w:t>Sra. Letícia destacou que o Encontro contou com a participação dos seguintes membros da COMTRAE: Sr. André Roston (MTE), Sra. Natália Suzuki (Repórter Brasil), Sra. Verônica Freire (COETRAE-SP), Sra. Carla Aguilar (CAMI).</w:t>
      </w:r>
    </w:p>
    <w:p>
      <w:pPr>
        <w:pStyle w:val="BodyText"/>
        <w:spacing w:before="120"/>
        <w:ind w:right="115"/>
        <w:jc w:val="both"/>
      </w:pPr>
      <w:r>
        <w:rPr/>
        <w:t>A Sra. Luciana informou que as COETRAES se comprometeram a enviar aos candidatos a governador e presidente ofícios com uma carta de compromisso para a erradicação do trabalho escravo, elaborada e aprovada no Encontro. Também destacou que no evento foi apresentada a plataforma Monitora, de acompanhamento e monitoramento dos planos de erradicação do trabalho escravo, desenvolvida pelo MPT e pela OIT.</w:t>
      </w:r>
    </w:p>
    <w:p>
      <w:pPr>
        <w:spacing w:after="0"/>
        <w:jc w:val="both"/>
        <w:sectPr>
          <w:pgSz w:w="12240" w:h="15840"/>
          <w:pgMar w:header="843" w:footer="1184" w:top="2900" w:bottom="1380" w:left="1580" w:right="1580"/>
        </w:sectPr>
      </w:pPr>
    </w:p>
    <w:p>
      <w:pPr>
        <w:pStyle w:val="BodyText"/>
        <w:spacing w:before="137"/>
        <w:ind w:right="119"/>
        <w:jc w:val="both"/>
      </w:pPr>
      <w:r>
        <w:rPr/>
        <w:t>A Sra. Natália (Repórter Brasil) destacou que a COETRAE-SP não enviou a carta compromisso aos candidatos paulistanos.</w:t>
      </w:r>
    </w:p>
    <w:p>
      <w:pPr>
        <w:pStyle w:val="BodyText"/>
        <w:spacing w:before="122"/>
        <w:ind w:right="113"/>
        <w:jc w:val="both"/>
      </w:pPr>
      <w:r>
        <w:rPr/>
        <w:t>Pelo fato de algumas instituições terem representação tanto na COMTRAE quanto na COETRAE, a Sra. Luciana sugeriu a apresentação de informes sobre as </w:t>
      </w:r>
      <w:r>
        <w:rPr>
          <w:spacing w:val="3"/>
        </w:rPr>
        <w:t>duas </w:t>
      </w:r>
      <w:r>
        <w:rPr/>
        <w:t>comissões, de forma que os membros de ambos dos colegiados acompanhem as pautas tratadas nas duas</w:t>
      </w:r>
      <w:r>
        <w:rPr>
          <w:spacing w:val="-8"/>
        </w:rPr>
        <w:t> </w:t>
      </w:r>
      <w:r>
        <w:rPr/>
        <w:t>Comissões.</w:t>
      </w:r>
    </w:p>
    <w:p>
      <w:pPr>
        <w:pStyle w:val="BodyText"/>
        <w:spacing w:before="117"/>
        <w:ind w:right="115"/>
        <w:jc w:val="both"/>
      </w:pPr>
      <w:r>
        <w:rPr/>
        <w:t>A Sra. Luciana informou que no evento foram apresentadas as três COETRAEs criadas desde o IV Encontro (2017) e complementou destacando iniciativas de municipalização nos estados, à semelhança da COMTRAE, como é o caso do Pará.</w:t>
      </w:r>
    </w:p>
    <w:p>
      <w:pPr>
        <w:pStyle w:val="BodyText"/>
        <w:ind w:left="0" w:firstLine="0"/>
        <w:rPr>
          <w:sz w:val="24"/>
        </w:rPr>
      </w:pPr>
    </w:p>
    <w:p>
      <w:pPr>
        <w:pStyle w:val="Heading1"/>
        <w:numPr>
          <w:ilvl w:val="1"/>
          <w:numId w:val="2"/>
        </w:numPr>
        <w:tabs>
          <w:tab w:pos="1560" w:val="left" w:leader="none"/>
          <w:tab w:pos="1561" w:val="left" w:leader="none"/>
        </w:tabs>
        <w:spacing w:line="240" w:lineRule="auto" w:before="214" w:after="0"/>
        <w:ind w:left="662" w:right="123" w:firstLine="0"/>
        <w:jc w:val="both"/>
      </w:pPr>
      <w:r>
        <w:rPr/>
        <w:t>Oficina “Incorporação das Temáticas de Gênero e Raça/Etnia/Origem nas Estratégias de Redução da Pobreza e Geração de Emprego e Renda”, realizada </w:t>
      </w:r>
      <w:r>
        <w:rPr>
          <w:spacing w:val="-3"/>
        </w:rPr>
        <w:t>pela</w:t>
      </w:r>
      <w:r>
        <w:rPr>
          <w:spacing w:val="4"/>
        </w:rPr>
        <w:t> </w:t>
      </w:r>
      <w:r>
        <w:rPr/>
        <w:t>OIT</w:t>
      </w:r>
    </w:p>
    <w:p>
      <w:pPr>
        <w:pStyle w:val="BodyText"/>
        <w:spacing w:before="124"/>
        <w:ind w:right="116"/>
        <w:jc w:val="both"/>
      </w:pPr>
      <w:r>
        <w:rPr/>
        <w:t>Sra. Luciana destacou a importância da realização da oficina, realizada entre os dias 19, 20 e 21 de setembro, seus fundamentos e sua transversalidade com a temática da COMTRAE. Além disso, destacou a metodologia da oficina, classificando-a como construtiva e participativa.</w:t>
      </w:r>
    </w:p>
    <w:p>
      <w:pPr>
        <w:pStyle w:val="BodyText"/>
        <w:spacing w:before="121"/>
        <w:ind w:right="117" w:firstLine="720"/>
        <w:jc w:val="both"/>
      </w:pPr>
      <w:r>
        <w:rPr/>
        <w:t>Sr. Antônio (OIT) aproveitou o espaço para informar o plenário sobre a parceria que foi firmada entre a OIT e o setor têxtil de São Paulo, que buscará a promoção do trabalho decente no setor têxtil e de confecção </w:t>
      </w:r>
      <w:r>
        <w:rPr>
          <w:spacing w:val="5"/>
        </w:rPr>
        <w:t>do </w:t>
      </w:r>
      <w:r>
        <w:rPr/>
        <w:t>município. Informou que o projeto ocorre até o final do</w:t>
      </w:r>
      <w:r>
        <w:rPr>
          <w:spacing w:val="-10"/>
        </w:rPr>
        <w:t> </w:t>
      </w:r>
      <w:r>
        <w:rPr/>
        <w:t>ano.</w:t>
      </w:r>
    </w:p>
    <w:p>
      <w:pPr>
        <w:pStyle w:val="BodyText"/>
        <w:spacing w:before="121"/>
        <w:ind w:right="115" w:firstLine="720"/>
        <w:jc w:val="both"/>
      </w:pPr>
      <w:r>
        <w:rPr/>
        <w:t>Sra. Paula (SMADS) concordou com o que tinha sido apontado sobre a metodologia da oficina e a relação que os temas de raça e gênero tem com as ações realizadas pela SMADS. Em especial no que </w:t>
      </w:r>
      <w:r>
        <w:rPr>
          <w:spacing w:val="-3"/>
        </w:rPr>
        <w:t>se </w:t>
      </w:r>
      <w:r>
        <w:rPr/>
        <w:t>refere ao recorte de gênero, destacou  que é fundamental em ações de</w:t>
      </w:r>
      <w:r>
        <w:rPr>
          <w:spacing w:val="-18"/>
        </w:rPr>
        <w:t> </w:t>
      </w:r>
      <w:r>
        <w:rPr/>
        <w:t>acolhida.</w:t>
      </w:r>
    </w:p>
    <w:p>
      <w:pPr>
        <w:pStyle w:val="BodyText"/>
        <w:spacing w:before="121"/>
        <w:ind w:right="117"/>
        <w:jc w:val="both"/>
      </w:pPr>
      <w:r>
        <w:rPr/>
        <w:t>Sra. Natália elogiou a sensibilidade do evento em escolher e tratar os temas de raça/etnia/origem. Enfatizou a transversalidade dos temas e sua sobreposição na vulnerabilidade social, bem como a importância de tê-los em mente para tratar de questões na COMTRAE. Ademais, prontificou-se em apresentar dados tratados pela Repórter Brasil sobre o tema ao plenário.</w:t>
      </w:r>
    </w:p>
    <w:p>
      <w:pPr>
        <w:pStyle w:val="BodyText"/>
        <w:spacing w:before="118"/>
        <w:ind w:right="115"/>
        <w:jc w:val="both"/>
      </w:pPr>
      <w:r>
        <w:rPr/>
        <w:t>Sr. André (MTE) indicou a expressividade da temática tratada nas oficinas, atestou que foi de suma importância para a atuação do MTE em resgates, contribuindo com a sensibilização e compreensão de possíveis níveis de vulnerabilidade, e para o aprimoramento das ações. Recomendou a abertura de futuros ciclos de debate sobre o tema.</w:t>
      </w:r>
    </w:p>
    <w:p>
      <w:pPr>
        <w:pStyle w:val="BodyText"/>
        <w:spacing w:before="123"/>
        <w:ind w:right="115"/>
        <w:jc w:val="both"/>
      </w:pPr>
      <w:r>
        <w:rPr/>
        <w:t>Abriu-se uma discussão no plenário sobre a temática e a negligência da condição da mulher no mercado de trabalho e, principalmente, em condições de trabalho escravo.</w:t>
      </w:r>
    </w:p>
    <w:p>
      <w:pPr>
        <w:pStyle w:val="BodyText"/>
        <w:spacing w:before="118"/>
        <w:ind w:right="123"/>
        <w:jc w:val="both"/>
      </w:pPr>
      <w:r>
        <w:rPr/>
        <w:t>Sra. Natália destacou a importância da abertura para o debate sobre gênero dentro das pautas tratadas na temática do trabalho escravo e nas ações do Estado.</w:t>
      </w:r>
    </w:p>
    <w:p>
      <w:pPr>
        <w:spacing w:after="0"/>
        <w:jc w:val="both"/>
        <w:sectPr>
          <w:pgSz w:w="12240" w:h="15840"/>
          <w:pgMar w:header="843" w:footer="1184" w:top="2900" w:bottom="1380" w:left="1580" w:right="1580"/>
        </w:sectPr>
      </w:pPr>
    </w:p>
    <w:p>
      <w:pPr>
        <w:pStyle w:val="BodyText"/>
        <w:spacing w:before="137"/>
        <w:ind w:right="116" w:firstLine="538"/>
        <w:jc w:val="both"/>
      </w:pPr>
      <w:r>
        <w:rPr/>
        <w:t>Sr. André, a Sra. Lívia (MTE) e o Sr. Ademar (AMATRA-2) reforçaram a colocação da Sra. Natália no que diz respeito à relutância das instituições públicas em lidar com a temática dentro de suas áreas de</w:t>
      </w:r>
      <w:r>
        <w:rPr>
          <w:spacing w:val="-5"/>
        </w:rPr>
        <w:t> </w:t>
      </w:r>
      <w:r>
        <w:rPr/>
        <w:t>trabalho.</w:t>
      </w:r>
    </w:p>
    <w:p>
      <w:pPr>
        <w:pStyle w:val="BodyText"/>
        <w:ind w:left="0" w:firstLine="0"/>
        <w:rPr>
          <w:sz w:val="24"/>
        </w:rPr>
      </w:pPr>
    </w:p>
    <w:p>
      <w:pPr>
        <w:pStyle w:val="Heading1"/>
        <w:numPr>
          <w:ilvl w:val="1"/>
          <w:numId w:val="2"/>
        </w:numPr>
        <w:tabs>
          <w:tab w:pos="1560" w:val="left" w:leader="none"/>
          <w:tab w:pos="1561" w:val="left" w:leader="none"/>
        </w:tabs>
        <w:spacing w:line="240" w:lineRule="auto" w:before="213" w:after="0"/>
        <w:ind w:left="1560" w:right="0" w:hanging="903"/>
        <w:jc w:val="left"/>
      </w:pPr>
      <w:r>
        <w:rPr/>
        <w:t>Informes</w:t>
      </w:r>
      <w:r>
        <w:rPr>
          <w:spacing w:val="-2"/>
        </w:rPr>
        <w:t> </w:t>
      </w:r>
      <w:r>
        <w:rPr/>
        <w:t>Gerais</w:t>
      </w:r>
    </w:p>
    <w:p>
      <w:pPr>
        <w:pStyle w:val="BodyText"/>
        <w:spacing w:before="126"/>
        <w:ind w:right="115" w:firstLine="538"/>
        <w:jc w:val="both"/>
      </w:pPr>
      <w:r>
        <w:rPr/>
        <w:t>Sra. Luciana iniciou a pauta discorrendo sobre a importância do uso de dados para subsidiar o trabalho, não apenas da COMTRAE, mas das instituições e órgãos que a compõem. Com isso, informou sobre a realização da oficina “Gestão de Informação e Análise de Dados”, em parceria com a OIT, que ocorrerá nos dias 22 e 23 de novembro.</w:t>
      </w:r>
    </w:p>
    <w:p>
      <w:pPr>
        <w:pStyle w:val="BodyText"/>
        <w:spacing w:before="117"/>
        <w:ind w:right="117" w:firstLine="538"/>
        <w:jc w:val="both"/>
      </w:pPr>
      <w:r>
        <w:rPr/>
        <w:t>Ainda sobre a oficina “Gestão de Informação e Análise de Dados”, Sr. Antônio insistiu na importância de construção de dados para a atuação dentro da temática do trabalho escravo. Descreveu que a Oficina contará com apresentações sobre indicadores e sobre sistema de monitoramento de planos nacionais e locais. Concluiu apontando que a formação será útil para o monitoramento do Plano Municipal de Erradicação do  Trabalho Escravo (PMETE), por parte da COMTRAE, e abriu para sugestões em relação ao conteúdo que seria</w:t>
      </w:r>
      <w:r>
        <w:rPr>
          <w:spacing w:val="-1"/>
        </w:rPr>
        <w:t> </w:t>
      </w:r>
      <w:r>
        <w:rPr/>
        <w:t>ministrado.</w:t>
      </w:r>
    </w:p>
    <w:p>
      <w:pPr>
        <w:pStyle w:val="BodyText"/>
        <w:spacing w:before="121"/>
        <w:ind w:right="117" w:firstLine="538"/>
        <w:jc w:val="both"/>
      </w:pPr>
      <w:r>
        <w:rPr/>
        <w:t>Sr. André colocou que já havia sido decidida, pela Comissão, a necessidade do monitoramento do Plano. Indicou que a Oficina poderia ser aproveitada como embasamento para o processo de monitoramento.</w:t>
      </w:r>
    </w:p>
    <w:p>
      <w:pPr>
        <w:pStyle w:val="BodyText"/>
        <w:spacing w:before="124"/>
        <w:ind w:right="112" w:firstLine="538"/>
        <w:jc w:val="both"/>
      </w:pPr>
      <w:r>
        <w:rPr/>
        <w:t>Sra. Luciana destacou o caráter formativo das oficinas, para além de um demonstrativo de ferramentas de informação e análise de dados, e apontou pela necessidade de participação ativa dos membros.</w:t>
      </w:r>
    </w:p>
    <w:p>
      <w:pPr>
        <w:pStyle w:val="BodyText"/>
        <w:spacing w:before="120"/>
        <w:ind w:right="122" w:firstLine="538"/>
        <w:jc w:val="both"/>
      </w:pPr>
      <w:r>
        <w:rPr/>
        <w:t>Seguindo as colocações do Sr. André e Sra. Luciana, Sr. Antônio afirmou a necessidade do compromisso dos membros do plenário da COMTRAE para a construção e implementação de um monitoramento.</w:t>
      </w:r>
    </w:p>
    <w:p>
      <w:pPr>
        <w:pStyle w:val="BodyText"/>
        <w:spacing w:before="119"/>
        <w:ind w:right="116"/>
        <w:jc w:val="both"/>
      </w:pPr>
      <w:r>
        <w:rPr/>
        <w:t>Sra. Natália sugeriu na inclusão da Secretária Municipal de Gestão no processo de monitoramento, devido a sua capacidade de contribuir com o processo.</w:t>
      </w:r>
    </w:p>
    <w:p>
      <w:pPr>
        <w:pStyle w:val="BodyText"/>
        <w:spacing w:before="119"/>
        <w:ind w:right="112"/>
        <w:jc w:val="both"/>
      </w:pPr>
      <w:r>
        <w:rPr/>
        <w:t>Sra. Luciana se propôs a enviar a programação inicial da oficina de “Gestão de Informação e Análise de Dados” para posteriores observações e sugestões por parte dos membros do plenário.</w:t>
      </w:r>
    </w:p>
    <w:p>
      <w:pPr>
        <w:pStyle w:val="BodyText"/>
        <w:ind w:left="0" w:firstLine="0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1200" w:val="left" w:leader="none"/>
          <w:tab w:pos="1201" w:val="left" w:leader="none"/>
        </w:tabs>
        <w:spacing w:line="240" w:lineRule="auto" w:before="213" w:after="0"/>
        <w:ind w:left="1200" w:right="0" w:hanging="783"/>
        <w:jc w:val="left"/>
      </w:pPr>
      <w:r>
        <w:rPr/>
        <w:t>Regularização</w:t>
      </w:r>
      <w:r>
        <w:rPr>
          <w:spacing w:val="-6"/>
        </w:rPr>
        <w:t> </w:t>
      </w:r>
      <w:r>
        <w:rPr/>
        <w:t>interna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  <w:tab w:pos="1561" w:val="left" w:leader="none"/>
        </w:tabs>
        <w:spacing w:line="240" w:lineRule="auto" w:before="122" w:after="0"/>
        <w:ind w:left="119" w:right="122" w:firstLine="543"/>
        <w:jc w:val="both"/>
        <w:rPr>
          <w:b/>
          <w:sz w:val="22"/>
        </w:rPr>
      </w:pPr>
      <w:r>
        <w:rPr>
          <w:b/>
          <w:sz w:val="22"/>
        </w:rPr>
        <w:t>Informe sobre as Secretarias Municipais e as Organizações da Sociedade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Civil</w:t>
      </w:r>
    </w:p>
    <w:p>
      <w:pPr>
        <w:pStyle w:val="BodyText"/>
        <w:spacing w:before="123"/>
        <w:ind w:right="122"/>
        <w:jc w:val="both"/>
      </w:pPr>
      <w:r>
        <w:rPr/>
        <w:t>Sra. Luciana informou que duas organizações da sociedade civil ainda não responderam os ofícios indicando os representantes para a Comissão: o Sindicato das Costureiras e o InPACTO. Também informou que a COMTRAE não recebeu resposta da</w:t>
      </w:r>
    </w:p>
    <w:p>
      <w:pPr>
        <w:spacing w:after="0"/>
        <w:jc w:val="both"/>
        <w:sectPr>
          <w:pgSz w:w="12240" w:h="15840"/>
          <w:pgMar w:header="843" w:footer="1184" w:top="2900" w:bottom="1380" w:left="1580" w:right="1580"/>
        </w:sectPr>
      </w:pPr>
    </w:p>
    <w:p>
      <w:pPr>
        <w:pStyle w:val="BodyText"/>
        <w:spacing w:before="137"/>
        <w:ind w:firstLine="0"/>
      </w:pPr>
      <w:r>
        <w:rPr/>
        <w:t>Secretaria Municipal de Subprefeituras (SMSP). Ainda, destacou a ausência nas reuniões da Secretaria Municipal de Saúde (SMS), sugerindo uma rearticulação com a última.</w:t>
      </w:r>
    </w:p>
    <w:p>
      <w:pPr>
        <w:pStyle w:val="BodyText"/>
        <w:spacing w:before="122"/>
        <w:ind w:right="115" w:firstLine="720"/>
        <w:jc w:val="both"/>
      </w:pPr>
      <w:r>
        <w:rPr/>
        <w:t>Sra. Luciana informou que, em relação à ausência da Secretaria Municipal de Tecnologia e Inovação (SMTI) nas reuniões, a SMIT havia enviado um parecer em resposta ao ofício enviado pela SMDHC/COMTRAE para indicação de representantes, solicitando o desligamento das cadeiras na Comissão, devido à incompatibilidade de suas competências em relação ao colegiado.</w:t>
      </w:r>
    </w:p>
    <w:p>
      <w:pPr>
        <w:pStyle w:val="BodyText"/>
        <w:spacing w:before="118"/>
        <w:ind w:right="119" w:firstLine="720"/>
        <w:jc w:val="both"/>
      </w:pPr>
      <w:r>
        <w:rPr/>
        <w:t>Sr. André abriu um debate sobre a importância da continuidade da SMIT como membro da Comissão, e os demais membros concordaram com a importância de manutenção da Secretaria.</w:t>
      </w:r>
    </w:p>
    <w:p>
      <w:pPr>
        <w:pStyle w:val="BodyText"/>
        <w:spacing w:before="120"/>
        <w:ind w:right="115" w:firstLine="720"/>
        <w:jc w:val="both"/>
      </w:pPr>
      <w:r>
        <w:rPr/>
        <w:t>Sr. André retomou a pauta sobre indicação de outros órgãos do poder público, fora do âmbito municipal, como membros da Comissão, sem afrontar a paridade entre poder público e sociedade civil. Sugeriu que, eventualmente, caso o lugar ocupado pela SMIT ficasse vago, este fosse destinado a um órgão do poder público, independentemente de seu âmbito federativo.</w:t>
      </w:r>
    </w:p>
    <w:p>
      <w:pPr>
        <w:pStyle w:val="BodyText"/>
        <w:spacing w:before="123"/>
        <w:ind w:right="115"/>
        <w:jc w:val="both"/>
      </w:pPr>
      <w:r>
        <w:rPr/>
        <w:t>Sra. Camila (Abit) sugeriu uma reaproximação com a SMIT, não precisamente como membro, mas sim com futuro parceiro para projetos realizados pela Comissão. Houve acordo do plenário.</w:t>
      </w:r>
    </w:p>
    <w:p>
      <w:pPr>
        <w:pStyle w:val="BodyText"/>
        <w:ind w:left="0" w:firstLine="0"/>
        <w:rPr>
          <w:sz w:val="24"/>
        </w:rPr>
      </w:pPr>
    </w:p>
    <w:p>
      <w:pPr>
        <w:pStyle w:val="Heading1"/>
        <w:numPr>
          <w:ilvl w:val="1"/>
          <w:numId w:val="2"/>
        </w:numPr>
        <w:tabs>
          <w:tab w:pos="1560" w:val="left" w:leader="none"/>
          <w:tab w:pos="1561" w:val="left" w:leader="none"/>
        </w:tabs>
        <w:spacing w:line="240" w:lineRule="auto" w:before="213" w:after="0"/>
        <w:ind w:left="119" w:right="0" w:firstLine="543"/>
        <w:jc w:val="left"/>
      </w:pPr>
      <w:r>
        <w:rPr/>
        <w:t>Alteração ou inclusão de membros da</w:t>
      </w:r>
      <w:r>
        <w:rPr>
          <w:spacing w:val="-7"/>
        </w:rPr>
        <w:t> </w:t>
      </w:r>
      <w:r>
        <w:rPr/>
        <w:t>COMTRAE:</w:t>
      </w:r>
    </w:p>
    <w:p>
      <w:pPr>
        <w:pStyle w:val="BodyText"/>
        <w:spacing w:before="122"/>
        <w:ind w:right="117"/>
        <w:jc w:val="both"/>
      </w:pPr>
      <w:r>
        <w:rPr/>
        <w:t>Sra. Luciana informou sobre o envio de uma consulta à Assessoria Jurídica da SMDHC sobre a possibilidade de inclusão de outros órgãos do poder público como membros na COMTRAE. No entanto, a consulta não havia sido respondida até a presente data da reunião.</w:t>
      </w:r>
    </w:p>
    <w:p>
      <w:pPr>
        <w:pStyle w:val="BodyText"/>
        <w:spacing w:before="121"/>
        <w:ind w:right="130"/>
        <w:jc w:val="both"/>
      </w:pPr>
      <w:r>
        <w:rPr/>
        <w:t>Sra. Luciana apresentou a Sra. Paula, representante da Secretaria Municipal de Assistência e Desenvolvimento Social (SMADS), ao plenário.</w:t>
      </w:r>
    </w:p>
    <w:p>
      <w:pPr>
        <w:pStyle w:val="BodyText"/>
        <w:spacing w:before="119"/>
        <w:ind w:right="115"/>
        <w:jc w:val="both"/>
      </w:pPr>
      <w:r>
        <w:rPr/>
        <w:t>Sra. Paula apresentou os trabalhos realizados pela SMADS de acolhimento e cadastro único com imigrantes, apresentou o sistema CCR dos CRAS e CREAS usados para acompanhamento de casos de trabalho escravo e falou sobre a necessidade de aprimoramento dos cadastros de dados a cerca do tema de trabalho escravo.</w:t>
      </w:r>
    </w:p>
    <w:p>
      <w:pPr>
        <w:pStyle w:val="BodyText"/>
        <w:ind w:left="0" w:firstLine="0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1200" w:val="left" w:leader="none"/>
          <w:tab w:pos="1201" w:val="left" w:leader="none"/>
        </w:tabs>
        <w:spacing w:line="240" w:lineRule="auto" w:before="214" w:after="0"/>
        <w:ind w:left="1200" w:right="0" w:hanging="812"/>
        <w:jc w:val="left"/>
      </w:pPr>
      <w:r>
        <w:rPr/>
        <w:t>Regimento</w:t>
      </w:r>
      <w:r>
        <w:rPr>
          <w:spacing w:val="-1"/>
        </w:rPr>
        <w:t> </w:t>
      </w:r>
      <w:r>
        <w:rPr/>
        <w:t>Interno</w:t>
      </w:r>
    </w:p>
    <w:p>
      <w:pPr>
        <w:pStyle w:val="ListParagraph"/>
        <w:numPr>
          <w:ilvl w:val="1"/>
          <w:numId w:val="2"/>
        </w:numPr>
        <w:tabs>
          <w:tab w:pos="1560" w:val="left" w:leader="none"/>
          <w:tab w:pos="1561" w:val="left" w:leader="none"/>
        </w:tabs>
        <w:spacing w:line="240" w:lineRule="auto" w:before="122" w:after="0"/>
        <w:ind w:left="1560" w:right="0" w:hanging="898"/>
        <w:jc w:val="left"/>
        <w:rPr>
          <w:b/>
          <w:sz w:val="22"/>
        </w:rPr>
      </w:pPr>
      <w:r>
        <w:rPr>
          <w:b/>
          <w:sz w:val="22"/>
        </w:rPr>
        <w:t>Apresentação das alterações </w:t>
      </w:r>
      <w:r>
        <w:rPr>
          <w:b/>
          <w:spacing w:val="-3"/>
          <w:sz w:val="22"/>
        </w:rPr>
        <w:t>da </w:t>
      </w:r>
      <w:r>
        <w:rPr>
          <w:b/>
          <w:sz w:val="22"/>
        </w:rPr>
        <w:t>primeira parte do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texto;</w:t>
      </w:r>
    </w:p>
    <w:p>
      <w:pPr>
        <w:pStyle w:val="BodyText"/>
        <w:spacing w:before="121"/>
        <w:ind w:right="113"/>
        <w:jc w:val="both"/>
      </w:pPr>
      <w:r>
        <w:rPr/>
        <w:t>Sra. Luciana informou que na última reunião havia se iniciado a revisão do Regimento Interno. A mesma foi realizada a partir da leitura conjunta do documento, com indicações de destaques. Posteriormente, os destaques foram retomados e discutidos um por um. Devido ao teto da reunião, foi decidido continuar com a revisão dos destaques na reunião seguinte, que acontece no presente dia.</w:t>
      </w:r>
    </w:p>
    <w:p>
      <w:pPr>
        <w:spacing w:after="0"/>
        <w:jc w:val="both"/>
        <w:sectPr>
          <w:pgSz w:w="12240" w:h="15840"/>
          <w:pgMar w:header="843" w:footer="1184" w:top="2900" w:bottom="1380" w:left="1580" w:right="1580"/>
        </w:sectPr>
      </w:pPr>
    </w:p>
    <w:p>
      <w:pPr>
        <w:pStyle w:val="BodyText"/>
        <w:spacing w:before="137"/>
        <w:ind w:right="125"/>
        <w:jc w:val="both"/>
      </w:pPr>
      <w:r>
        <w:rPr/>
        <w:t>Sra. Luciana também reiterou a prontificarão do Sr. Claude (MPT) e Sr. André para realizar a sugestão de redação dos incisos V e VI do art. 7°. Informou que poderia formalizar esse pedido por e-mail.</w:t>
      </w:r>
    </w:p>
    <w:p>
      <w:pPr>
        <w:pStyle w:val="BodyText"/>
        <w:ind w:left="0" w:firstLine="0"/>
        <w:rPr>
          <w:sz w:val="24"/>
        </w:rPr>
      </w:pPr>
    </w:p>
    <w:p>
      <w:pPr>
        <w:pStyle w:val="Heading1"/>
        <w:numPr>
          <w:ilvl w:val="1"/>
          <w:numId w:val="2"/>
        </w:numPr>
        <w:tabs>
          <w:tab w:pos="1560" w:val="left" w:leader="none"/>
          <w:tab w:pos="1561" w:val="left" w:leader="none"/>
        </w:tabs>
        <w:spacing w:line="240" w:lineRule="auto" w:before="213" w:after="0"/>
        <w:ind w:left="1560" w:right="0" w:hanging="898"/>
        <w:jc w:val="left"/>
      </w:pPr>
      <w:r>
        <w:rPr/>
        <w:t>Leitura conjunta e alterações </w:t>
      </w:r>
      <w:r>
        <w:rPr>
          <w:spacing w:val="-3"/>
        </w:rPr>
        <w:t>da </w:t>
      </w:r>
      <w:r>
        <w:rPr/>
        <w:t>segunda metade do</w:t>
      </w:r>
      <w:r>
        <w:rPr>
          <w:spacing w:val="-1"/>
        </w:rPr>
        <w:t> </w:t>
      </w:r>
      <w:r>
        <w:rPr/>
        <w:t>texto;</w:t>
      </w:r>
    </w:p>
    <w:p>
      <w:pPr>
        <w:pStyle w:val="BodyText"/>
        <w:spacing w:before="126"/>
        <w:ind w:right="120"/>
        <w:jc w:val="both"/>
      </w:pPr>
      <w:r>
        <w:rPr/>
        <w:t>A pauta foi conduzida a partir da leitura e discussão em plenário dos destaques indicados no Regimento Interno na última reunião. A discussão do documento foi retomanda a partir do “Capítulo III - Das Competências”.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023" w:val="left" w:leader="none"/>
        </w:tabs>
        <w:spacing w:line="240" w:lineRule="auto" w:before="0" w:after="0"/>
        <w:ind w:left="1022" w:right="0" w:hanging="360"/>
        <w:jc w:val="left"/>
        <w:rPr>
          <w:sz w:val="22"/>
        </w:rPr>
      </w:pPr>
      <w:r>
        <w:rPr>
          <w:sz w:val="22"/>
        </w:rPr>
        <w:t>Título I / Capítulo </w:t>
      </w:r>
      <w:r>
        <w:rPr>
          <w:spacing w:val="-3"/>
          <w:sz w:val="22"/>
        </w:rPr>
        <w:t>III </w:t>
      </w:r>
      <w:r>
        <w:rPr>
          <w:sz w:val="22"/>
        </w:rPr>
        <w:t>- Das</w:t>
      </w:r>
      <w:r>
        <w:rPr>
          <w:spacing w:val="4"/>
          <w:sz w:val="22"/>
        </w:rPr>
        <w:t> </w:t>
      </w:r>
      <w:r>
        <w:rPr>
          <w:sz w:val="22"/>
        </w:rPr>
        <w:t>Competências:</w:t>
      </w:r>
    </w:p>
    <w:p>
      <w:pPr>
        <w:pStyle w:val="BodyText"/>
        <w:spacing w:before="117"/>
        <w:ind w:left="662" w:firstLine="0"/>
      </w:pPr>
      <w:r>
        <w:rPr/>
        <w:t>Sr. Claude e Sr. Antônio indicaram a reedição do texto do inciso II do art. 9º.</w:t>
      </w:r>
    </w:p>
    <w:p>
      <w:pPr>
        <w:pStyle w:val="BodyText"/>
        <w:spacing w:before="121"/>
        <w:ind w:right="119"/>
        <w:jc w:val="both"/>
      </w:pPr>
      <w:r>
        <w:rPr/>
        <w:t>Sra. Luciana indicou a imprecisão do inciso IV do art. 9º e afirmou que a COMTRAE não teria competência para as atribuições ali tratadas. O plenário apenas acordou em adicionar a competência que caberia a Comissão no disposto do inciso.</w:t>
      </w:r>
    </w:p>
    <w:p>
      <w:pPr>
        <w:pStyle w:val="BodyText"/>
        <w:spacing w:before="120"/>
        <w:ind w:right="118"/>
        <w:jc w:val="both"/>
      </w:pPr>
      <w:r>
        <w:rPr/>
        <w:t>Sr. André sugeriu que fosse indicado um marco temporal para o disposto no inciso VII do art. 9º, de forma a dar uma maior continuidade das matérias do Regimento Interno no determinado período. O plenário pactuou em apenas adicionar condicionantes para abertura de alterações e mudanças no Regimento Interno.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1"/>
        <w:ind w:left="0" w:firstLine="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023" w:val="left" w:leader="none"/>
        </w:tabs>
        <w:spacing w:line="240" w:lineRule="auto" w:before="0" w:after="0"/>
        <w:ind w:left="1022" w:right="0" w:hanging="360"/>
        <w:jc w:val="left"/>
        <w:rPr>
          <w:sz w:val="22"/>
        </w:rPr>
      </w:pPr>
      <w:r>
        <w:rPr>
          <w:sz w:val="22"/>
        </w:rPr>
        <w:t>Título I / Capítulo IV - </w:t>
      </w:r>
      <w:r>
        <w:rPr>
          <w:spacing w:val="-3"/>
          <w:sz w:val="22"/>
        </w:rPr>
        <w:t>Da </w:t>
      </w:r>
      <w:r>
        <w:rPr>
          <w:sz w:val="22"/>
        </w:rPr>
        <w:t>Organização do</w:t>
      </w:r>
      <w:r>
        <w:rPr>
          <w:spacing w:val="3"/>
          <w:sz w:val="22"/>
        </w:rPr>
        <w:t> </w:t>
      </w:r>
      <w:r>
        <w:rPr>
          <w:sz w:val="22"/>
        </w:rPr>
        <w:t>Funcionamento</w:t>
      </w:r>
    </w:p>
    <w:p>
      <w:pPr>
        <w:pStyle w:val="BodyText"/>
        <w:spacing w:before="117"/>
        <w:ind w:right="824"/>
        <w:jc w:val="both"/>
      </w:pPr>
      <w:r>
        <w:rPr/>
        <w:t>Foi concordado pelos membros que no inciso II do art. 11º fosse modificada a redação , sendo retirada “...integrantes, convidados e ouvintes” e modificando para “membros e observadores”.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ind w:left="0" w:firstLine="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023" w:val="left" w:leader="none"/>
        </w:tabs>
        <w:spacing w:line="240" w:lineRule="auto" w:before="0" w:after="0"/>
        <w:ind w:left="1022" w:right="0" w:hanging="360"/>
        <w:jc w:val="left"/>
        <w:rPr>
          <w:sz w:val="22"/>
        </w:rPr>
      </w:pPr>
      <w:r>
        <w:rPr>
          <w:sz w:val="22"/>
        </w:rPr>
        <w:t>Título II / Capítulo I / Seção I - Do</w:t>
      </w:r>
      <w:r>
        <w:rPr>
          <w:spacing w:val="-5"/>
          <w:sz w:val="22"/>
        </w:rPr>
        <w:t> </w:t>
      </w:r>
      <w:r>
        <w:rPr>
          <w:sz w:val="22"/>
        </w:rPr>
        <w:t>plenário</w:t>
      </w:r>
    </w:p>
    <w:p>
      <w:pPr>
        <w:pStyle w:val="BodyText"/>
        <w:spacing w:before="121"/>
        <w:ind w:right="116"/>
        <w:jc w:val="both"/>
      </w:pPr>
      <w:r>
        <w:rPr/>
        <w:t>O plenário deliberou pela não alterar a redação do § 1º do art. 13º. Essa decisão se baseia que a sede se refere ao órgão municipal ao qual a COMTRAE está vinculada.</w:t>
      </w:r>
    </w:p>
    <w:p>
      <w:pPr>
        <w:pStyle w:val="BodyText"/>
        <w:spacing w:before="118"/>
        <w:ind w:right="117"/>
        <w:jc w:val="both"/>
      </w:pPr>
      <w:r>
        <w:rPr/>
        <w:t>Sra. Luciana sugeriu que fossem especificados os objetos que seriam publicados no DO e qual seria a definição de resolução que trata o art. 16º.</w:t>
      </w:r>
    </w:p>
    <w:p>
      <w:pPr>
        <w:pStyle w:val="BodyText"/>
        <w:spacing w:before="124"/>
        <w:ind w:right="117"/>
        <w:jc w:val="both"/>
      </w:pPr>
      <w:r>
        <w:rPr/>
        <w:t>No inciso I do art. 17º foi acordado entre o plenário que seria suprimida a palavra “leitura”.</w:t>
      </w:r>
    </w:p>
    <w:p>
      <w:pPr>
        <w:pStyle w:val="BodyText"/>
        <w:spacing w:before="118"/>
        <w:ind w:right="119"/>
        <w:jc w:val="both"/>
      </w:pPr>
      <w:r>
        <w:rPr/>
        <w:t>Foi decidida pelo plenário a reestruturação do art. 18º e seu parágrafo único, ambos se tornariam parágrafo 2° e 3° do art. 17º, respectivamente.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9"/>
        <w:ind w:left="0" w:firstLine="0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023" w:val="left" w:leader="none"/>
        </w:tabs>
        <w:spacing w:line="240" w:lineRule="auto" w:before="0" w:after="0"/>
        <w:ind w:left="1022" w:right="0" w:hanging="360"/>
        <w:jc w:val="left"/>
        <w:rPr>
          <w:sz w:val="22"/>
        </w:rPr>
      </w:pPr>
      <w:r>
        <w:rPr>
          <w:sz w:val="22"/>
        </w:rPr>
        <w:t>Título II / Capítulo I / Seção II - Da</w:t>
      </w:r>
      <w:r>
        <w:rPr>
          <w:spacing w:val="-2"/>
          <w:sz w:val="22"/>
        </w:rPr>
        <w:t> </w:t>
      </w:r>
      <w:r>
        <w:rPr>
          <w:sz w:val="22"/>
        </w:rPr>
        <w:t>Presidência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843" w:footer="1184" w:top="2900" w:bottom="1380" w:left="1580" w:right="1580"/>
        </w:sectPr>
      </w:pPr>
    </w:p>
    <w:p>
      <w:pPr>
        <w:pStyle w:val="BodyText"/>
        <w:spacing w:before="137"/>
        <w:ind w:right="118"/>
        <w:jc w:val="both"/>
      </w:pPr>
      <w:r>
        <w:rPr/>
        <w:t>O plenário decidiu que a redação do parágrafo único do art. 21º fosse melhorada, de maneira a deixar claro que o poder público e a sociedade civil ocupariam respectivamente a presidência e vice-presidência de maneira alternada.</w:t>
      </w:r>
    </w:p>
    <w:p>
      <w:pPr>
        <w:pStyle w:val="BodyText"/>
        <w:ind w:left="0" w:firstLine="0"/>
        <w:rPr>
          <w:sz w:val="24"/>
        </w:rPr>
      </w:pPr>
    </w:p>
    <w:p>
      <w:pPr>
        <w:pStyle w:val="BodyText"/>
        <w:spacing w:before="11"/>
        <w:ind w:left="0" w:firstLine="0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023" w:val="left" w:leader="none"/>
        </w:tabs>
        <w:spacing w:line="240" w:lineRule="auto" w:before="0" w:after="0"/>
        <w:ind w:left="1022" w:right="0" w:hanging="360"/>
        <w:jc w:val="left"/>
        <w:rPr>
          <w:sz w:val="22"/>
        </w:rPr>
      </w:pPr>
      <w:r>
        <w:rPr>
          <w:sz w:val="22"/>
        </w:rPr>
        <w:t>Título II / Capítulo I / Seção IV - Da Comissão</w:t>
      </w:r>
      <w:r>
        <w:rPr>
          <w:spacing w:val="-4"/>
          <w:sz w:val="22"/>
        </w:rPr>
        <w:t> </w:t>
      </w:r>
      <w:r>
        <w:rPr>
          <w:sz w:val="22"/>
        </w:rPr>
        <w:t>Executiva</w:t>
      </w:r>
    </w:p>
    <w:p>
      <w:pPr>
        <w:pStyle w:val="BodyText"/>
        <w:spacing w:before="121"/>
        <w:ind w:right="114"/>
        <w:jc w:val="both"/>
      </w:pPr>
      <w:r>
        <w:rPr/>
        <w:t>Foi decidido manter a previsão de existência de uma Comissão Executiva no Regimento Interno, desde que sua instituição e composição sejam deliberadas em plenário e respeite a</w:t>
      </w:r>
      <w:r>
        <w:rPr>
          <w:spacing w:val="-3"/>
        </w:rPr>
        <w:t> </w:t>
      </w:r>
      <w:r>
        <w:rPr/>
        <w:t>paridade.</w:t>
      </w:r>
    </w:p>
    <w:p>
      <w:pPr>
        <w:pStyle w:val="BodyText"/>
        <w:spacing w:before="7"/>
        <w:ind w:left="0" w:firstLine="0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1023" w:val="left" w:leader="none"/>
        </w:tabs>
        <w:spacing w:line="240" w:lineRule="auto" w:before="0" w:after="0"/>
        <w:ind w:left="1022" w:right="0" w:hanging="360"/>
        <w:jc w:val="left"/>
        <w:rPr>
          <w:sz w:val="22"/>
        </w:rPr>
      </w:pPr>
      <w:r>
        <w:rPr>
          <w:sz w:val="22"/>
        </w:rPr>
        <w:t>Título II / Capítulo I / Seção V - Das Comissões</w:t>
      </w:r>
      <w:r>
        <w:rPr>
          <w:spacing w:val="-3"/>
          <w:sz w:val="22"/>
        </w:rPr>
        <w:t> </w:t>
      </w:r>
      <w:r>
        <w:rPr>
          <w:sz w:val="22"/>
        </w:rPr>
        <w:t>Temáticas</w:t>
      </w:r>
    </w:p>
    <w:p>
      <w:pPr>
        <w:pStyle w:val="BodyText"/>
        <w:spacing w:before="116"/>
        <w:ind w:right="122"/>
        <w:jc w:val="both"/>
      </w:pPr>
      <w:r>
        <w:rPr/>
        <w:t>No art. 27º resolveu-se que esse, em sua redação, também incluiria o art. 25º para suas atribuições. Além disso, decidiu-se por suprimir o seu parágrafo único.</w:t>
      </w:r>
    </w:p>
    <w:p>
      <w:pPr>
        <w:pStyle w:val="BodyText"/>
        <w:spacing w:before="123"/>
        <w:ind w:right="116"/>
        <w:jc w:val="both"/>
      </w:pPr>
      <w:r>
        <w:rPr/>
        <w:t>Por limite de tempo, a Sra. Luciana indicou que a revisão dos destaques faltantes seriam discutidos na próxima reunião. Também se prontificou para enviar por e-mail a versão preliminar do Regimento com as alterações feitas até então.</w:t>
      </w:r>
    </w:p>
    <w:p>
      <w:pPr>
        <w:pStyle w:val="BodyText"/>
        <w:ind w:left="0" w:firstLine="0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936" w:val="left" w:leader="none"/>
        </w:tabs>
        <w:spacing w:line="240" w:lineRule="auto" w:before="214" w:after="0"/>
        <w:ind w:left="935" w:right="0" w:hanging="273"/>
        <w:jc w:val="left"/>
      </w:pPr>
      <w:r>
        <w:rPr/>
        <w:t>Informes</w:t>
      </w:r>
      <w:r>
        <w:rPr>
          <w:spacing w:val="-3"/>
        </w:rPr>
        <w:t> </w:t>
      </w:r>
      <w:r>
        <w:rPr/>
        <w:t>gerais</w:t>
      </w:r>
    </w:p>
    <w:p>
      <w:pPr>
        <w:pStyle w:val="BodyText"/>
        <w:spacing w:before="121"/>
        <w:ind w:right="117"/>
        <w:jc w:val="both"/>
      </w:pPr>
      <w:r>
        <w:rPr/>
        <w:t>Sra. Letícia informou sobre as atividades do evento realizado pela Escola Superior do MPU - ESMPU entre os dias 23 e 27 de outubro. </w:t>
      </w:r>
      <w:r>
        <w:rPr>
          <w:spacing w:val="-3"/>
        </w:rPr>
        <w:t>Do </w:t>
      </w:r>
      <w:r>
        <w:rPr/>
        <w:t>dia 23 a 24 de outubro aconteceria o “Seminário Ibero-americano: Proteção aos direitos de Venezuelanas e Venezuelanos - Por uma acolhida humanitária na América Latina; e dos dias 24 a 27 de outubro teria lugar o evento “Atuação em </w:t>
      </w:r>
      <w:r>
        <w:rPr>
          <w:spacing w:val="-3"/>
        </w:rPr>
        <w:t>Rede: </w:t>
      </w:r>
      <w:r>
        <w:rPr/>
        <w:t>capacitação dos atores envolvidos no acolhimento, integração e interiorização de refugiados e migrantes no</w:t>
      </w:r>
      <w:r>
        <w:rPr>
          <w:spacing w:val="-13"/>
        </w:rPr>
        <w:t> </w:t>
      </w:r>
      <w:r>
        <w:rPr/>
        <w:t>Brasil”.</w:t>
      </w:r>
    </w:p>
    <w:p>
      <w:pPr>
        <w:pStyle w:val="BodyText"/>
        <w:spacing w:before="119"/>
        <w:ind w:right="117"/>
        <w:jc w:val="both"/>
      </w:pPr>
      <w:r>
        <w:rPr/>
        <w:t>O informe sobre o evento da ESMPU foi reforçado pela Sra. Luciana, que indicou que a CPMigTD/SMDHC estava apoiando o evento “Atuação em Rede”. Ela se prontificou a enviar mais informações sobre o evento.</w:t>
      </w:r>
    </w:p>
    <w:p>
      <w:pPr>
        <w:pStyle w:val="BodyText"/>
        <w:spacing w:before="121"/>
        <w:ind w:right="113"/>
        <w:jc w:val="both"/>
      </w:pPr>
      <w:r>
        <w:rPr/>
        <w:t>Em vista disso, a Sra. Luciana informou sobre a necessidade de mudança de data da próxima reunião, que estava prevista para o dia 25 de outubro. Foi acordado entre os membros da plenária a mudança para o dia 31 de outubro, quarta-feira, às 9h00 da manhã. Sra. Luciana </w:t>
      </w:r>
      <w:r>
        <w:rPr>
          <w:spacing w:val="-3"/>
        </w:rPr>
        <w:t>se </w:t>
      </w:r>
      <w:r>
        <w:rPr/>
        <w:t>dispôs em enviar a ratificação da data da reunião </w:t>
      </w:r>
      <w:r>
        <w:rPr>
          <w:spacing w:val="-3"/>
        </w:rPr>
        <w:t>XLIII </w:t>
      </w:r>
      <w:r>
        <w:rPr/>
        <w:t>por</w:t>
      </w:r>
      <w:r>
        <w:rPr>
          <w:spacing w:val="-9"/>
        </w:rPr>
        <w:t> </w:t>
      </w:r>
      <w:r>
        <w:rPr/>
        <w:t>e-mail.</w:t>
      </w:r>
    </w:p>
    <w:p>
      <w:pPr>
        <w:pStyle w:val="BodyText"/>
        <w:spacing w:before="120"/>
        <w:ind w:right="116"/>
        <w:jc w:val="both"/>
      </w:pPr>
      <w:r>
        <w:rPr/>
        <w:t>Sra. Nathália (CDHIC) informou sobre a realização do evento “Gritos dos Excluídos”, organizado pelo CDHIC.</w:t>
      </w:r>
    </w:p>
    <w:p>
      <w:pPr>
        <w:pStyle w:val="BodyText"/>
        <w:spacing w:before="124"/>
        <w:ind w:left="662" w:firstLine="0"/>
      </w:pPr>
      <w:r>
        <w:rPr/>
        <w:t>Sra. Luciana deu por encerrada a reunião.</w:t>
      </w:r>
    </w:p>
    <w:sectPr>
      <w:pgSz w:w="12240" w:h="15840"/>
      <w:pgMar w:header="843" w:footer="1184" w:top="2900" w:bottom="13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pict>
        <v:line style="position:absolute;mso-position-horizontal-relative:page;mso-position-vertical-relative:page;z-index:-5440" from="83.543999pt,719.015991pt" to="528.433999pt,719.015991pt" stroked="true" strokeweight=".47998pt" strokecolor="#000000">
          <v:stroke dashstyle="solid"/>
          <w10:wrap type="none"/>
        </v:line>
      </w:pict>
    </w:r>
    <w:r>
      <w:rPr/>
      <w:pict>
        <v:shape style="position:absolute;margin-left:118.330002pt;margin-top:721.255981pt;width:374.85pt;height:24.35pt;mso-position-horizontal-relative:page;mso-position-vertical-relative:page;z-index:-5416" type="#_x0000_t202" filled="false" stroked="false">
          <v:textbox inset="0,0,0,0">
            <w:txbxContent>
              <w:p>
                <w:pPr>
                  <w:spacing w:line="216" w:lineRule="exact" w:before="0"/>
                  <w:ind w:left="15" w:right="8" w:firstLine="0"/>
                  <w:jc w:val="center"/>
                  <w:rPr>
                    <w:rFonts w:ascii="Trebuchet MS"/>
                    <w:b/>
                    <w:sz w:val="20"/>
                  </w:rPr>
                </w:pPr>
                <w:r>
                  <w:rPr>
                    <w:rFonts w:ascii="Trebuchet MS"/>
                    <w:b/>
                    <w:sz w:val="20"/>
                  </w:rPr>
                  <w:t>Secretaria Municipal de Direitos Humanos e Cidadania</w:t>
                </w:r>
              </w:p>
              <w:p>
                <w:pPr>
                  <w:spacing w:before="12"/>
                  <w:ind w:left="15" w:right="15" w:firstLine="0"/>
                  <w:jc w:val="center"/>
                  <w:rPr>
                    <w:rFonts w:ascii="Trebuchet MS" w:hAnsi="Trebuchet MS"/>
                    <w:b/>
                    <w:sz w:val="20"/>
                  </w:rPr>
                </w:pP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Rua</w:t>
                </w:r>
                <w:r>
                  <w:rPr>
                    <w:rFonts w:ascii="Trebuchet MS" w:hAnsi="Trebuchet MS"/>
                    <w:b/>
                    <w:spacing w:val="-22"/>
                    <w:w w:val="90"/>
                    <w:sz w:val="20"/>
                  </w:rPr>
                  <w:t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Líbero</w:t>
                </w:r>
                <w:r>
                  <w:rPr>
                    <w:rFonts w:ascii="Trebuchet MS" w:hAnsi="Trebuchet MS"/>
                    <w:b/>
                    <w:spacing w:val="-20"/>
                    <w:w w:val="90"/>
                    <w:sz w:val="20"/>
                  </w:rPr>
                  <w:t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Badaró,</w:t>
                </w:r>
                <w:r>
                  <w:rPr>
                    <w:rFonts w:ascii="Trebuchet MS" w:hAnsi="Trebuchet MS"/>
                    <w:b/>
                    <w:spacing w:val="-17"/>
                    <w:w w:val="90"/>
                    <w:sz w:val="20"/>
                  </w:rPr>
                  <w:t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119</w:t>
                </w:r>
                <w:r>
                  <w:rPr>
                    <w:rFonts w:ascii="Trebuchet MS" w:hAnsi="Trebuchet MS"/>
                    <w:b/>
                    <w:spacing w:val="-20"/>
                    <w:w w:val="90"/>
                    <w:sz w:val="20"/>
                  </w:rPr>
                  <w:t> </w:t>
                </w:r>
                <w:r>
                  <w:rPr>
                    <w:b/>
                    <w:w w:val="90"/>
                    <w:sz w:val="20"/>
                  </w:rPr>
                  <w:t>–</w:t>
                </w:r>
                <w:r>
                  <w:rPr>
                    <w:b/>
                    <w:spacing w:val="-13"/>
                    <w:w w:val="90"/>
                    <w:sz w:val="20"/>
                  </w:rPr>
                  <w:t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7º</w:t>
                </w:r>
                <w:r>
                  <w:rPr>
                    <w:rFonts w:ascii="Trebuchet MS" w:hAnsi="Trebuchet MS"/>
                    <w:b/>
                    <w:spacing w:val="-23"/>
                    <w:w w:val="90"/>
                    <w:sz w:val="20"/>
                  </w:rPr>
                  <w:t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andar</w:t>
                </w:r>
                <w:r>
                  <w:rPr>
                    <w:rFonts w:ascii="Trebuchet MS" w:hAnsi="Trebuchet MS"/>
                    <w:b/>
                    <w:spacing w:val="-21"/>
                    <w:w w:val="90"/>
                    <w:sz w:val="20"/>
                  </w:rPr>
                  <w:t> </w:t>
                </w:r>
                <w:r>
                  <w:rPr>
                    <w:b/>
                    <w:w w:val="90"/>
                    <w:sz w:val="20"/>
                  </w:rPr>
                  <w:t>–</w:t>
                </w:r>
                <w:r>
                  <w:rPr>
                    <w:b/>
                    <w:spacing w:val="-13"/>
                    <w:w w:val="90"/>
                    <w:sz w:val="20"/>
                  </w:rPr>
                  <w:t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Centro</w:t>
                </w:r>
                <w:r>
                  <w:rPr>
                    <w:rFonts w:ascii="Trebuchet MS" w:hAnsi="Trebuchet MS"/>
                    <w:b/>
                    <w:spacing w:val="-19"/>
                    <w:w w:val="90"/>
                    <w:sz w:val="20"/>
                  </w:rPr>
                  <w:t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-</w:t>
                </w:r>
                <w:r>
                  <w:rPr>
                    <w:rFonts w:ascii="Trebuchet MS" w:hAnsi="Trebuchet MS"/>
                    <w:b/>
                    <w:spacing w:val="-21"/>
                    <w:w w:val="90"/>
                    <w:sz w:val="20"/>
                  </w:rPr>
                  <w:t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01009-000</w:t>
                </w:r>
                <w:r>
                  <w:rPr>
                    <w:rFonts w:ascii="Trebuchet MS" w:hAnsi="Trebuchet MS"/>
                    <w:b/>
                    <w:spacing w:val="-19"/>
                    <w:w w:val="90"/>
                    <w:sz w:val="20"/>
                  </w:rPr>
                  <w:t> </w:t>
                </w:r>
                <w:r>
                  <w:rPr>
                    <w:b/>
                    <w:w w:val="90"/>
                    <w:sz w:val="20"/>
                  </w:rPr>
                  <w:t>–</w:t>
                </w:r>
                <w:r>
                  <w:rPr>
                    <w:b/>
                    <w:spacing w:val="-16"/>
                    <w:w w:val="90"/>
                    <w:sz w:val="20"/>
                  </w:rPr>
                  <w:t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São</w:t>
                </w:r>
                <w:r>
                  <w:rPr>
                    <w:rFonts w:ascii="Trebuchet MS" w:hAnsi="Trebuchet MS"/>
                    <w:b/>
                    <w:spacing w:val="-21"/>
                    <w:w w:val="90"/>
                    <w:sz w:val="20"/>
                  </w:rPr>
                  <w:t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Paulo/SP</w:t>
                </w:r>
                <w:r>
                  <w:rPr>
                    <w:rFonts w:ascii="Trebuchet MS" w:hAnsi="Trebuchet MS"/>
                    <w:b/>
                    <w:spacing w:val="-22"/>
                    <w:w w:val="90"/>
                    <w:sz w:val="20"/>
                  </w:rPr>
                  <w:t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|</w:t>
                </w:r>
                <w:r>
                  <w:rPr>
                    <w:rFonts w:ascii="Trebuchet MS" w:hAnsi="Trebuchet MS"/>
                    <w:b/>
                    <w:spacing w:val="-22"/>
                    <w:w w:val="90"/>
                    <w:sz w:val="20"/>
                  </w:rPr>
                  <w:t> </w:t>
                </w:r>
                <w:r>
                  <w:rPr>
                    <w:rFonts w:ascii="Trebuchet MS" w:hAnsi="Trebuchet MS"/>
                    <w:b/>
                    <w:w w:val="90"/>
                    <w:sz w:val="20"/>
                  </w:rPr>
                  <w:t>55.11.3113.9644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29967">
          <wp:simplePos x="0" y="0"/>
          <wp:positionH relativeFrom="page">
            <wp:posOffset>3312981</wp:posOffset>
          </wp:positionH>
          <wp:positionV relativeFrom="page">
            <wp:posOffset>535500</wp:posOffset>
          </wp:positionV>
          <wp:extent cx="1134117" cy="1014168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4117" cy="1014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2.970001pt;margin-top:133.809998pt;width:345.75pt;height:13.05pt;mso-position-horizontal-relative:page;mso-position-vertical-relative:page;z-index:-5464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Trebuchet MS" w:hAnsi="Trebuchet MS"/>
                    <w:b/>
                    <w:sz w:val="22"/>
                  </w:rPr>
                </w:pPr>
                <w:r>
                  <w:rPr>
                    <w:rFonts w:ascii="Trebuchet MS" w:hAnsi="Trebuchet MS"/>
                    <w:b/>
                    <w:w w:val="90"/>
                    <w:sz w:val="22"/>
                  </w:rPr>
                  <w:t>Coordenação</w:t>
                </w:r>
                <w:r>
                  <w:rPr>
                    <w:rFonts w:ascii="Trebuchet MS" w:hAnsi="Trebuchet MS"/>
                    <w:b/>
                    <w:spacing w:val="-13"/>
                    <w:w w:val="90"/>
                    <w:sz w:val="22"/>
                  </w:rPr>
                  <w:t> </w:t>
                </w:r>
                <w:r>
                  <w:rPr>
                    <w:rFonts w:ascii="Trebuchet MS" w:hAnsi="Trebuchet MS"/>
                    <w:b/>
                    <w:w w:val="90"/>
                    <w:sz w:val="22"/>
                  </w:rPr>
                  <w:t>de</w:t>
                </w:r>
                <w:r>
                  <w:rPr>
                    <w:rFonts w:ascii="Trebuchet MS" w:hAnsi="Trebuchet MS"/>
                    <w:b/>
                    <w:spacing w:val="-14"/>
                    <w:w w:val="90"/>
                    <w:sz w:val="22"/>
                  </w:rPr>
                  <w:t> </w:t>
                </w:r>
                <w:r>
                  <w:rPr>
                    <w:rFonts w:ascii="Trebuchet MS" w:hAnsi="Trebuchet MS"/>
                    <w:b/>
                    <w:w w:val="90"/>
                    <w:sz w:val="22"/>
                  </w:rPr>
                  <w:t>Políticas</w:t>
                </w:r>
                <w:r>
                  <w:rPr>
                    <w:rFonts w:ascii="Trebuchet MS" w:hAnsi="Trebuchet MS"/>
                    <w:b/>
                    <w:spacing w:val="-15"/>
                    <w:w w:val="90"/>
                    <w:sz w:val="22"/>
                  </w:rPr>
                  <w:t> </w:t>
                </w:r>
                <w:r>
                  <w:rPr>
                    <w:rFonts w:ascii="Trebuchet MS" w:hAnsi="Trebuchet MS"/>
                    <w:b/>
                    <w:w w:val="90"/>
                    <w:sz w:val="22"/>
                  </w:rPr>
                  <w:t>para</w:t>
                </w:r>
                <w:r>
                  <w:rPr>
                    <w:rFonts w:ascii="Trebuchet MS" w:hAnsi="Trebuchet MS"/>
                    <w:b/>
                    <w:spacing w:val="-12"/>
                    <w:w w:val="90"/>
                    <w:sz w:val="22"/>
                  </w:rPr>
                  <w:t> </w:t>
                </w:r>
                <w:r>
                  <w:rPr>
                    <w:rFonts w:ascii="Trebuchet MS" w:hAnsi="Trebuchet MS"/>
                    <w:b/>
                    <w:w w:val="90"/>
                    <w:sz w:val="22"/>
                  </w:rPr>
                  <w:t>Imigrantes</w:t>
                </w:r>
                <w:r>
                  <w:rPr>
                    <w:rFonts w:ascii="Trebuchet MS" w:hAnsi="Trebuchet MS"/>
                    <w:b/>
                    <w:spacing w:val="-15"/>
                    <w:w w:val="90"/>
                    <w:sz w:val="22"/>
                  </w:rPr>
                  <w:t> </w:t>
                </w:r>
                <w:r>
                  <w:rPr>
                    <w:rFonts w:ascii="Trebuchet MS" w:hAnsi="Trebuchet MS"/>
                    <w:b/>
                    <w:w w:val="90"/>
                    <w:sz w:val="22"/>
                  </w:rPr>
                  <w:t>e</w:t>
                </w:r>
                <w:r>
                  <w:rPr>
                    <w:rFonts w:ascii="Trebuchet MS" w:hAnsi="Trebuchet MS"/>
                    <w:b/>
                    <w:spacing w:val="-9"/>
                    <w:w w:val="90"/>
                    <w:sz w:val="22"/>
                  </w:rPr>
                  <w:t> </w:t>
                </w:r>
                <w:r>
                  <w:rPr>
                    <w:rFonts w:ascii="Trebuchet MS" w:hAnsi="Trebuchet MS"/>
                    <w:b/>
                    <w:w w:val="90"/>
                    <w:sz w:val="22"/>
                  </w:rPr>
                  <w:t>Promoção</w:t>
                </w:r>
                <w:r>
                  <w:rPr>
                    <w:rFonts w:ascii="Trebuchet MS" w:hAnsi="Trebuchet MS"/>
                    <w:b/>
                    <w:spacing w:val="-13"/>
                    <w:w w:val="90"/>
                    <w:sz w:val="22"/>
                  </w:rPr>
                  <w:t> </w:t>
                </w:r>
                <w:r>
                  <w:rPr>
                    <w:rFonts w:ascii="Trebuchet MS" w:hAnsi="Trebuchet MS"/>
                    <w:b/>
                    <w:w w:val="90"/>
                    <w:sz w:val="22"/>
                  </w:rPr>
                  <w:t>do</w:t>
                </w:r>
                <w:r>
                  <w:rPr>
                    <w:rFonts w:ascii="Trebuchet MS" w:hAnsi="Trebuchet MS"/>
                    <w:b/>
                    <w:spacing w:val="-12"/>
                    <w:w w:val="90"/>
                    <w:sz w:val="22"/>
                  </w:rPr>
                  <w:t> </w:t>
                </w:r>
                <w:r>
                  <w:rPr>
                    <w:rFonts w:ascii="Trebuchet MS" w:hAnsi="Trebuchet MS"/>
                    <w:b/>
                    <w:w w:val="90"/>
                    <w:sz w:val="22"/>
                  </w:rPr>
                  <w:t>Trabalho</w:t>
                </w:r>
                <w:r>
                  <w:rPr>
                    <w:rFonts w:ascii="Trebuchet MS" w:hAnsi="Trebuchet MS"/>
                    <w:b/>
                    <w:spacing w:val="-12"/>
                    <w:w w:val="90"/>
                    <w:sz w:val="22"/>
                  </w:rPr>
                  <w:t> </w:t>
                </w:r>
                <w:r>
                  <w:rPr>
                    <w:rFonts w:ascii="Trebuchet MS" w:hAnsi="Trebuchet MS"/>
                    <w:b/>
                    <w:w w:val="90"/>
                    <w:sz w:val="22"/>
                  </w:rPr>
                  <w:t>Decente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"/>
      <w:lvlJc w:val="left"/>
      <w:pPr>
        <w:ind w:left="1022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26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3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44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662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200" w:hanging="663"/>
        <w:jc w:val="right"/>
      </w:pPr>
      <w:rPr>
        <w:rFonts w:hint="default" w:ascii="Arial" w:hAnsi="Arial" w:eastAsia="Arial" w:cs="Arial"/>
        <w:b/>
        <w:bCs/>
        <w:spacing w:val="-4"/>
        <w:w w:val="100"/>
        <w:sz w:val="22"/>
        <w:szCs w:val="22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662" w:hanging="898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00" w:hanging="898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60" w:hanging="898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634" w:hanging="898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708" w:hanging="898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4782" w:hanging="898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5857" w:hanging="898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6931" w:hanging="898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178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"/>
      <w:lvlJc w:val="left"/>
      <w:pPr>
        <w:ind w:left="1560" w:hanging="538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2">
      <w:start w:val="0"/>
      <w:numFmt w:val="bullet"/>
      <w:lvlText w:val=""/>
      <w:lvlJc w:val="left"/>
      <w:pPr>
        <w:ind w:left="1545" w:hanging="360"/>
      </w:pPr>
      <w:rPr>
        <w:rFonts w:hint="default" w:ascii="Wingdings" w:hAnsi="Wingdings" w:eastAsia="Wingdings" w:cs="Wingdings"/>
        <w:w w:val="100"/>
        <w:sz w:val="22"/>
        <w:szCs w:val="22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9" w:firstLine="542"/>
    </w:pPr>
    <w:rPr>
      <w:rFonts w:ascii="Arial" w:hAnsi="Arial" w:eastAsia="Arial" w:cs="Arial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662"/>
      <w:outlineLvl w:val="1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662"/>
      <w:outlineLvl w:val="2"/>
    </w:pPr>
    <w:rPr>
      <w:rFonts w:ascii="Arial" w:hAnsi="Arial" w:eastAsia="Arial" w:cs="Arial"/>
      <w:b/>
      <w:bCs/>
      <w:i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560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x455097</dc:creator>
  <dc:title>Comissão Municipal de Erradicação do Trabalho Escravo</dc:title>
  <dcterms:created xsi:type="dcterms:W3CDTF">2019-09-16T20:05:11Z</dcterms:created>
  <dcterms:modified xsi:type="dcterms:W3CDTF">2019-09-16T20:05:11Z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2019-09-16T00:00:00Z</vt:filetime>
  </property>
</Properties>
</file>