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2255204" w:rsidR="00CB1133" w:rsidRDefault="00343529">
      <w:pPr>
        <w:spacing w:line="360" w:lineRule="auto"/>
        <w:ind w:left="283"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dia vinte e dois do mês de novembro do ano de dois mil e vinte e um realizou-se a Reunião de Comissão Eleitoral do Conselho Gestor do Polo Cultural da Terceira Idade "José Lewgoy" realizada via aplicativo Google Meet devido à situação de pandemia COVID-19, com início às 14:30, sob a presidência do Sr. </w:t>
      </w:r>
      <w:r>
        <w:rPr>
          <w:b/>
          <w:sz w:val="24"/>
          <w:szCs w:val="24"/>
        </w:rPr>
        <w:t>Bruno Tadeu da Costa</w:t>
      </w:r>
      <w:r>
        <w:rPr>
          <w:sz w:val="24"/>
          <w:szCs w:val="24"/>
        </w:rPr>
        <w:t xml:space="preserve">, representante da Secretaria Municipal de Direitos Humanos e Cidadania - SMDHC, com a presença da Sra. </w:t>
      </w:r>
      <w:r>
        <w:rPr>
          <w:b/>
          <w:sz w:val="24"/>
          <w:szCs w:val="24"/>
        </w:rPr>
        <w:t>Suzana de Rosa</w:t>
      </w:r>
      <w:r>
        <w:rPr>
          <w:sz w:val="24"/>
          <w:szCs w:val="24"/>
        </w:rPr>
        <w:t xml:space="preserve">, representante da Secretaria Municipal de Direitos Humanos e Cidadania, e na presença dos seguintes Conselheiros: </w:t>
      </w:r>
      <w:r>
        <w:rPr>
          <w:b/>
          <w:sz w:val="24"/>
          <w:szCs w:val="24"/>
        </w:rPr>
        <w:t>Rosa Lazaro</w:t>
      </w:r>
      <w:r>
        <w:rPr>
          <w:sz w:val="24"/>
          <w:szCs w:val="24"/>
        </w:rPr>
        <w:t xml:space="preserve">, representante do Grande Conselho Municipal do Idoso;  o Sr. </w:t>
      </w:r>
      <w:r>
        <w:rPr>
          <w:b/>
          <w:color w:val="222222"/>
          <w:sz w:val="24"/>
          <w:szCs w:val="24"/>
          <w:highlight w:val="white"/>
        </w:rPr>
        <w:t>José Wilson Bernardes</w:t>
      </w:r>
      <w:r>
        <w:rPr>
          <w:color w:val="222222"/>
          <w:sz w:val="24"/>
          <w:szCs w:val="24"/>
          <w:highlight w:val="white"/>
        </w:rPr>
        <w:t xml:space="preserve">, </w:t>
      </w:r>
      <w:r>
        <w:rPr>
          <w:sz w:val="24"/>
          <w:szCs w:val="24"/>
        </w:rPr>
        <w:t>representante do Grande Conselho Municipal do Idoso.</w:t>
      </w:r>
    </w:p>
    <w:p w14:paraId="00000002" w14:textId="77777777" w:rsidR="00CB1133" w:rsidRDefault="00CB1133">
      <w:pPr>
        <w:spacing w:line="360" w:lineRule="auto"/>
        <w:ind w:left="283" w:right="-40"/>
        <w:jc w:val="both"/>
        <w:rPr>
          <w:sz w:val="24"/>
          <w:szCs w:val="24"/>
        </w:rPr>
      </w:pPr>
    </w:p>
    <w:p w14:paraId="00000003" w14:textId="77777777" w:rsidR="00CB1133" w:rsidRDefault="00343529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Informes iniciais:</w:t>
      </w:r>
    </w:p>
    <w:p w14:paraId="00000004" w14:textId="77777777" w:rsidR="00CB1133" w:rsidRDefault="00343529">
      <w:pPr>
        <w:spacing w:before="240" w:after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     </w:t>
      </w:r>
      <w:r>
        <w:rPr>
          <w:sz w:val="24"/>
          <w:szCs w:val="24"/>
        </w:rPr>
        <w:t>Aprovação da ata;</w:t>
      </w:r>
    </w:p>
    <w:p w14:paraId="00000005" w14:textId="77777777" w:rsidR="00CB1133" w:rsidRDefault="00343529">
      <w:pPr>
        <w:spacing w:before="240" w:after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      </w:t>
      </w:r>
      <w:r>
        <w:rPr>
          <w:sz w:val="24"/>
          <w:szCs w:val="24"/>
        </w:rPr>
        <w:t>Aguardo da apreciação jurídica aos questionamentos enviados;</w:t>
      </w:r>
    </w:p>
    <w:p w14:paraId="00000006" w14:textId="77777777" w:rsidR="00CB1133" w:rsidRDefault="00343529">
      <w:pPr>
        <w:spacing w:before="240" w:after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 xml:space="preserve">       </w:t>
      </w:r>
      <w:r>
        <w:rPr>
          <w:sz w:val="24"/>
          <w:szCs w:val="24"/>
        </w:rPr>
        <w:t>Critérios para a candidatura e Eleitor do Polo.</w:t>
      </w:r>
    </w:p>
    <w:p w14:paraId="00000007" w14:textId="77777777" w:rsidR="00CB1133" w:rsidRDefault="00343529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CB1133" w:rsidRDefault="00343529">
      <w:pPr>
        <w:numPr>
          <w:ilvl w:val="0"/>
          <w:numId w:val="2"/>
        </w:numPr>
        <w:spacing w:before="240" w:line="360" w:lineRule="auto"/>
        <w:jc w:val="both"/>
      </w:pPr>
      <w:r>
        <w:rPr>
          <w:sz w:val="24"/>
          <w:szCs w:val="24"/>
        </w:rPr>
        <w:t>O Sr. Bruno Tadeu início pontuando sobre o envio das Atas anteriores, na qual o prazo para validação já havia excedido a data inicialmente acordada, foi solicitado pelos conselheiros a prorrogação para validar essa Ata até dia 21/11 às 12h00, e por seguinte a publicação no site da Prefeitura para fins de transparência</w:t>
      </w:r>
    </w:p>
    <w:p w14:paraId="00000009" w14:textId="77777777" w:rsidR="00CB1133" w:rsidRDefault="0034352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reunião do dia 17/11 foi pontuado algumas questões na qual a Coordenação de Políticas para Pessoa Idosa encaminhou ao setor jurídico para que tenha um respaldo melhor sobre, estamos aguardando a resposta e posteriormente repassaremos.</w:t>
      </w:r>
    </w:p>
    <w:p w14:paraId="0000000B" w14:textId="666B94F6" w:rsidR="00CB1133" w:rsidRPr="00850D86" w:rsidRDefault="00343529" w:rsidP="00850D86">
      <w:pPr>
        <w:numPr>
          <w:ilvl w:val="0"/>
          <w:numId w:val="2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hyperlink r:id="rId5">
        <w:r>
          <w:rPr>
            <w:color w:val="1155CC"/>
            <w:sz w:val="24"/>
            <w:szCs w:val="24"/>
            <w:u w:val="single"/>
          </w:rPr>
          <w:t>decreto n°45.493 de 18 de novembro de 2004</w:t>
        </w:r>
      </w:hyperlink>
      <w:r>
        <w:rPr>
          <w:sz w:val="24"/>
          <w:szCs w:val="24"/>
        </w:rPr>
        <w:t xml:space="preserve"> responde sobre a dúvida levantada na reunião posterior. No Artigo 2º, item I</w:t>
      </w:r>
      <w:r w:rsidR="00850D86">
        <w:rPr>
          <w:sz w:val="24"/>
          <w:szCs w:val="24"/>
        </w:rPr>
        <w:t>,</w:t>
      </w:r>
      <w:r>
        <w:rPr>
          <w:sz w:val="24"/>
          <w:szCs w:val="24"/>
        </w:rPr>
        <w:t xml:space="preserve"> coloca que serão eleitos </w:t>
      </w:r>
      <w:r w:rsidR="00850D86">
        <w:rPr>
          <w:sz w:val="24"/>
          <w:szCs w:val="24"/>
        </w:rPr>
        <w:t>três</w:t>
      </w:r>
      <w:r>
        <w:rPr>
          <w:sz w:val="24"/>
          <w:szCs w:val="24"/>
        </w:rPr>
        <w:t xml:space="preserve"> representantes usuários da unidade, eleitos individualmente pelos próprios frequentadores</w:t>
      </w:r>
      <w:r w:rsidR="00850D86">
        <w:rPr>
          <w:sz w:val="24"/>
          <w:szCs w:val="24"/>
        </w:rPr>
        <w:t xml:space="preserve">. Dessa forma, </w:t>
      </w:r>
      <w:r>
        <w:rPr>
          <w:sz w:val="24"/>
          <w:szCs w:val="24"/>
        </w:rPr>
        <w:t>não se trata de uma eleição aberta a todo e qualquer cidadão da cidade de São Paulo, te</w:t>
      </w:r>
      <w:r w:rsidR="00850D86">
        <w:rPr>
          <w:sz w:val="24"/>
          <w:szCs w:val="24"/>
        </w:rPr>
        <w:t>ndo</w:t>
      </w:r>
      <w:r>
        <w:rPr>
          <w:sz w:val="24"/>
          <w:szCs w:val="24"/>
        </w:rPr>
        <w:t xml:space="preserve"> o caráter de ser realizada </w:t>
      </w:r>
      <w:r>
        <w:rPr>
          <w:sz w:val="24"/>
          <w:szCs w:val="24"/>
        </w:rPr>
        <w:lastRenderedPageBreak/>
        <w:t>pelo rol de pessoas que são usuários frequentes do equipamento. Sendo assim</w:t>
      </w:r>
      <w:r w:rsidR="00850D86">
        <w:rPr>
          <w:sz w:val="24"/>
          <w:szCs w:val="24"/>
        </w:rPr>
        <w:t>,</w:t>
      </w:r>
      <w:r>
        <w:rPr>
          <w:sz w:val="24"/>
          <w:szCs w:val="24"/>
        </w:rPr>
        <w:t xml:space="preserve"> ficam elegíveis os eleitores/candidatos que estão cadastrados na base de dados do equipamento, no qual tem seus dados como nome, número de registro, endereço, oficinas escolhidas e outros. Em seguida foi sanado dúvidas acerca do tema, reforçando que só serão elegíveis os eleitores e candidatos, que são frequentadores do Polo Cultural da Terceira Idade - José Lewgoy, os mesmos cadastrados no sistema do equipamento.</w:t>
      </w:r>
    </w:p>
    <w:p w14:paraId="0000000C" w14:textId="7F252EB6" w:rsidR="00CB1133" w:rsidRDefault="00343529">
      <w:pPr>
        <w:spacing w:before="240"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Pauta </w:t>
      </w:r>
      <w:r>
        <w:rPr>
          <w:sz w:val="24"/>
          <w:szCs w:val="24"/>
        </w:rPr>
        <w:t>- Definir as data</w:t>
      </w:r>
      <w:r w:rsidR="00850D86">
        <w:rPr>
          <w:sz w:val="24"/>
          <w:szCs w:val="24"/>
        </w:rPr>
        <w:t>s</w:t>
      </w:r>
      <w:r>
        <w:rPr>
          <w:sz w:val="24"/>
          <w:szCs w:val="24"/>
        </w:rPr>
        <w:t xml:space="preserve"> para de cada item abaixo: </w:t>
      </w:r>
    </w:p>
    <w:p w14:paraId="0000000D" w14:textId="77777777" w:rsidR="00CB1133" w:rsidRDefault="0034352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Posse do Conselho Eleito e entrega do relatório final;</w:t>
      </w:r>
    </w:p>
    <w:p w14:paraId="0000000E" w14:textId="77777777" w:rsidR="00CB1133" w:rsidRDefault="0034352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de publicação do resultado final;</w:t>
      </w:r>
    </w:p>
    <w:p w14:paraId="0000000F" w14:textId="77777777" w:rsidR="00CB1133" w:rsidRDefault="0034352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Período de resposta aos recursos;</w:t>
      </w:r>
    </w:p>
    <w:p w14:paraId="00000010" w14:textId="77777777" w:rsidR="00CB1133" w:rsidRDefault="0034352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Período Recursal;</w:t>
      </w:r>
    </w:p>
    <w:p w14:paraId="00000011" w14:textId="77777777" w:rsidR="00CB1133" w:rsidRDefault="0034352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de publicação do resultado parcial (dia seguinte à apuração);</w:t>
      </w:r>
    </w:p>
    <w:p w14:paraId="00000012" w14:textId="77777777" w:rsidR="00CB1133" w:rsidRDefault="0034352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da Apuração (Art. 10);</w:t>
      </w:r>
    </w:p>
    <w:p w14:paraId="00000013" w14:textId="77777777" w:rsidR="00CB1133" w:rsidRDefault="0034352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da Eleição (Art. 7);</w:t>
      </w:r>
    </w:p>
    <w:p w14:paraId="00000014" w14:textId="77777777" w:rsidR="00CB1133" w:rsidRDefault="0034352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Período de Inscrição de Candidaturas (Art. 3);</w:t>
      </w:r>
    </w:p>
    <w:p w14:paraId="00000015" w14:textId="77777777" w:rsidR="00CB1133" w:rsidRDefault="0034352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limite para Apresentação de Impugnação do Regimento Eleitoral;</w:t>
      </w:r>
    </w:p>
    <w:p w14:paraId="00000016" w14:textId="77777777" w:rsidR="00CB1133" w:rsidRDefault="0034352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de publicação do Regimento Eleitoral em DO;</w:t>
      </w:r>
    </w:p>
    <w:p w14:paraId="00000018" w14:textId="5FD92B0A" w:rsidR="00CB1133" w:rsidRPr="00850D86" w:rsidRDefault="00343529" w:rsidP="00850D8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Período máximo para inscrições habilitadas ao pleito → sugestão de 28.01.2022.</w:t>
      </w:r>
    </w:p>
    <w:p w14:paraId="00000019" w14:textId="695FC85D" w:rsidR="00CB1133" w:rsidRDefault="00343529">
      <w:pPr>
        <w:spacing w:before="240"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Informes fina</w:t>
      </w:r>
      <w:r w:rsidR="00850D86">
        <w:rPr>
          <w:b/>
          <w:sz w:val="24"/>
          <w:szCs w:val="24"/>
        </w:rPr>
        <w:t>is</w:t>
      </w:r>
      <w:r>
        <w:rPr>
          <w:b/>
          <w:sz w:val="24"/>
          <w:szCs w:val="24"/>
        </w:rPr>
        <w:t>:</w:t>
      </w:r>
    </w:p>
    <w:p w14:paraId="0000001E" w14:textId="507DFE44" w:rsidR="00CB1133" w:rsidRDefault="00343529" w:rsidP="00850D8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Sr. Bruno Tadeu, após apresentar a pauta para essa reunião, com a necessidade de definir as datas dos itens acima, realizou a sugestão de discutirmos e formalizar as datas nesta reunião, ou então, adiarmos para a próxima reunião na qual teremos os demais membros presentes para essa construção. Ao fim, a Sra. Ana Rosa adentrou da reunião e todos concordaram em realizar a discussão de datas para a próxima reunião no dia 29/11.</w:t>
      </w:r>
    </w:p>
    <w:sectPr w:rsidR="00CB113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F75"/>
    <w:multiLevelType w:val="multilevel"/>
    <w:tmpl w:val="7174EE48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D176146"/>
    <w:multiLevelType w:val="multilevel"/>
    <w:tmpl w:val="2674B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33"/>
    <w:rsid w:val="00343529"/>
    <w:rsid w:val="00850D86"/>
    <w:rsid w:val="00A34511"/>
    <w:rsid w:val="00C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6E8B"/>
  <w15:docId w15:val="{878A8BA0-D692-42BA-84F8-D6491126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umentacao.camara.sp.gov.br/iah/fulltext/decretos/D4549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Tadeu da Costa</cp:lastModifiedBy>
  <cp:revision>4</cp:revision>
  <dcterms:created xsi:type="dcterms:W3CDTF">2022-01-17T14:11:00Z</dcterms:created>
  <dcterms:modified xsi:type="dcterms:W3CDTF">2022-01-19T13:28:00Z</dcterms:modified>
</cp:coreProperties>
</file>