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000000000001" w:line="276" w:lineRule="auto"/>
        <w:ind w:left="215.99999999999994" w:right="22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DECRETO No 51.301, DE 22 DE FEVEREIRO DE 2010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Altera o artigo 2o do Decreto no 46.037, de 4 de julho de 2005, que institui o Conselho Municipal de Atenção à Diversidade Sexual, com as modificações introduzidas pelos Decretos no 46.080, de 15 de julho de 2005, no 48.850, de 22 de outubro de 2007, e no 49.484, de 8 de maio de 2008.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GILBERTO KASSAB, Prefeito do Município de São Paulo, no uso das atribuições que lhe são conferidas por lei,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70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D E C R E T A: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Art. 1o. O artigo 2o do Decreto no 46.037, de 4 de julho de 2005, com as modificações introduzidas pelos Decretos no 46.080, de 15 de julho de 2005, no 48.850, de 22 de outubro de 2007, e no 49.484, de 8 de maio de 2008, passa a vigorar com as seguintes alterações: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33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"Art. 2o. ............................................................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28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II - pela sociedade civil, 3 (três) representantes, sendo 2 (dois) titulares e 1 (um) suplente, de cada um dos seguintes segmentos: gays, lésbicas, bissexuais, travestis, transexuais e transgêneros, a serem eleitos em reunião do Conselho Municipal de Atenção à Diversidade Sexual convocada especialmente para essa finalidade, mediante publicação do respectivo edital no Diário Oficial da Cidade em prazo não inferior a 30 (trinta) dias da data prevista para a sua realização, cujos membros exercerão seus mandatos na condição de representantes dos segmentos que integram, independentemente das entidades a que pertençam.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§ 1o. A reunião do Conselho Municipal de Atenção à Diversidade Sexual destinada à eleição dos conselheiros titulares e suplentes, representantes da sociedade civil, conforme previsto no inciso II do "caput" deste artigo, terá sua convocação amplamente divulgada e será aberta a todos os interessados.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§ 2o. Para conduzir os trabalhos pertinentes ao processo eleitoral, o Conselho Municipal de Atenção à Diversidade Sexual constituirá Comissão Eleitoral a ser integrada pelo Presidente do Conselho, bem como por um representante da sociedade civil e um representante do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000000000001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Poder Público Municipal, ambos indicados em reunião do colegiado realizada para essa finalidade.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§ 3o. Os integrantes da Comissão Eleitoral não poderão participar como candidatos às eleições.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§ 4o. A Comissão Eleitoral terá autonomia para decidir sobre qualquer assunto que envolva as eleições, observadas a legislação aplicável e o regimento interno, que deverá ser elaborado para a condução das eleições e apresentado à reunião do Conselho, no mínimo, 30 (trinta) dias antes do pleito, bem como publicado no Diário Oficial da Cidade.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§ 5o. Após a escolha dos conselheiros, titulares e suplentes, representantes da sociedade civil, incumbirá à Presidência do Conselho Municipal de Atenção à Diversidade Sexual apresentar os nomes dos eleitos, com a indicação do segmento que representam, à Secretaria Municipal de Participação e Parceria, por meio de ofício devidamente instruído com a ata de reunião, a lista dos presentes e o resultado das eleições, a qual adotará as providências cabíveis para a nomeação e posse dos indicados.”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1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Art. 2o. Este decreto entrará em vigor na data de sua publicação.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PREFEITURA DO MUNICÍPIO DE SÃO PAULO, aos 22 de fevereiro de 2010, 457o da fundação de São Paulo.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48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GILBERTO KASSAB, PREFEITO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JOSÉ RICARDO FRANCO MONTORO, Secretário Municipal de Participação e Parceria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Publicado na Secretaria do Governo Municipal, em 22 de fevereiro de 2010.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396188735961914"/>
          <w:szCs w:val="26.396188735961914"/>
          <w:u w:val="none"/>
          <w:shd w:fill="auto" w:val="clear"/>
          <w:vertAlign w:val="baseline"/>
          <w:rtl w:val="0"/>
        </w:rPr>
        <w:t xml:space="preserve">CLOVIS DE BARROS CARVALHO, Secretário do Governo Municipal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