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4828" w:rsidRDefault="00840E8A">
      <w:pPr>
        <w:pStyle w:val="normal0"/>
        <w:rPr>
          <w:b/>
        </w:rPr>
      </w:pPr>
      <w:r>
        <w:rPr>
          <w:b/>
        </w:rPr>
        <w:t>Reunião GT Regimento Interno</w:t>
      </w:r>
    </w:p>
    <w:p w:rsidR="000C4828" w:rsidRDefault="00840E8A">
      <w:pPr>
        <w:pStyle w:val="normal0"/>
        <w:rPr>
          <w:b/>
        </w:rPr>
      </w:pPr>
      <w:r>
        <w:rPr>
          <w:b/>
        </w:rPr>
        <w:t>Conselho Municipal de Imigrantes</w:t>
      </w:r>
    </w:p>
    <w:p w:rsidR="000C4828" w:rsidRDefault="00840E8A">
      <w:pPr>
        <w:pStyle w:val="normal0"/>
        <w:rPr>
          <w:b/>
        </w:rPr>
      </w:pPr>
      <w:r>
        <w:rPr>
          <w:b/>
        </w:rPr>
        <w:t>13 de março de 2020</w:t>
      </w:r>
    </w:p>
    <w:p w:rsidR="000C4828" w:rsidRDefault="000C4828">
      <w:pPr>
        <w:pStyle w:val="normal0"/>
      </w:pPr>
    </w:p>
    <w:p w:rsidR="000C4828" w:rsidRDefault="00840E8A">
      <w:pPr>
        <w:pStyle w:val="normal0"/>
      </w:pPr>
      <w:r>
        <w:rPr>
          <w:b/>
        </w:rPr>
        <w:t>Membros do GT:</w:t>
      </w:r>
      <w:r>
        <w:t xml:space="preserve"> </w:t>
      </w:r>
      <w:proofErr w:type="spellStart"/>
      <w:r>
        <w:t>Leticia</w:t>
      </w:r>
      <w:proofErr w:type="spellEnd"/>
      <w:r>
        <w:t xml:space="preserve"> Carvalho (Missão Paz), </w:t>
      </w:r>
      <w:proofErr w:type="spellStart"/>
      <w:r>
        <w:t>Yoo</w:t>
      </w:r>
      <w:proofErr w:type="spellEnd"/>
      <w:r>
        <w:t xml:space="preserve"> Na </w:t>
      </w:r>
      <w:proofErr w:type="gramStart"/>
      <w:r>
        <w:t>Kim ,</w:t>
      </w:r>
      <w:proofErr w:type="gramEnd"/>
      <w:r>
        <w:t xml:space="preserve"> </w:t>
      </w:r>
      <w:proofErr w:type="spellStart"/>
      <w:r>
        <w:t>Keder</w:t>
      </w:r>
      <w:proofErr w:type="spellEnd"/>
      <w:r>
        <w:t xml:space="preserve"> </w:t>
      </w:r>
      <w:proofErr w:type="spellStart"/>
      <w:r>
        <w:t>Lafortune</w:t>
      </w:r>
      <w:proofErr w:type="spellEnd"/>
      <w:r>
        <w:t xml:space="preserve">, Claudete Dias (SMEDT), Jennifer </w:t>
      </w:r>
      <w:proofErr w:type="spellStart"/>
      <w:r>
        <w:t>Álvarez</w:t>
      </w:r>
      <w:proofErr w:type="spellEnd"/>
      <w:r>
        <w:t xml:space="preserve"> (SMDHC/</w:t>
      </w:r>
      <w:proofErr w:type="spellStart"/>
      <w:r>
        <w:t>CPMigTD</w:t>
      </w:r>
      <w:proofErr w:type="spellEnd"/>
      <w:r>
        <w:t xml:space="preserve">), Ana </w:t>
      </w:r>
      <w:proofErr w:type="spellStart"/>
      <w:r>
        <w:t>León</w:t>
      </w:r>
      <w:proofErr w:type="spellEnd"/>
      <w:r>
        <w:t xml:space="preserve"> (SMDHC/</w:t>
      </w:r>
      <w:proofErr w:type="spellStart"/>
      <w:r>
        <w:t>CPMigTD</w:t>
      </w:r>
      <w:proofErr w:type="spellEnd"/>
      <w:r>
        <w:t>)</w:t>
      </w:r>
    </w:p>
    <w:p w:rsidR="000C4828" w:rsidRDefault="000C4828">
      <w:pPr>
        <w:pStyle w:val="normal0"/>
      </w:pPr>
    </w:p>
    <w:p w:rsidR="000C4828" w:rsidRDefault="00840E8A">
      <w:pPr>
        <w:pStyle w:val="normal0"/>
        <w:rPr>
          <w:b/>
        </w:rPr>
      </w:pPr>
      <w:r>
        <w:rPr>
          <w:b/>
        </w:rPr>
        <w:t xml:space="preserve">Pauta: </w:t>
      </w:r>
    </w:p>
    <w:p w:rsidR="000C4828" w:rsidRDefault="000C4828">
      <w:pPr>
        <w:pStyle w:val="normal0"/>
        <w:rPr>
          <w:b/>
        </w:rPr>
      </w:pPr>
    </w:p>
    <w:p w:rsidR="000C4828" w:rsidRDefault="00840E8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Apresentação do processo de elaboração do Regimento</w:t>
      </w:r>
    </w:p>
    <w:p w:rsidR="000C4828" w:rsidRDefault="00840E8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leitura</w:t>
      </w:r>
      <w:proofErr w:type="gramEnd"/>
      <w:r>
        <w:t xml:space="preserve"> coletiva do Regimento Interno</w:t>
      </w:r>
    </w:p>
    <w:p w:rsidR="000C4828" w:rsidRDefault="00840E8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levantamento</w:t>
      </w:r>
      <w:proofErr w:type="gramEnd"/>
      <w:r>
        <w:t xml:space="preserve"> de sugestões</w:t>
      </w:r>
    </w:p>
    <w:p w:rsidR="000C4828" w:rsidRDefault="000C4828">
      <w:pPr>
        <w:pStyle w:val="normal0"/>
      </w:pPr>
    </w:p>
    <w:p w:rsidR="000C4828" w:rsidRDefault="00840E8A">
      <w:pPr>
        <w:pStyle w:val="normal0"/>
        <w:jc w:val="both"/>
      </w:pPr>
      <w:r>
        <w:t xml:space="preserve">Foi apresentado aos participantes do GT, o processo envolvido na elaboração do Regimento, e seguidamente se esclareceu para que </w:t>
      </w:r>
      <w:proofErr w:type="gramStart"/>
      <w:r>
        <w:t>serve</w:t>
      </w:r>
      <w:proofErr w:type="gramEnd"/>
      <w:r>
        <w:t xml:space="preserve"> o reg</w:t>
      </w:r>
      <w:r>
        <w:t xml:space="preserve">imento nos órgãos e instâncias consultivas e participativas. </w:t>
      </w:r>
    </w:p>
    <w:p w:rsidR="000C4828" w:rsidRDefault="000C4828">
      <w:pPr>
        <w:pStyle w:val="normal0"/>
        <w:jc w:val="both"/>
      </w:pPr>
    </w:p>
    <w:p w:rsidR="000C4828" w:rsidRDefault="00840E8A">
      <w:pPr>
        <w:pStyle w:val="normal0"/>
        <w:jc w:val="both"/>
      </w:pPr>
      <w:proofErr w:type="gramStart"/>
      <w:r>
        <w:t>Se identificou</w:t>
      </w:r>
      <w:proofErr w:type="gramEnd"/>
      <w:r>
        <w:t xml:space="preserve"> as partes da estrutura e conteúdo do Regimento que poderiam receber sugestões de alteração, e aqueles que não poderiam ser alterados pela sua relação com as normativas que instit</w:t>
      </w:r>
      <w:r>
        <w:t>uem e implementam a Política Municipal para a População Imigrante (Lei 16.478/2016 e Decreto 57.533/2016).</w:t>
      </w:r>
    </w:p>
    <w:p w:rsidR="000C4828" w:rsidRDefault="000C4828">
      <w:pPr>
        <w:pStyle w:val="normal0"/>
        <w:jc w:val="both"/>
      </w:pPr>
    </w:p>
    <w:p w:rsidR="000C4828" w:rsidRDefault="00840E8A">
      <w:pPr>
        <w:pStyle w:val="normal0"/>
        <w:jc w:val="both"/>
        <w:rPr>
          <w:b/>
        </w:rPr>
      </w:pPr>
      <w:r>
        <w:rPr>
          <w:b/>
        </w:rPr>
        <w:t>Partes inalteráveis:</w:t>
      </w:r>
    </w:p>
    <w:p w:rsidR="000C4828" w:rsidRDefault="00840E8A">
      <w:pPr>
        <w:pStyle w:val="normal0"/>
        <w:jc w:val="both"/>
      </w:pPr>
      <w:r>
        <w:t xml:space="preserve"> </w:t>
      </w:r>
    </w:p>
    <w:p w:rsidR="000C4828" w:rsidRDefault="00840E8A">
      <w:pPr>
        <w:pStyle w:val="normal0"/>
        <w:widowControl w:val="0"/>
        <w:numPr>
          <w:ilvl w:val="0"/>
          <w:numId w:val="4"/>
        </w:numPr>
        <w:ind w:left="566" w:hanging="356"/>
        <w:rPr>
          <w:color w:val="000000"/>
        </w:rPr>
      </w:pPr>
      <w:r>
        <w:t>Capítulo I: da Natureza e Finalidade</w:t>
      </w:r>
    </w:p>
    <w:p w:rsidR="000C4828" w:rsidRDefault="00840E8A">
      <w:pPr>
        <w:pStyle w:val="normal0"/>
        <w:widowControl w:val="0"/>
        <w:numPr>
          <w:ilvl w:val="0"/>
          <w:numId w:val="4"/>
        </w:numPr>
        <w:ind w:left="566" w:hanging="356"/>
        <w:rPr>
          <w:color w:val="000000"/>
        </w:rPr>
      </w:pPr>
      <w:r>
        <w:t xml:space="preserve">Capítulo II: Dos Princípios &gt; </w:t>
      </w:r>
      <w:r>
        <w:rPr>
          <w:i/>
          <w:shd w:val="clear" w:color="auto" w:fill="D9D9D9"/>
        </w:rPr>
        <w:t>Sustentados na Lei 14.678/2016</w:t>
      </w:r>
    </w:p>
    <w:p w:rsidR="000C4828" w:rsidRDefault="00840E8A">
      <w:pPr>
        <w:pStyle w:val="normal0"/>
        <w:widowControl w:val="0"/>
        <w:numPr>
          <w:ilvl w:val="0"/>
          <w:numId w:val="4"/>
        </w:numPr>
        <w:ind w:left="566" w:hanging="356"/>
        <w:rPr>
          <w:color w:val="000000"/>
        </w:rPr>
      </w:pPr>
      <w:r>
        <w:t>Capítulo III: Das Competênc</w:t>
      </w:r>
      <w:r>
        <w:t xml:space="preserve">ias e Atribuições &gt; </w:t>
      </w:r>
      <w:r>
        <w:rPr>
          <w:i/>
          <w:shd w:val="clear" w:color="auto" w:fill="D9D9D9"/>
        </w:rPr>
        <w:t>Sustentados no Decreto 57.533/2016</w:t>
      </w:r>
    </w:p>
    <w:p w:rsidR="000C4828" w:rsidRDefault="00840E8A">
      <w:pPr>
        <w:pStyle w:val="normal0"/>
        <w:widowControl w:val="0"/>
        <w:numPr>
          <w:ilvl w:val="0"/>
          <w:numId w:val="4"/>
        </w:numPr>
        <w:ind w:left="566" w:hanging="356"/>
        <w:rPr>
          <w:color w:val="000000"/>
        </w:rPr>
      </w:pPr>
      <w:r>
        <w:t>Capítulo IV: Da organização</w:t>
      </w:r>
    </w:p>
    <w:p w:rsidR="000C4828" w:rsidRDefault="00840E8A">
      <w:pPr>
        <w:pStyle w:val="normal0"/>
        <w:widowControl w:val="0"/>
        <w:numPr>
          <w:ilvl w:val="2"/>
          <w:numId w:val="4"/>
        </w:numPr>
        <w:rPr>
          <w:color w:val="000000"/>
        </w:rPr>
      </w:pPr>
      <w:r>
        <w:t xml:space="preserve">Seção </w:t>
      </w:r>
      <w:proofErr w:type="gramStart"/>
      <w:r>
        <w:t>I :</w:t>
      </w:r>
      <w:proofErr w:type="gramEnd"/>
      <w:r>
        <w:t xml:space="preserve"> Da Composição &gt; </w:t>
      </w:r>
      <w:r>
        <w:rPr>
          <w:shd w:val="clear" w:color="auto" w:fill="EFEFEF"/>
        </w:rPr>
        <w:t>Cumprimento da lei 15.946/2013 - Paridade Poder Público</w:t>
      </w:r>
    </w:p>
    <w:p w:rsidR="000C4828" w:rsidRDefault="00840E8A">
      <w:pPr>
        <w:pStyle w:val="normal0"/>
        <w:widowControl w:val="0"/>
        <w:numPr>
          <w:ilvl w:val="2"/>
          <w:numId w:val="4"/>
        </w:numPr>
        <w:rPr>
          <w:color w:val="000000"/>
        </w:rPr>
      </w:pPr>
      <w:r>
        <w:t xml:space="preserve">Seção </w:t>
      </w:r>
      <w:proofErr w:type="gramStart"/>
      <w:r>
        <w:t>II :</w:t>
      </w:r>
      <w:proofErr w:type="gramEnd"/>
      <w:r>
        <w:t xml:space="preserve"> Dos órgãos </w:t>
      </w:r>
    </w:p>
    <w:p w:rsidR="000C4828" w:rsidRDefault="000C4828">
      <w:pPr>
        <w:pStyle w:val="normal0"/>
        <w:widowControl w:val="0"/>
        <w:ind w:left="2160"/>
      </w:pPr>
    </w:p>
    <w:p w:rsidR="000C4828" w:rsidRDefault="00840E8A">
      <w:pPr>
        <w:pStyle w:val="normal0"/>
        <w:widowControl w:val="0"/>
        <w:numPr>
          <w:ilvl w:val="0"/>
          <w:numId w:val="4"/>
        </w:numPr>
      </w:pPr>
      <w:r>
        <w:t>Capítulo V: Das atribuições dos Órgãos</w:t>
      </w:r>
    </w:p>
    <w:p w:rsidR="000C4828" w:rsidRDefault="00840E8A">
      <w:pPr>
        <w:pStyle w:val="normal0"/>
        <w:widowControl w:val="0"/>
        <w:numPr>
          <w:ilvl w:val="0"/>
          <w:numId w:val="4"/>
        </w:numPr>
        <w:ind w:left="2160"/>
        <w:rPr>
          <w:color w:val="000000"/>
        </w:rPr>
      </w:pPr>
      <w:r>
        <w:t>Seção V: Dos/as Conselheiros/as Titulares</w:t>
      </w:r>
    </w:p>
    <w:p w:rsidR="000C4828" w:rsidRDefault="00840E8A">
      <w:pPr>
        <w:pStyle w:val="normal0"/>
        <w:widowControl w:val="0"/>
        <w:numPr>
          <w:ilvl w:val="0"/>
          <w:numId w:val="4"/>
        </w:numPr>
        <w:ind w:left="2160"/>
        <w:rPr>
          <w:color w:val="000000"/>
        </w:rPr>
      </w:pPr>
      <w:proofErr w:type="gramStart"/>
      <w:r>
        <w:t>Seção VI</w:t>
      </w:r>
      <w:proofErr w:type="gramEnd"/>
      <w:r>
        <w:t>: Dos/as Conselheiros/as Suplentes</w:t>
      </w:r>
    </w:p>
    <w:p w:rsidR="000C4828" w:rsidRDefault="00840E8A">
      <w:pPr>
        <w:pStyle w:val="normal0"/>
        <w:widowControl w:val="0"/>
        <w:numPr>
          <w:ilvl w:val="0"/>
          <w:numId w:val="4"/>
        </w:numPr>
        <w:rPr>
          <w:color w:val="000000"/>
        </w:rPr>
      </w:pPr>
      <w:r>
        <w:t>Capítulo VII: Da Aprovação do Regimento Interno</w:t>
      </w:r>
    </w:p>
    <w:p w:rsidR="000C4828" w:rsidRDefault="00840E8A">
      <w:pPr>
        <w:pStyle w:val="normal0"/>
        <w:widowControl w:val="0"/>
        <w:numPr>
          <w:ilvl w:val="0"/>
          <w:numId w:val="4"/>
        </w:numPr>
        <w:rPr>
          <w:color w:val="000000"/>
        </w:rPr>
      </w:pPr>
      <w:r>
        <w:t>Capítulo VIII: Da Eleição dos Representantes da Sociedade Civil</w:t>
      </w:r>
    </w:p>
    <w:p w:rsidR="000C4828" w:rsidRDefault="000C4828">
      <w:pPr>
        <w:pStyle w:val="normal0"/>
        <w:widowControl w:val="0"/>
        <w:rPr>
          <w:b/>
        </w:rPr>
      </w:pPr>
    </w:p>
    <w:p w:rsidR="000C4828" w:rsidRDefault="00840E8A">
      <w:pPr>
        <w:pStyle w:val="normal0"/>
        <w:widowControl w:val="0"/>
        <w:rPr>
          <w:b/>
        </w:rPr>
      </w:pPr>
      <w:r>
        <w:rPr>
          <w:b/>
        </w:rPr>
        <w:t>Partes alteráveis:</w:t>
      </w:r>
    </w:p>
    <w:p w:rsidR="000C4828" w:rsidRDefault="000C4828">
      <w:pPr>
        <w:pStyle w:val="normal0"/>
        <w:widowControl w:val="0"/>
        <w:rPr>
          <w:b/>
        </w:rPr>
      </w:pPr>
    </w:p>
    <w:p w:rsidR="000C4828" w:rsidRDefault="00840E8A">
      <w:pPr>
        <w:pStyle w:val="normal0"/>
        <w:widowControl w:val="0"/>
        <w:numPr>
          <w:ilvl w:val="0"/>
          <w:numId w:val="3"/>
        </w:numPr>
        <w:ind w:left="566" w:hanging="356"/>
        <w:rPr>
          <w:color w:val="000000"/>
        </w:rPr>
      </w:pPr>
      <w:r>
        <w:t>Capítulo V: Das atribuições dos Órgãos</w:t>
      </w:r>
    </w:p>
    <w:p w:rsidR="000C4828" w:rsidRDefault="00840E8A">
      <w:pPr>
        <w:pStyle w:val="normal0"/>
        <w:widowControl w:val="0"/>
        <w:numPr>
          <w:ilvl w:val="2"/>
          <w:numId w:val="3"/>
        </w:numPr>
        <w:rPr>
          <w:color w:val="000000"/>
        </w:rPr>
      </w:pPr>
      <w:r>
        <w:t xml:space="preserve">Seção </w:t>
      </w:r>
      <w:proofErr w:type="gramStart"/>
      <w:r>
        <w:t>I :</w:t>
      </w:r>
      <w:proofErr w:type="gramEnd"/>
      <w:r>
        <w:t xml:space="preserve"> do Plenário</w:t>
      </w:r>
    </w:p>
    <w:p w:rsidR="000C4828" w:rsidRDefault="00840E8A">
      <w:pPr>
        <w:pStyle w:val="normal0"/>
        <w:widowControl w:val="0"/>
        <w:numPr>
          <w:ilvl w:val="2"/>
          <w:numId w:val="3"/>
        </w:numPr>
        <w:rPr>
          <w:color w:val="000000"/>
        </w:rPr>
      </w:pPr>
      <w:r>
        <w:t>Seção II: da Presidência</w:t>
      </w:r>
    </w:p>
    <w:p w:rsidR="000C4828" w:rsidRDefault="00840E8A">
      <w:pPr>
        <w:pStyle w:val="normal0"/>
        <w:widowControl w:val="0"/>
        <w:numPr>
          <w:ilvl w:val="2"/>
          <w:numId w:val="3"/>
        </w:numPr>
        <w:rPr>
          <w:color w:val="000000"/>
        </w:rPr>
      </w:pPr>
      <w:r>
        <w:t>Seção III: da Secretaria Executiva</w:t>
      </w:r>
    </w:p>
    <w:p w:rsidR="000C4828" w:rsidRDefault="00840E8A">
      <w:pPr>
        <w:pStyle w:val="normal0"/>
        <w:widowControl w:val="0"/>
        <w:numPr>
          <w:ilvl w:val="2"/>
          <w:numId w:val="3"/>
        </w:numPr>
        <w:rPr>
          <w:color w:val="000000"/>
        </w:rPr>
      </w:pPr>
      <w:r>
        <w:t>Seção IV: dos Grupos de Trabalho</w:t>
      </w:r>
    </w:p>
    <w:p w:rsidR="000C4828" w:rsidRDefault="00840E8A">
      <w:pPr>
        <w:pStyle w:val="normal0"/>
        <w:widowControl w:val="0"/>
        <w:numPr>
          <w:ilvl w:val="2"/>
          <w:numId w:val="3"/>
        </w:numPr>
        <w:rPr>
          <w:color w:val="000000"/>
        </w:rPr>
      </w:pPr>
      <w:r>
        <w:lastRenderedPageBreak/>
        <w:t>Seção VII: Dos demais participantes</w:t>
      </w:r>
    </w:p>
    <w:p w:rsidR="000C4828" w:rsidRDefault="00840E8A">
      <w:pPr>
        <w:pStyle w:val="normal0"/>
        <w:widowControl w:val="0"/>
        <w:numPr>
          <w:ilvl w:val="0"/>
          <w:numId w:val="3"/>
        </w:numPr>
        <w:rPr>
          <w:color w:val="000000"/>
        </w:rPr>
      </w:pPr>
      <w:proofErr w:type="gramStart"/>
      <w:r>
        <w:t>Capítulo VI</w:t>
      </w:r>
      <w:proofErr w:type="gramEnd"/>
      <w:r>
        <w:t>: Do Funcionamento</w:t>
      </w:r>
    </w:p>
    <w:p w:rsidR="000C4828" w:rsidRDefault="00840E8A">
      <w:pPr>
        <w:pStyle w:val="normal0"/>
        <w:widowControl w:val="0"/>
        <w:numPr>
          <w:ilvl w:val="0"/>
          <w:numId w:val="3"/>
        </w:numPr>
        <w:rPr>
          <w:color w:val="000000"/>
        </w:rPr>
      </w:pPr>
      <w:r>
        <w:t xml:space="preserve">Capítulo IX: Da substituição dos Membros do Conselho </w:t>
      </w:r>
    </w:p>
    <w:p w:rsidR="000C4828" w:rsidRDefault="00840E8A">
      <w:pPr>
        <w:pStyle w:val="normal0"/>
        <w:widowControl w:val="0"/>
        <w:numPr>
          <w:ilvl w:val="0"/>
          <w:numId w:val="3"/>
        </w:numPr>
        <w:rPr>
          <w:color w:val="000000"/>
        </w:rPr>
      </w:pPr>
      <w:r>
        <w:t>Capítulo X: Das Conferências Municipais de Políticas para Imigrantes</w:t>
      </w:r>
    </w:p>
    <w:p w:rsidR="000C4828" w:rsidRDefault="00840E8A">
      <w:pPr>
        <w:pStyle w:val="normal0"/>
        <w:widowControl w:val="0"/>
        <w:numPr>
          <w:ilvl w:val="0"/>
          <w:numId w:val="3"/>
        </w:numPr>
        <w:rPr>
          <w:color w:val="000000"/>
        </w:rPr>
      </w:pPr>
      <w:r>
        <w:t>Capítulo XI: Das disposições Finais</w:t>
      </w:r>
    </w:p>
    <w:p w:rsidR="000C4828" w:rsidRDefault="00840E8A">
      <w:pPr>
        <w:pStyle w:val="normal0"/>
        <w:widowControl w:val="0"/>
        <w:numPr>
          <w:ilvl w:val="0"/>
          <w:numId w:val="3"/>
        </w:numPr>
        <w:rPr>
          <w:color w:val="000000"/>
        </w:rPr>
      </w:pPr>
      <w:r>
        <w:t>Capítulo XII: Da vigência do Regimento Interno</w:t>
      </w:r>
      <w:r>
        <w:rPr>
          <w:rFonts w:ascii="Proxima Nova" w:eastAsia="Proxima Nova" w:hAnsi="Proxima Nova" w:cs="Proxima Nova"/>
          <w:sz w:val="28"/>
          <w:szCs w:val="28"/>
        </w:rPr>
        <w:t xml:space="preserve"> </w:t>
      </w:r>
    </w:p>
    <w:p w:rsidR="000C4828" w:rsidRDefault="000C4828">
      <w:pPr>
        <w:pStyle w:val="normal0"/>
        <w:widowControl w:val="0"/>
      </w:pPr>
    </w:p>
    <w:p w:rsidR="000C4828" w:rsidRDefault="00840E8A">
      <w:pPr>
        <w:pStyle w:val="normal0"/>
        <w:widowControl w:val="0"/>
      </w:pPr>
      <w:r>
        <w:t xml:space="preserve">Foi feita a leitura coletiva do documento passando para todos os capítulos e levantadas </w:t>
      </w:r>
      <w:proofErr w:type="gramStart"/>
      <w:r>
        <w:t>as</w:t>
      </w:r>
      <w:proofErr w:type="gramEnd"/>
      <w:r>
        <w:t xml:space="preserve"> sugestões e pontos de atenção:</w:t>
      </w:r>
    </w:p>
    <w:p w:rsidR="000C4828" w:rsidRDefault="000C4828">
      <w:pPr>
        <w:pStyle w:val="normal0"/>
        <w:widowControl w:val="0"/>
      </w:pPr>
    </w:p>
    <w:p w:rsidR="000C4828" w:rsidRDefault="00840E8A">
      <w:pPr>
        <w:pStyle w:val="normal0"/>
        <w:widowControl w:val="0"/>
        <w:numPr>
          <w:ilvl w:val="0"/>
          <w:numId w:val="5"/>
        </w:numPr>
      </w:pPr>
      <w:r>
        <w:t xml:space="preserve">Letícia: </w:t>
      </w:r>
    </w:p>
    <w:p w:rsidR="000C4828" w:rsidRDefault="00840E8A">
      <w:pPr>
        <w:pStyle w:val="normal0"/>
        <w:widowControl w:val="0"/>
        <w:numPr>
          <w:ilvl w:val="1"/>
          <w:numId w:val="5"/>
        </w:numPr>
      </w:pPr>
      <w:r>
        <w:t xml:space="preserve">Criar figura de vice-presidência alternada entre poder público e sociedade civil </w:t>
      </w:r>
    </w:p>
    <w:p w:rsidR="000C4828" w:rsidRDefault="00840E8A">
      <w:pPr>
        <w:pStyle w:val="normal0"/>
        <w:widowControl w:val="0"/>
        <w:numPr>
          <w:ilvl w:val="1"/>
          <w:numId w:val="5"/>
        </w:numPr>
      </w:pPr>
      <w:r>
        <w:t>A Secretaria Executiva do CMI deve contin</w:t>
      </w:r>
      <w:r>
        <w:t xml:space="preserve">uar com a </w:t>
      </w:r>
      <w:proofErr w:type="spellStart"/>
      <w:proofErr w:type="gramStart"/>
      <w:r>
        <w:t>CPMigTD</w:t>
      </w:r>
      <w:proofErr w:type="spellEnd"/>
      <w:proofErr w:type="gramEnd"/>
    </w:p>
    <w:p w:rsidR="000C4828" w:rsidRDefault="00840E8A">
      <w:pPr>
        <w:pStyle w:val="normal0"/>
        <w:widowControl w:val="0"/>
        <w:numPr>
          <w:ilvl w:val="1"/>
          <w:numId w:val="5"/>
        </w:numPr>
      </w:pPr>
      <w:r>
        <w:t>Criar uma forma para que a Sociedade Civil esteja mais próxima à Secretaria Executiva</w:t>
      </w:r>
    </w:p>
    <w:p w:rsidR="000C4828" w:rsidRDefault="00840E8A">
      <w:pPr>
        <w:pStyle w:val="normal0"/>
        <w:widowControl w:val="0"/>
        <w:numPr>
          <w:ilvl w:val="1"/>
          <w:numId w:val="5"/>
        </w:numPr>
      </w:pPr>
      <w:r>
        <w:t xml:space="preserve">Prever maior tempo para que os representantes do Poder Público no CMI tenham conhecimento da eleição da presidência do CMI. </w:t>
      </w:r>
    </w:p>
    <w:p w:rsidR="000C4828" w:rsidRDefault="000C4828">
      <w:pPr>
        <w:pStyle w:val="normal0"/>
        <w:widowControl w:val="0"/>
        <w:ind w:left="1440"/>
      </w:pPr>
    </w:p>
    <w:p w:rsidR="000C4828" w:rsidRDefault="00840E8A">
      <w:pPr>
        <w:pStyle w:val="normal0"/>
        <w:widowControl w:val="0"/>
        <w:numPr>
          <w:ilvl w:val="0"/>
          <w:numId w:val="5"/>
        </w:numPr>
      </w:pPr>
      <w:r>
        <w:t>SMDHC:</w:t>
      </w:r>
    </w:p>
    <w:p w:rsidR="000C4828" w:rsidRDefault="00840E8A">
      <w:pPr>
        <w:pStyle w:val="normal0"/>
        <w:widowControl w:val="0"/>
        <w:numPr>
          <w:ilvl w:val="1"/>
          <w:numId w:val="5"/>
        </w:numPr>
      </w:pPr>
      <w:r>
        <w:t>Dentro do CMI defin</w:t>
      </w:r>
      <w:r>
        <w:t>ir uma forma (conselheiros) que façam o monitoramento das atividades da Sec. Executiva e do funcionamento do CMI</w:t>
      </w:r>
    </w:p>
    <w:p w:rsidR="000C4828" w:rsidRDefault="00840E8A">
      <w:pPr>
        <w:pStyle w:val="normal0"/>
        <w:widowControl w:val="0"/>
        <w:numPr>
          <w:ilvl w:val="1"/>
          <w:numId w:val="5"/>
        </w:numPr>
      </w:pPr>
      <w:r>
        <w:t xml:space="preserve">Considerar a demanda de auxílio de Transporte para pessoa física do CMI, no Regimento </w:t>
      </w:r>
    </w:p>
    <w:p w:rsidR="000C4828" w:rsidRDefault="000C4828">
      <w:pPr>
        <w:pStyle w:val="normal0"/>
        <w:widowControl w:val="0"/>
        <w:ind w:left="1440"/>
      </w:pPr>
    </w:p>
    <w:p w:rsidR="000C4828" w:rsidRDefault="00840E8A">
      <w:pPr>
        <w:pStyle w:val="normal0"/>
        <w:widowControl w:val="0"/>
        <w:numPr>
          <w:ilvl w:val="0"/>
          <w:numId w:val="5"/>
        </w:numPr>
      </w:pPr>
      <w:proofErr w:type="spellStart"/>
      <w:r>
        <w:t>Yoo</w:t>
      </w:r>
      <w:proofErr w:type="spellEnd"/>
      <w:r>
        <w:t xml:space="preserve"> Na:</w:t>
      </w:r>
    </w:p>
    <w:p w:rsidR="000C4828" w:rsidRDefault="00840E8A">
      <w:pPr>
        <w:pStyle w:val="normal0"/>
        <w:widowControl w:val="0"/>
        <w:numPr>
          <w:ilvl w:val="1"/>
          <w:numId w:val="5"/>
        </w:numPr>
      </w:pPr>
      <w:r>
        <w:t>Analisar a Lei sobre o 50% de mulheres na compo</w:t>
      </w:r>
      <w:r>
        <w:t xml:space="preserve">sição do órgão </w:t>
      </w:r>
    </w:p>
    <w:p w:rsidR="000C4828" w:rsidRDefault="000C4828">
      <w:pPr>
        <w:pStyle w:val="normal0"/>
        <w:widowControl w:val="0"/>
        <w:ind w:left="1440"/>
      </w:pPr>
    </w:p>
    <w:p w:rsidR="000C4828" w:rsidRDefault="00840E8A">
      <w:pPr>
        <w:pStyle w:val="normal0"/>
        <w:widowControl w:val="0"/>
        <w:numPr>
          <w:ilvl w:val="0"/>
          <w:numId w:val="5"/>
        </w:numPr>
      </w:pPr>
      <w:proofErr w:type="spellStart"/>
      <w:r>
        <w:t>Keder</w:t>
      </w:r>
      <w:proofErr w:type="spellEnd"/>
      <w:r>
        <w:t xml:space="preserve">: </w:t>
      </w:r>
    </w:p>
    <w:p w:rsidR="000C4828" w:rsidRDefault="00840E8A">
      <w:pPr>
        <w:pStyle w:val="normal0"/>
        <w:widowControl w:val="0"/>
        <w:numPr>
          <w:ilvl w:val="1"/>
          <w:numId w:val="5"/>
        </w:numPr>
      </w:pPr>
      <w:r>
        <w:t xml:space="preserve">Considerar o número de votos em relação ao cumprimento </w:t>
      </w:r>
      <w:proofErr w:type="gramStart"/>
      <w:r>
        <w:t>do 50</w:t>
      </w:r>
      <w:proofErr w:type="gramEnd"/>
      <w:r>
        <w:t>% no mínimo de mulheres</w:t>
      </w:r>
    </w:p>
    <w:p w:rsidR="000C4828" w:rsidRDefault="00840E8A">
      <w:pPr>
        <w:pStyle w:val="normal0"/>
        <w:widowControl w:val="0"/>
        <w:numPr>
          <w:ilvl w:val="1"/>
          <w:numId w:val="5"/>
        </w:numPr>
      </w:pPr>
      <w:r>
        <w:t xml:space="preserve">Pensar em como abordar as faltas dos membros </w:t>
      </w:r>
    </w:p>
    <w:p w:rsidR="000C4828" w:rsidRDefault="000C4828">
      <w:pPr>
        <w:pStyle w:val="normal0"/>
        <w:widowControl w:val="0"/>
      </w:pPr>
    </w:p>
    <w:p w:rsidR="000C4828" w:rsidRDefault="000C4828">
      <w:pPr>
        <w:pStyle w:val="normal0"/>
        <w:widowControl w:val="0"/>
      </w:pPr>
    </w:p>
    <w:p w:rsidR="000C4828" w:rsidRDefault="00840E8A">
      <w:pPr>
        <w:pStyle w:val="normal0"/>
        <w:widowControl w:val="0"/>
      </w:pPr>
      <w:r>
        <w:t>Encaminhamentos:</w:t>
      </w:r>
    </w:p>
    <w:p w:rsidR="000C4828" w:rsidRDefault="000C4828">
      <w:pPr>
        <w:pStyle w:val="normal0"/>
        <w:widowControl w:val="0"/>
      </w:pPr>
    </w:p>
    <w:p w:rsidR="000C4828" w:rsidRDefault="00840E8A">
      <w:pPr>
        <w:pStyle w:val="normal0"/>
        <w:widowControl w:val="0"/>
        <w:numPr>
          <w:ilvl w:val="0"/>
          <w:numId w:val="2"/>
        </w:numPr>
      </w:pPr>
      <w:r>
        <w:t>Próxima reunião 02 de abril</w:t>
      </w:r>
    </w:p>
    <w:p w:rsidR="000C4828" w:rsidRDefault="00840E8A">
      <w:pPr>
        <w:pStyle w:val="normal0"/>
        <w:widowControl w:val="0"/>
        <w:numPr>
          <w:ilvl w:val="0"/>
          <w:numId w:val="2"/>
        </w:numPr>
      </w:pPr>
      <w:r>
        <w:t xml:space="preserve">Levantamento de sugestões no texto por parte dos membros do GT considerando as partes alteráveis. </w:t>
      </w:r>
    </w:p>
    <w:p w:rsidR="000C4828" w:rsidRDefault="000C4828">
      <w:pPr>
        <w:pStyle w:val="normal0"/>
        <w:widowControl w:val="0"/>
      </w:pPr>
    </w:p>
    <w:p w:rsidR="000C4828" w:rsidRDefault="000C4828">
      <w:pPr>
        <w:pStyle w:val="normal0"/>
        <w:widowControl w:val="0"/>
      </w:pPr>
    </w:p>
    <w:p w:rsidR="000C4828" w:rsidRDefault="000C4828">
      <w:pPr>
        <w:pStyle w:val="normal0"/>
        <w:jc w:val="both"/>
      </w:pPr>
    </w:p>
    <w:sectPr w:rsidR="000C4828" w:rsidSect="000C4828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xima Nova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357BE"/>
    <w:multiLevelType w:val="multilevel"/>
    <w:tmpl w:val="DF262E0A"/>
    <w:lvl w:ilvl="0">
      <w:start w:val="1"/>
      <w:numFmt w:val="bullet"/>
      <w:lvlText w:val="●"/>
      <w:lvlJc w:val="right"/>
      <w:pPr>
        <w:ind w:left="720" w:hanging="360"/>
      </w:pPr>
      <w:rPr>
        <w:rFonts w:ascii="Proxima Nova" w:eastAsia="Proxima Nova" w:hAnsi="Proxima Nova" w:cs="Proxima Nova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Proxima Nova" w:eastAsia="Proxima Nova" w:hAnsi="Proxima Nova" w:cs="Proxima Nova"/>
        <w:b w:val="0"/>
        <w:i w:val="0"/>
        <w:smallCaps w:val="0"/>
        <w:strike w:val="0"/>
        <w:color w:val="666666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Proxima Nova" w:eastAsia="Proxima Nova" w:hAnsi="Proxima Nova" w:cs="Proxima Nova"/>
        <w:b w:val="0"/>
        <w:i w:val="0"/>
        <w:smallCaps w:val="0"/>
        <w:strike w:val="0"/>
        <w:color w:val="666666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Proxima Nova" w:eastAsia="Proxima Nova" w:hAnsi="Proxima Nova" w:cs="Proxima Nova"/>
        <w:b w:val="0"/>
        <w:i w:val="0"/>
        <w:smallCaps w:val="0"/>
        <w:strike w:val="0"/>
        <w:color w:val="666666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Proxima Nova" w:eastAsia="Proxima Nova" w:hAnsi="Proxima Nova" w:cs="Proxima Nova"/>
        <w:b w:val="0"/>
        <w:i w:val="0"/>
        <w:smallCaps w:val="0"/>
        <w:strike w:val="0"/>
        <w:color w:val="666666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Proxima Nova" w:eastAsia="Proxima Nova" w:hAnsi="Proxima Nova" w:cs="Proxima Nova"/>
        <w:b w:val="0"/>
        <w:i w:val="0"/>
        <w:smallCaps w:val="0"/>
        <w:strike w:val="0"/>
        <w:color w:val="666666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Proxima Nova" w:eastAsia="Proxima Nova" w:hAnsi="Proxima Nova" w:cs="Proxima Nova"/>
        <w:b w:val="0"/>
        <w:i w:val="0"/>
        <w:smallCaps w:val="0"/>
        <w:strike w:val="0"/>
        <w:color w:val="666666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Proxima Nova" w:eastAsia="Proxima Nova" w:hAnsi="Proxima Nova" w:cs="Proxima Nova"/>
        <w:b w:val="0"/>
        <w:i w:val="0"/>
        <w:smallCaps w:val="0"/>
        <w:strike w:val="0"/>
        <w:color w:val="666666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Proxima Nova" w:eastAsia="Proxima Nova" w:hAnsi="Proxima Nova" w:cs="Proxima Nova"/>
        <w:b w:val="0"/>
        <w:i w:val="0"/>
        <w:smallCaps w:val="0"/>
        <w:strike w:val="0"/>
        <w:color w:val="666666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4C4C3C1F"/>
    <w:multiLevelType w:val="multilevel"/>
    <w:tmpl w:val="3CD89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AFE1A53"/>
    <w:multiLevelType w:val="multilevel"/>
    <w:tmpl w:val="47CEFB14"/>
    <w:lvl w:ilvl="0">
      <w:start w:val="1"/>
      <w:numFmt w:val="bullet"/>
      <w:lvlText w:val="●"/>
      <w:lvlJc w:val="right"/>
      <w:pPr>
        <w:ind w:left="720" w:hanging="360"/>
      </w:pPr>
      <w:rPr>
        <w:rFonts w:ascii="Proxima Nova" w:eastAsia="Proxima Nova" w:hAnsi="Proxima Nova" w:cs="Proxima Nova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Proxima Nova" w:eastAsia="Proxima Nova" w:hAnsi="Proxima Nova" w:cs="Proxima Nova"/>
        <w:b w:val="0"/>
        <w:i w:val="0"/>
        <w:smallCaps w:val="0"/>
        <w:strike w:val="0"/>
        <w:color w:val="666666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Proxima Nova" w:eastAsia="Proxima Nova" w:hAnsi="Proxima Nova" w:cs="Proxima Nova"/>
        <w:b w:val="0"/>
        <w:i w:val="0"/>
        <w:smallCaps w:val="0"/>
        <w:strike w:val="0"/>
        <w:color w:val="666666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Proxima Nova" w:eastAsia="Proxima Nova" w:hAnsi="Proxima Nova" w:cs="Proxima Nova"/>
        <w:b w:val="0"/>
        <w:i w:val="0"/>
        <w:smallCaps w:val="0"/>
        <w:strike w:val="0"/>
        <w:color w:val="666666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Proxima Nova" w:eastAsia="Proxima Nova" w:hAnsi="Proxima Nova" w:cs="Proxima Nova"/>
        <w:b w:val="0"/>
        <w:i w:val="0"/>
        <w:smallCaps w:val="0"/>
        <w:strike w:val="0"/>
        <w:color w:val="666666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Proxima Nova" w:eastAsia="Proxima Nova" w:hAnsi="Proxima Nova" w:cs="Proxima Nova"/>
        <w:b w:val="0"/>
        <w:i w:val="0"/>
        <w:smallCaps w:val="0"/>
        <w:strike w:val="0"/>
        <w:color w:val="666666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Proxima Nova" w:eastAsia="Proxima Nova" w:hAnsi="Proxima Nova" w:cs="Proxima Nova"/>
        <w:b w:val="0"/>
        <w:i w:val="0"/>
        <w:smallCaps w:val="0"/>
        <w:strike w:val="0"/>
        <w:color w:val="666666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Proxima Nova" w:eastAsia="Proxima Nova" w:hAnsi="Proxima Nova" w:cs="Proxima Nova"/>
        <w:b w:val="0"/>
        <w:i w:val="0"/>
        <w:smallCaps w:val="0"/>
        <w:strike w:val="0"/>
        <w:color w:val="666666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Proxima Nova" w:eastAsia="Proxima Nova" w:hAnsi="Proxima Nova" w:cs="Proxima Nova"/>
        <w:b w:val="0"/>
        <w:i w:val="0"/>
        <w:smallCaps w:val="0"/>
        <w:strike w:val="0"/>
        <w:color w:val="666666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nsid w:val="64AF664D"/>
    <w:multiLevelType w:val="multilevel"/>
    <w:tmpl w:val="E63874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4B71013"/>
    <w:multiLevelType w:val="multilevel"/>
    <w:tmpl w:val="7DD61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0C4828"/>
    <w:rsid w:val="000C4828"/>
    <w:rsid w:val="0084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0C482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0C482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0C482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0C482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0C482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0C482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C4828"/>
  </w:style>
  <w:style w:type="table" w:customStyle="1" w:styleId="TableNormal">
    <w:name w:val="Table Normal"/>
    <w:rsid w:val="000C48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C482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0C482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SCCP</dc:creator>
  <cp:lastModifiedBy>SCCP</cp:lastModifiedBy>
  <cp:revision>2</cp:revision>
  <dcterms:created xsi:type="dcterms:W3CDTF">2020-04-13T19:43:00Z</dcterms:created>
  <dcterms:modified xsi:type="dcterms:W3CDTF">2020-04-13T19:43:00Z</dcterms:modified>
</cp:coreProperties>
</file>