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right="152"/>
      </w:pPr>
      <w:r>
        <w:rPr/>
        <w:t>SUBCOMITÊ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 ZELADORIA</w:t>
      </w:r>
      <w:r>
        <w:rPr>
          <w:spacing w:val="-10"/>
        </w:rPr>
        <w:t> </w:t>
      </w:r>
      <w:r>
        <w:rPr/>
        <w:t>URBANA</w:t>
      </w:r>
      <w:r>
        <w:rPr>
          <w:spacing w:val="-9"/>
        </w:rPr>
        <w:t> </w:t>
      </w:r>
      <w:r>
        <w:rPr/>
        <w:t>-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59.249/2020</w:t>
      </w:r>
    </w:p>
    <w:p>
      <w:pPr>
        <w:spacing w:before="138"/>
        <w:ind w:left="122" w:right="13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RESUMO EXECUTIVO da 14ª Reunião, 28 de julho de 2021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100" w:right="114"/>
        <w:jc w:val="both"/>
      </w:pPr>
      <w:r>
        <w:rPr>
          <w:rFonts w:ascii="Arial" w:hAnsi="Arial"/>
          <w:b/>
        </w:rPr>
        <w:t>Presentes:</w:t>
      </w:r>
      <w:r>
        <w:rPr>
          <w:rFonts w:ascii="Arial" w:hAnsi="Arial"/>
          <w:b/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Gama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Paula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Jesus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Giovanna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Robson</w:t>
      </w:r>
      <w:r>
        <w:rPr>
          <w:spacing w:val="1"/>
        </w:rPr>
        <w:t> </w:t>
      </w:r>
      <w:r>
        <w:rPr/>
        <w:t>Mendonça</w:t>
      </w:r>
      <w:r>
        <w:rPr>
          <w:spacing w:val="1"/>
        </w:rPr>
        <w:t> </w:t>
      </w:r>
      <w:r>
        <w:rPr/>
        <w:t>(RPR),</w:t>
      </w:r>
      <w:r>
        <w:rPr>
          <w:spacing w:val="1"/>
        </w:rPr>
        <w:t> </w:t>
      </w:r>
      <w:r>
        <w:rPr/>
        <w:t>Adriano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Camargo</w:t>
      </w:r>
      <w:r>
        <w:rPr>
          <w:spacing w:val="1"/>
        </w:rPr>
        <w:t> </w:t>
      </w:r>
      <w:r>
        <w:rPr/>
        <w:t>(SMSUB), Carolina (Covereadora Bancada Feminista) Cleiton (É de Lei), Roseli</w:t>
      </w:r>
      <w:r>
        <w:rPr>
          <w:spacing w:val="1"/>
        </w:rPr>
        <w:t> </w:t>
      </w:r>
      <w:r>
        <w:rPr/>
        <w:t>(RPR), Alderon Costa (Rede Rua), Maria Izabel Panter (Assessora da Erika Hilton),</w:t>
      </w:r>
      <w:r>
        <w:rPr>
          <w:spacing w:val="1"/>
        </w:rPr>
        <w:t> </w:t>
      </w:r>
      <w:r>
        <w:rPr/>
        <w:t>Wilherson Carlos Luiz (DPE), Luiz Humberto Caparroz (Subprefeitura da Sé), Júlia</w:t>
      </w:r>
      <w:r>
        <w:rPr>
          <w:spacing w:val="1"/>
        </w:rPr>
        <w:t> </w:t>
      </w:r>
      <w:r>
        <w:rPr/>
        <w:t>Lima, Rosiene Silvério.</w:t>
      </w:r>
    </w:p>
    <w:p>
      <w:pPr>
        <w:pStyle w:val="BodyText"/>
        <w:rPr>
          <w:sz w:val="36"/>
        </w:rPr>
      </w:pPr>
    </w:p>
    <w:p>
      <w:pPr>
        <w:pStyle w:val="Heading1"/>
        <w:ind w:left="100"/>
        <w:jc w:val="both"/>
      </w:pPr>
      <w:r>
        <w:rPr/>
        <w:t>RESUMO EXECUTIVO: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820"/>
        <w:jc w:val="both"/>
      </w:pPr>
      <w:r>
        <w:rPr/>
        <w:t>A</w:t>
      </w:r>
      <w:r>
        <w:rPr>
          <w:spacing w:val="-14"/>
        </w:rPr>
        <w:t> </w:t>
      </w:r>
      <w:r>
        <w:rPr/>
        <w:t>Sra. Maria Luiza Gama (SMDHC) deu início à reunião com informes: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360" w:lineRule="auto" w:before="138" w:after="0"/>
        <w:ind w:left="100" w:right="114" w:firstLine="0"/>
        <w:jc w:val="both"/>
        <w:rPr>
          <w:sz w:val="24"/>
        </w:rPr>
      </w:pPr>
      <w:r>
        <w:rPr>
          <w:sz w:val="24"/>
        </w:rPr>
        <w:t>A formação de equipes da assistência social e zeladoria urbana (divididos em 6</w:t>
      </w:r>
      <w:r>
        <w:rPr>
          <w:spacing w:val="1"/>
          <w:sz w:val="24"/>
        </w:rPr>
        <w:t> </w:t>
      </w:r>
      <w:r>
        <w:rPr>
          <w:sz w:val="24"/>
        </w:rPr>
        <w:t>turmas com 30 pessoas cada) acontecerá nos dias 2, 3, 5, 9, 10 e 12 de agosto de</w:t>
      </w:r>
      <w:r>
        <w:rPr>
          <w:spacing w:val="1"/>
          <w:sz w:val="24"/>
        </w:rPr>
        <w:t> </w:t>
      </w:r>
      <w:r>
        <w:rPr>
          <w:sz w:val="24"/>
        </w:rPr>
        <w:t>2021 na Secretaria Municipal de Justiça e Cidadania (localizada no endereço Pátio</w:t>
      </w:r>
      <w:r>
        <w:rPr>
          <w:spacing w:val="1"/>
          <w:sz w:val="24"/>
        </w:rPr>
        <w:t> </w:t>
      </w:r>
      <w:r>
        <w:rPr>
          <w:sz w:val="24"/>
        </w:rPr>
        <w:t>do Colégio, 148 - Centro) no horário das 14h até às 17h. A equipe da SMDHC</w:t>
      </w:r>
      <w:r>
        <w:rPr>
          <w:spacing w:val="1"/>
          <w:sz w:val="24"/>
        </w:rPr>
        <w:t> </w:t>
      </w:r>
      <w:r>
        <w:rPr>
          <w:sz w:val="24"/>
        </w:rPr>
        <w:t>presente será responsável pela aplicação de questionários a fim de produzir dados,</w:t>
      </w:r>
      <w:r>
        <w:rPr>
          <w:spacing w:val="1"/>
          <w:sz w:val="24"/>
        </w:rPr>
        <w:t> </w:t>
      </w:r>
      <w:r>
        <w:rPr>
          <w:sz w:val="24"/>
        </w:rPr>
        <w:t>informações e monitoramento do perfil dos participantes.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360" w:lineRule="auto" w:before="0" w:after="0"/>
        <w:ind w:left="100" w:right="114" w:firstLine="0"/>
        <w:jc w:val="both"/>
        <w:rPr>
          <w:sz w:val="24"/>
        </w:rPr>
      </w:pPr>
      <w:r>
        <w:rPr>
          <w:sz w:val="24"/>
        </w:rPr>
        <w:t>Com a aproximação de uma frente fria, uma ação intersecretarial de caráter</w:t>
      </w:r>
      <w:r>
        <w:rPr>
          <w:spacing w:val="1"/>
          <w:sz w:val="24"/>
        </w:rPr>
        <w:t> </w:t>
      </w:r>
      <w:r>
        <w:rPr>
          <w:sz w:val="24"/>
        </w:rPr>
        <w:t>emergencial (Defesa Civil, SMDHC, SMADS) aprovou a montagem 5 tendas que</w:t>
      </w:r>
      <w:r>
        <w:rPr>
          <w:spacing w:val="1"/>
          <w:sz w:val="24"/>
        </w:rPr>
        <w:t> </w:t>
      </w:r>
      <w:r>
        <w:rPr>
          <w:sz w:val="24"/>
        </w:rPr>
        <w:t>funcionaram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24h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28/07 e 02/08 com objetivo de abrigar</w:t>
      </w:r>
      <w:r>
        <w:rPr>
          <w:spacing w:val="1"/>
          <w:sz w:val="24"/>
        </w:rPr>
        <w:t> </w:t>
      </w:r>
      <w:r>
        <w:rPr>
          <w:sz w:val="24"/>
        </w:rPr>
        <w:t>pessoas em situação de rua no período de baixas temperaturas. A ação entregou</w:t>
      </w:r>
      <w:r>
        <w:rPr>
          <w:spacing w:val="1"/>
          <w:sz w:val="24"/>
        </w:rPr>
        <w:t> </w:t>
      </w:r>
      <w:r>
        <w:rPr>
          <w:sz w:val="24"/>
        </w:rPr>
        <w:t>5000 pratos de sopa por noite, além de bebidas quentes durante toda a madrugada.</w:t>
      </w:r>
      <w:r>
        <w:rPr>
          <w:spacing w:val="-64"/>
          <w:sz w:val="24"/>
        </w:rPr>
        <w:t> </w:t>
      </w:r>
      <w:r>
        <w:rPr>
          <w:sz w:val="24"/>
        </w:rPr>
        <w:t>Além dos kits de higiene e cobertores, a Cruz Vermelha participou na doação de</w:t>
      </w:r>
      <w:r>
        <w:rPr>
          <w:spacing w:val="1"/>
          <w:sz w:val="24"/>
        </w:rPr>
        <w:t> </w:t>
      </w:r>
      <w:r>
        <w:rPr>
          <w:sz w:val="24"/>
        </w:rPr>
        <w:t>toneladas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roupas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frio.</w:t>
      </w:r>
      <w:r>
        <w:rPr>
          <w:spacing w:val="66"/>
          <w:sz w:val="24"/>
        </w:rPr>
        <w:t> </w:t>
      </w:r>
      <w:r>
        <w:rPr>
          <w:sz w:val="24"/>
        </w:rPr>
        <w:t>As tendas funcionaram na região da Praça da Sé,</w:t>
      </w:r>
      <w:r>
        <w:rPr>
          <w:spacing w:val="1"/>
          <w:sz w:val="24"/>
        </w:rPr>
        <w:t> </w:t>
      </w:r>
      <w:r>
        <w:rPr>
          <w:sz w:val="24"/>
        </w:rPr>
        <w:t>Praça Princesa Isabel, Largo da Concórdia, Praça Salim Farah Maluf e Praça Miguel</w:t>
      </w:r>
      <w:r>
        <w:rPr>
          <w:spacing w:val="-64"/>
          <w:sz w:val="24"/>
        </w:rPr>
        <w:t> </w:t>
      </w:r>
      <w:r>
        <w:rPr>
          <w:sz w:val="24"/>
        </w:rPr>
        <w:t>Dell’erba - pontos estrategicamente localizados pelas equipes de ponta;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360" w:lineRule="auto" w:before="0" w:after="0"/>
        <w:ind w:left="100" w:right="124" w:firstLine="0"/>
        <w:jc w:val="both"/>
        <w:rPr>
          <w:sz w:val="24"/>
        </w:rPr>
      </w:pPr>
      <w:r>
        <w:rPr>
          <w:sz w:val="24"/>
        </w:rPr>
        <w:t>Algumas</w:t>
      </w:r>
      <w:r>
        <w:rPr>
          <w:spacing w:val="1"/>
          <w:sz w:val="24"/>
        </w:rPr>
        <w:t> </w:t>
      </w:r>
      <w:r>
        <w:rPr>
          <w:sz w:val="24"/>
        </w:rPr>
        <w:t>informações,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questão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baixas</w:t>
      </w:r>
      <w:r>
        <w:rPr>
          <w:spacing w:val="1"/>
          <w:sz w:val="24"/>
        </w:rPr>
        <w:t> </w:t>
      </w:r>
      <w:r>
        <w:rPr>
          <w:sz w:val="24"/>
        </w:rPr>
        <w:t>temperaturas, foram repassadas para as subprefeituras. Destaque para o pedido de</w:t>
      </w:r>
      <w:r>
        <w:rPr>
          <w:spacing w:val="-64"/>
          <w:sz w:val="24"/>
        </w:rPr>
        <w:t> </w:t>
      </w:r>
      <w:r>
        <w:rPr>
          <w:sz w:val="24"/>
        </w:rPr>
        <w:t>não retirar cobertores e nem barracas mesmo se as temperaturas passarem os</w:t>
      </w:r>
      <w:r>
        <w:rPr>
          <w:spacing w:val="1"/>
          <w:sz w:val="24"/>
        </w:rPr>
        <w:t> </w:t>
      </w:r>
      <w:r>
        <w:rPr>
          <w:sz w:val="24"/>
        </w:rPr>
        <w:t>13°C.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100" w:right="114" w:firstLine="720"/>
        <w:jc w:val="both"/>
      </w:pPr>
      <w:r>
        <w:rPr/>
        <w:t>Em seguida foi passado à primeira pauta da reunião sobre a devolutivas das</w:t>
      </w:r>
      <w:r>
        <w:rPr>
          <w:spacing w:val="1"/>
        </w:rPr>
        <w:t> </w:t>
      </w:r>
      <w:r>
        <w:rPr/>
        <w:t>denúncias de ações irregulares da zeladoria urbana. Foi informado pela Sra. Paula</w:t>
      </w:r>
      <w:r>
        <w:rPr>
          <w:spacing w:val="1"/>
        </w:rPr>
        <w:t> </w:t>
      </w:r>
      <w:r>
        <w:rPr/>
        <w:t>Santos que uma planilha de monitoramento foi criada para monitorar as denúncias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chegaram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 Coordenação PopRua. O documento é parte do</w:t>
      </w:r>
      <w:r>
        <w:rPr>
          <w:spacing w:val="1"/>
        </w:rPr>
        <w:t> </w:t>
      </w:r>
      <w:r>
        <w:rPr/>
        <w:t>material que vai compor o relatório semestral com data prevista para setembro. As</w:t>
      </w:r>
      <w:r>
        <w:rPr>
          <w:spacing w:val="1"/>
        </w:rPr>
        <w:t> </w:t>
      </w:r>
      <w:r>
        <w:rPr/>
        <w:t>denúncias recebidas por outros canais, como a ouvidoria e o Núcleo de Direitos</w:t>
      </w:r>
      <w:r>
        <w:rPr>
          <w:spacing w:val="1"/>
        </w:rPr>
        <w:t> </w:t>
      </w:r>
      <w:r>
        <w:rPr/>
        <w:t>Humanos, vão dar suporte para análise de um panorama geral. Destaca-se que este</w:t>
      </w:r>
      <w:r>
        <w:rPr>
          <w:spacing w:val="-64"/>
        </w:rPr>
        <w:t> </w:t>
      </w:r>
      <w:r>
        <w:rPr/>
        <w:t>relatório semestral terá as tratativas e devolutivas de cada denúncia.</w:t>
      </w:r>
    </w:p>
    <w:p>
      <w:pPr>
        <w:pStyle w:val="BodyText"/>
        <w:spacing w:line="360" w:lineRule="auto"/>
        <w:ind w:left="100" w:right="113" w:firstLine="720"/>
        <w:jc w:val="both"/>
      </w:pPr>
      <w:r>
        <w:rPr/>
        <w:t>O Sr. Wilherson Carlos Luiz adiciona que, para um canal de comunicação</w:t>
      </w:r>
      <w:r>
        <w:rPr>
          <w:spacing w:val="1"/>
        </w:rPr>
        <w:t> </w:t>
      </w:r>
      <w:r>
        <w:rPr/>
        <w:t>rápido, é necessário estreitar formatos de contato para equacionar problemas e</w:t>
      </w:r>
      <w:r>
        <w:rPr>
          <w:spacing w:val="1"/>
        </w:rPr>
        <w:t> </w:t>
      </w:r>
      <w:r>
        <w:rPr/>
        <w:t>denúncias. Para tanto, deve-se pensar um mapeamento efetivo dos colaboradores,</w:t>
      </w:r>
      <w:r>
        <w:rPr>
          <w:spacing w:val="1"/>
        </w:rPr>
        <w:t> </w:t>
      </w:r>
      <w:r>
        <w:rPr/>
        <w:t>sobretudo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supervisores,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canal</w:t>
      </w:r>
      <w:r>
        <w:rPr>
          <w:spacing w:val="1"/>
        </w:rPr>
        <w:t> </w:t>
      </w:r>
      <w:r>
        <w:rPr/>
        <w:t>direto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responsáveis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Coordenação.</w:t>
      </w:r>
    </w:p>
    <w:p>
      <w:pPr>
        <w:pStyle w:val="BodyText"/>
        <w:spacing w:line="360" w:lineRule="auto"/>
        <w:ind w:left="100" w:right="112" w:firstLine="720"/>
        <w:jc w:val="both"/>
      </w:pPr>
      <w:r>
        <w:rPr/>
        <w:t>Posteriormente, discutiu-se alguns casos que estão correndo pelas vias de</w:t>
      </w:r>
      <w:r>
        <w:rPr>
          <w:spacing w:val="1"/>
        </w:rPr>
        <w:t> </w:t>
      </w:r>
      <w:r>
        <w:rPr/>
        <w:t>denúncias.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Alcyr comenta que metade dos casos registrados trata-se de</w:t>
      </w:r>
      <w:r>
        <w:rPr>
          <w:spacing w:val="1"/>
        </w:rPr>
        <w:t> </w:t>
      </w:r>
      <w:r>
        <w:rPr/>
        <w:t>comércio ambulante, a outra metade são denúncias de zeladoria registradas nos</w:t>
      </w:r>
      <w:r>
        <w:rPr>
          <w:spacing w:val="1"/>
        </w:rPr>
        <w:t> </w:t>
      </w:r>
      <w:r>
        <w:rPr/>
        <w:t>canais da ouvidoria. A principal causa: apreensão de bens. Alcyr completa que um</w:t>
      </w:r>
      <w:r>
        <w:rPr>
          <w:spacing w:val="1"/>
        </w:rPr>
        <w:t> </w:t>
      </w:r>
      <w:r>
        <w:rPr/>
        <w:t>caso comentado de 2019 ainda está tramitando. Mais detalhes estarão no relatório</w:t>
      </w:r>
      <w:r>
        <w:rPr>
          <w:spacing w:val="1"/>
        </w:rPr>
        <w:t> </w:t>
      </w:r>
      <w:r>
        <w:rPr/>
        <w:t>semestral.</w:t>
      </w:r>
    </w:p>
    <w:p>
      <w:pPr>
        <w:pStyle w:val="BodyText"/>
        <w:spacing w:line="360" w:lineRule="auto"/>
        <w:ind w:left="100" w:right="114" w:firstLine="720"/>
        <w:jc w:val="both"/>
      </w:pPr>
      <w:r>
        <w:rPr/>
        <w:t>Dos</w:t>
      </w:r>
      <w:r>
        <w:rPr>
          <w:spacing w:val="1"/>
        </w:rPr>
        <w:t> </w:t>
      </w:r>
      <w:r>
        <w:rPr/>
        <w:t>retornos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encaminhamentos: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membros</w:t>
      </w:r>
      <w:r>
        <w:rPr>
          <w:spacing w:val="66"/>
        </w:rPr>
        <w:t> </w:t>
      </w:r>
      <w:r>
        <w:rPr/>
        <w:t>foram</w:t>
      </w:r>
      <w:r>
        <w:rPr>
          <w:spacing w:val="1"/>
        </w:rPr>
        <w:t> </w:t>
      </w:r>
      <w:r>
        <w:rPr/>
        <w:t>incluídos no grupo do WhatsApp e uma apresentação sobre a Operação Baixas</w:t>
      </w:r>
      <w:r>
        <w:rPr>
          <w:spacing w:val="1"/>
        </w:rPr>
        <w:t> </w:t>
      </w:r>
      <w:r>
        <w:rPr/>
        <w:t>Temperaturas</w:t>
      </w:r>
      <w:r>
        <w:rPr>
          <w:spacing w:val="-1"/>
        </w:rPr>
        <w:t> </w:t>
      </w:r>
      <w:r>
        <w:rPr/>
        <w:t>foi</w:t>
      </w:r>
      <w:r>
        <w:rPr>
          <w:spacing w:val="-1"/>
        </w:rPr>
        <w:t> </w:t>
      </w:r>
      <w:r>
        <w:rPr/>
        <w:t>dada na</w:t>
      </w:r>
      <w:r>
        <w:rPr>
          <w:spacing w:val="-1"/>
        </w:rPr>
        <w:t> </w:t>
      </w:r>
      <w:r>
        <w:rPr/>
        <w:t>reunião</w:t>
      </w:r>
      <w:r>
        <w:rPr>
          <w:spacing w:val="-1"/>
        </w:rPr>
        <w:t> </w:t>
      </w:r>
      <w:r>
        <w:rPr/>
        <w:t>ordinária do</w:t>
      </w:r>
      <w:r>
        <w:rPr>
          <w:spacing w:val="-1"/>
        </w:rPr>
        <w:t> </w:t>
      </w:r>
      <w:r>
        <w:rPr/>
        <w:t>Comitê</w:t>
      </w:r>
      <w:r>
        <w:rPr>
          <w:spacing w:val="-1"/>
        </w:rPr>
        <w:t> </w:t>
      </w:r>
      <w:r>
        <w:rPr/>
        <w:t>PopRua.</w:t>
      </w:r>
    </w:p>
    <w:p>
      <w:pPr>
        <w:pStyle w:val="BodyText"/>
        <w:spacing w:line="360" w:lineRule="auto"/>
        <w:ind w:left="100" w:right="116" w:firstLine="720"/>
        <w:jc w:val="both"/>
      </w:pPr>
      <w:r>
        <w:rPr/>
        <w:t>Sobre o retorno dos ofícios, a Sra.</w:t>
      </w:r>
      <w:r>
        <w:rPr>
          <w:spacing w:val="1"/>
        </w:rPr>
        <w:t> </w:t>
      </w:r>
      <w:r>
        <w:rPr/>
        <w:t>Maria Luiza apresenta uma tabela de</w:t>
      </w:r>
      <w:r>
        <w:rPr>
          <w:spacing w:val="1"/>
        </w:rPr>
        <w:t> </w:t>
      </w:r>
      <w:r>
        <w:rPr/>
        <w:t>monitoramento dos encaminhamentos com uma aba específica para a questão dos</w:t>
      </w:r>
      <w:r>
        <w:rPr>
          <w:spacing w:val="1"/>
        </w:rPr>
        <w:t> </w:t>
      </w:r>
      <w:r>
        <w:rPr/>
        <w:t>ofícios. Em 2021 o subcomitê enviou 3 ofícios com novas estratégias, ou seja,</w:t>
      </w:r>
      <w:r>
        <w:rPr>
          <w:spacing w:val="1"/>
        </w:rPr>
        <w:t> </w:t>
      </w:r>
      <w:r>
        <w:rPr/>
        <w:t>envia-se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subprefeituras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tenham</w:t>
      </w:r>
      <w:r>
        <w:rPr>
          <w:spacing w:val="1"/>
        </w:rPr>
        <w:t> </w:t>
      </w:r>
      <w:r>
        <w:rPr/>
        <w:t>concentração de população em situação de rua maior do que 1% (17/32).</w:t>
      </w:r>
    </w:p>
    <w:p>
      <w:pPr>
        <w:pStyle w:val="BodyText"/>
        <w:spacing w:line="360" w:lineRule="auto"/>
        <w:ind w:left="100" w:right="114" w:firstLine="720"/>
        <w:jc w:val="both"/>
      </w:pPr>
      <w:r>
        <w:rPr/>
        <w:t>O primeiro ofício trata-se da entrega de contra lacres. Com as leituras das</w:t>
      </w:r>
      <w:r>
        <w:rPr>
          <w:spacing w:val="1"/>
        </w:rPr>
        <w:t> </w:t>
      </w:r>
      <w:r>
        <w:rPr/>
        <w:t>respostas, a Sra. Maria Luiza, levantou a sugestão de enviar um ofício específico</w:t>
      </w:r>
      <w:r>
        <w:rPr>
          <w:spacing w:val="1"/>
        </w:rPr>
        <w:t> </w:t>
      </w:r>
      <w:r>
        <w:rPr/>
        <w:t>para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Secretaria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Subprefeituras</w:t>
      </w:r>
      <w:r>
        <w:rPr>
          <w:spacing w:val="45"/>
        </w:rPr>
        <w:t> </w:t>
      </w:r>
      <w:r>
        <w:rPr/>
        <w:t>solicitando</w:t>
      </w:r>
      <w:r>
        <w:rPr>
          <w:spacing w:val="45"/>
        </w:rPr>
        <w:t> </w:t>
      </w:r>
      <w:r>
        <w:rPr/>
        <w:t>atenção</w:t>
      </w:r>
      <w:r>
        <w:rPr>
          <w:spacing w:val="44"/>
        </w:rPr>
        <w:t> </w:t>
      </w:r>
      <w:r>
        <w:rPr/>
        <w:t>e</w:t>
      </w:r>
      <w:r>
        <w:rPr>
          <w:spacing w:val="30"/>
        </w:rPr>
        <w:t> </w:t>
      </w:r>
      <w:r>
        <w:rPr/>
        <w:t>resposta</w:t>
      </w:r>
      <w:r>
        <w:rPr>
          <w:spacing w:val="30"/>
        </w:rPr>
        <w:t> </w:t>
      </w:r>
      <w:r>
        <w:rPr/>
        <w:t>das</w:t>
      </w:r>
      <w:r>
        <w:rPr>
          <w:spacing w:val="30"/>
        </w:rPr>
        <w:t> </w:t>
      </w:r>
      <w:r>
        <w:rPr/>
        <w:t>unidades</w:t>
      </w:r>
      <w:r>
        <w:rPr>
          <w:spacing w:val="-64"/>
        </w:rPr>
        <w:t> </w:t>
      </w:r>
      <w:r>
        <w:rPr/>
        <w:t>que receberam o ofício dos contralacres, pontuando a responsabilidade perante a</w:t>
      </w:r>
      <w:r>
        <w:rPr>
          <w:spacing w:val="1"/>
        </w:rPr>
        <w:t> </w:t>
      </w:r>
      <w:r>
        <w:rPr/>
        <w:t>legislação.</w:t>
      </w:r>
      <w:r>
        <w:rPr>
          <w:spacing w:val="1"/>
        </w:rPr>
        <w:t> </w:t>
      </w:r>
      <w:r>
        <w:rPr/>
        <w:t>Sugeriu-se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subprefeituras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concentração</w:t>
      </w:r>
      <w:r>
        <w:rPr>
          <w:spacing w:val="1"/>
        </w:rPr>
        <w:t> </w:t>
      </w:r>
      <w:r>
        <w:rPr/>
        <w:t>de população em situação de rua para reforçar a importância da</w:t>
      </w:r>
      <w:r>
        <w:rPr>
          <w:spacing w:val="1"/>
        </w:rPr>
        <w:t> </w:t>
      </w:r>
      <w:r>
        <w:rPr/>
        <w:t>entrega de contra lacres.</w:t>
      </w:r>
    </w:p>
    <w:p>
      <w:pPr>
        <w:spacing w:after="0" w:line="360" w:lineRule="auto"/>
        <w:jc w:val="both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100" w:right="113" w:firstLine="720"/>
        <w:jc w:val="both"/>
      </w:pPr>
      <w:r>
        <w:rPr/>
        <w:t>O segundo ofício, tratando-se de questões de zeladoria no período de baixas</w:t>
      </w:r>
      <w:r>
        <w:rPr>
          <w:spacing w:val="1"/>
        </w:rPr>
        <w:t> </w:t>
      </w:r>
      <w:r>
        <w:rPr/>
        <w:t>temperaturas, foi respondido por todas as subprefeituras com apenas um visto de</w:t>
      </w:r>
      <w:r>
        <w:rPr>
          <w:spacing w:val="1"/>
        </w:rPr>
        <w:t> </w:t>
      </w:r>
      <w:r>
        <w:rPr/>
        <w:t>ciência. O terceiro, enviado no mês de junho, questionava o uso de jatos d’água,</w:t>
      </w:r>
      <w:r>
        <w:rPr>
          <w:spacing w:val="1"/>
        </w:rPr>
        <w:t> </w:t>
      </w:r>
      <w:r>
        <w:rPr/>
        <w:t>com pedido de suspensão da atividade durante os dias mais frios. Este ofício foi</w:t>
      </w:r>
      <w:r>
        <w:rPr>
          <w:spacing w:val="1"/>
        </w:rPr>
        <w:t> </w:t>
      </w:r>
      <w:r>
        <w:rPr/>
        <w:t>enviado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coordenações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zeladoria,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nenhuma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registrada até o momento da reunião. O Sr. Adriano de Camargo vai reforçar a</w:t>
      </w:r>
      <w:r>
        <w:rPr>
          <w:spacing w:val="1"/>
        </w:rPr>
        <w:t> </w:t>
      </w:r>
      <w:r>
        <w:rPr/>
        <w:t>questão dos jatos d’água, pauta emergencial.</w:t>
      </w:r>
    </w:p>
    <w:p>
      <w:pPr>
        <w:pStyle w:val="BodyText"/>
        <w:spacing w:line="360" w:lineRule="auto"/>
        <w:ind w:left="100" w:right="112" w:firstLine="720"/>
        <w:jc w:val="both"/>
      </w:pPr>
      <w:r>
        <w:rPr/>
        <w:t>Em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ofícios,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Alderon Costa reforça a</w:t>
      </w:r>
      <w:r>
        <w:rPr>
          <w:spacing w:val="1"/>
        </w:rPr>
        <w:t> </w:t>
      </w:r>
      <w:r>
        <w:rPr/>
        <w:t>emergencialidade e importância de uma reunião sobre a questão dos contra lacres.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reforça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SMADS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compromisso,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legislação, de apresentar um relatório sobre as abordagens realizadas antes das</w:t>
      </w:r>
      <w:r>
        <w:rPr>
          <w:spacing w:val="1"/>
        </w:rPr>
        <w:t> </w:t>
      </w:r>
      <w:r>
        <w:rPr/>
        <w:t>ações da zeladoria urbana. A sugestão é que a nova representante no subcomitê</w:t>
      </w:r>
      <w:r>
        <w:rPr>
          <w:spacing w:val="1"/>
        </w:rPr>
        <w:t> </w:t>
      </w:r>
      <w:r>
        <w:rPr/>
        <w:t>poderia trazer esses relatórios.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100"/>
      </w:pPr>
      <w:r>
        <w:rPr/>
        <w:t>Encaminhamentos: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60" w:lineRule="auto" w:before="0" w:after="0"/>
        <w:ind w:left="820" w:right="112" w:hanging="360"/>
        <w:jc w:val="both"/>
        <w:rPr>
          <w:sz w:val="24"/>
        </w:rPr>
      </w:pPr>
      <w:r>
        <w:rPr>
          <w:sz w:val="24"/>
        </w:rPr>
        <w:t>Solicitar a SMSUB a articulação com as subprefeituras, sobretudo com os</w:t>
      </w:r>
      <w:r>
        <w:rPr>
          <w:spacing w:val="1"/>
          <w:sz w:val="24"/>
        </w:rPr>
        <w:t> </w:t>
      </w:r>
      <w:r>
        <w:rPr>
          <w:sz w:val="24"/>
        </w:rPr>
        <w:t>gabinetes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secretarias.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recomendações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aos jatos</w:t>
      </w:r>
      <w:r>
        <w:rPr>
          <w:spacing w:val="1"/>
          <w:sz w:val="24"/>
        </w:rPr>
        <w:t> </w:t>
      </w:r>
      <w:r>
        <w:rPr>
          <w:sz w:val="24"/>
        </w:rPr>
        <w:t>d’água devem ser repassados no sentido de sensibilização - não jogar água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locais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estejam pessoas em situação de rua, pede-se também a</w:t>
      </w:r>
      <w:r>
        <w:rPr>
          <w:spacing w:val="1"/>
          <w:sz w:val="24"/>
        </w:rPr>
        <w:t> </w:t>
      </w:r>
      <w:r>
        <w:rPr>
          <w:sz w:val="24"/>
        </w:rPr>
        <w:t>suspensão das lavagens de rua durantes as baixas temperaturas;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60" w:lineRule="auto" w:before="0" w:after="0"/>
        <w:ind w:left="820" w:right="113" w:hanging="360"/>
        <w:jc w:val="both"/>
        <w:rPr>
          <w:sz w:val="24"/>
        </w:rPr>
      </w:pPr>
      <w:r>
        <w:rPr>
          <w:sz w:val="24"/>
        </w:rPr>
        <w:t>Pauta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próxima</w:t>
      </w:r>
      <w:r>
        <w:rPr>
          <w:spacing w:val="1"/>
          <w:sz w:val="24"/>
        </w:rPr>
        <w:t> </w:t>
      </w:r>
      <w:r>
        <w:rPr>
          <w:sz w:val="24"/>
        </w:rPr>
        <w:t>reunião</w:t>
      </w:r>
      <w:r>
        <w:rPr>
          <w:spacing w:val="1"/>
          <w:sz w:val="24"/>
        </w:rPr>
        <w:t> </w:t>
      </w:r>
      <w:r>
        <w:rPr>
          <w:sz w:val="24"/>
        </w:rPr>
        <w:t>(25/08):</w:t>
      </w:r>
      <w:r>
        <w:rPr>
          <w:spacing w:val="1"/>
          <w:sz w:val="24"/>
        </w:rPr>
        <w:t> </w:t>
      </w:r>
      <w:r>
        <w:rPr>
          <w:sz w:val="24"/>
        </w:rPr>
        <w:t>organização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reunião</w:t>
      </w:r>
      <w:r>
        <w:rPr>
          <w:spacing w:val="1"/>
          <w:sz w:val="24"/>
        </w:rPr>
        <w:t> </w:t>
      </w:r>
      <w:r>
        <w:rPr>
          <w:sz w:val="24"/>
        </w:rPr>
        <w:t>extraordinária com as subprefeituras que têm maior concentração de pessoas</w:t>
      </w:r>
      <w:r>
        <w:rPr>
          <w:spacing w:val="-64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rua e com maior número de denúncias de violações de</w:t>
      </w:r>
      <w:r>
        <w:rPr>
          <w:spacing w:val="1"/>
          <w:sz w:val="24"/>
        </w:rPr>
        <w:t> </w:t>
      </w:r>
      <w:r>
        <w:rPr>
          <w:sz w:val="24"/>
        </w:rPr>
        <w:t>direitos;</w:t>
      </w:r>
    </w:p>
    <w:p>
      <w:pPr>
        <w:spacing w:after="0" w:line="360" w:lineRule="auto"/>
        <w:jc w:val="both"/>
        <w:rPr>
          <w:sz w:val="24"/>
        </w:rPr>
        <w:sectPr>
          <w:pgSz w:w="11920" w:h="16840"/>
          <w:pgMar w:top="1360" w:bottom="280" w:left="1340" w:right="1340"/>
        </w:sectPr>
      </w:pPr>
    </w:p>
    <w:p>
      <w:pPr>
        <w:pStyle w:val="BodyText"/>
        <w:spacing w:before="4"/>
        <w:rPr>
          <w:sz w:val="17"/>
        </w:rPr>
      </w:pPr>
    </w:p>
    <w:sectPr>
      <w:pgSz w:w="11920" w:h="16840"/>
      <w:pgMar w:top="16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9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)"/>
      <w:lvlJc w:val="left"/>
      <w:pPr>
        <w:ind w:left="820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5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6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6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14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SUBCOMITÊ PERMANENTE DE ZELADORIA URBANA - DECRETO 59.249/2020 RESUMO EXECUTIVO da 14ª Reunião, 28 de julho de 2021</dc:title>
  <dcterms:created xsi:type="dcterms:W3CDTF">2023-06-30T19:08:58Z</dcterms:created>
  <dcterms:modified xsi:type="dcterms:W3CDTF">2023-06-30T19:08:58Z</dcterms:modified>
</cp:coreProperties>
</file>