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MEMÓRIA DE REUNIÃO DO SUBCOMITÊ DE HABITAÇÃO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 w:rsidRPr="00444239">
          <w:rPr>
            <w:rFonts w:ascii="Arial" w:hAnsi="Arial" w:cs="Arial"/>
            <w:b/>
            <w:color w:val="000000"/>
            <w:sz w:val="24"/>
            <w:szCs w:val="24"/>
            <w:lang w:eastAsia="pt-BR"/>
          </w:rPr>
          <w:t>EM SITUAÇÃO DE RUA</w:t>
        </w:r>
      </w:smartTag>
      <w:r w:rsidRPr="00444239">
        <w:rPr>
          <w:rFonts w:ascii="Arial" w:hAnsi="Arial" w:cs="Arial"/>
          <w:sz w:val="24"/>
          <w:szCs w:val="24"/>
        </w:rPr>
        <w:t xml:space="preserve">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REALIZADA NO DIA 18 DE SETEMBRO DE 2018, NO 26º ANDAR DO EDIFÍCIO MARTINELI. PRESENTES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AS/OS REPRESENTANTES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: </w:t>
      </w:r>
      <w:smartTag w:uri="urn:schemas-microsoft-com:office:smarttags" w:element="PersonName">
        <w:r w:rsidRPr="00444239">
          <w:rPr>
            <w:rFonts w:ascii="Arial" w:hAnsi="Arial" w:cs="Arial"/>
            <w:color w:val="000000"/>
            <w:sz w:val="24"/>
            <w:szCs w:val="24"/>
            <w:lang w:eastAsia="pt-BR"/>
          </w:rPr>
          <w:t>Alcyr Barbin Neto</w:t>
        </w:r>
      </w:smartTag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(SMDHC), Márcia Maria de Fartos Terlizzi (SEHAB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), Maria da Conceição (SMADS), Andreia Araújo (RPR)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, Roberto Azevedo (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RPR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), Marina Edu Conrado (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RPR), Dores (RPR)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, Eliana Toscano de Araújo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(RPR),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Rosiene Silvério dos Reis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(Voluntária),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Sheila C. Marcolino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(CGGDH), Darcy da Silva Costa (RPR),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Sueli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A.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Corrêa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(RPR),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Elisangela Flávio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(RPR),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Sidnei Silva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Marco Aurélio Ribeiro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(Autonomia em Foco),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Sérgio Ricardo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Helder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Regina Maria Manoel (OAF)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Adriana Rosa Pereira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Pedro Luiz da Silva (RPR), Washington (RPR),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Amaral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Simone C. Souza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(SEHAB),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João Carlos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(Recifran),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Nilson da Silva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Pedro Damião de Morais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Manoel Messias / Jamaica (RPR)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Má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rcio Vicente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Giancarlo Antonio Oliveira da Silv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 (RPR),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Cássia Fellet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(UNIFESP)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Luiz Carlos Silva Araújo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(Defensoria Pública)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José França (RPR), José Regilvaldo (RPR),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Fausto Henrique Inácio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Anderson Cardoso de Mello e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Odete de Oliveira.</w:t>
      </w:r>
    </w:p>
    <w:p w:rsidR="00E81963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294E42">
        <w:rPr>
          <w:rFonts w:ascii="Arial" w:hAnsi="Arial" w:cs="Arial"/>
          <w:b/>
          <w:color w:val="000000"/>
          <w:sz w:val="24"/>
          <w:szCs w:val="24"/>
          <w:lang w:eastAsia="pt-BR"/>
        </w:rPr>
        <w:t>Alcyr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(SMDHC) inicia a reunião com uma introdução sobre o histórico do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Subcomitê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Habitação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do Comitê PopRua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. Propõe que o grupo se debruce sobre quais critérios de priorização e seleção devem ser levados em conta, uma vez que na ocasião de atendimento habitacional, não haverá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unidades habitacionais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suficientes para atender a todos de uma vez.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4743FF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(SEHAB) continua a reunião contextualizando o Seminário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que ocorreu em agosto e o Projeto do FNHIS, comentando para este último que a Prefeitura tem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472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unidades habitacionais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reservadas e 20.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000 pessoas em situação de rua, e pergunta à planária quais serão os critérios.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 Sra. </w:t>
      </w:r>
      <w:r w:rsidRPr="004743FF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(SEHAB) explica que 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SEHAB tem experiência acumulada com movimentos de moradia, e agora é uma porta que se abre com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as demandas da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população em situação de rua. A solução habitacional que está sendo proposta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para esse público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é o programa de locação social.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 Sr.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4743FF">
        <w:rPr>
          <w:rFonts w:ascii="Arial" w:hAnsi="Arial" w:cs="Arial"/>
          <w:b/>
          <w:color w:val="000000"/>
          <w:sz w:val="24"/>
          <w:szCs w:val="24"/>
          <w:lang w:eastAsia="pt-BR"/>
        </w:rPr>
        <w:t>Amaral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(RPR)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pede esclarecimento.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A Sra. </w:t>
      </w:r>
      <w:r w:rsidRPr="004743FF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(SEHAB)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responde que o programa de locação social é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composto por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um parque público de unidades habitacionais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e que 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direito à moradia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é efetivado por meio do aluguel social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 não por meio acesso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à propriedade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privada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. As unidades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habitacionais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continuarão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propriedade da Municipalidade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, mas as pessoas podem mora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r por tempo ilimitado, ou seja, é uma modalidade de atendimento definitiva.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4743FF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(SEHAB)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esclarece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que os programas habitacionais seguem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regulamentações e leis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. O critério principal do programa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de locação social atual é renda de até 3 salários mínimos.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Um participante que não se identificou afirmou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 por sua vez,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que com três salários mínimos a pessoa já pode entrar em um financiamento. Outro participante perguntou q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ual seria o mínimo de renda. 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DE2C75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(SEHAB) informou que a normativa atual do programa exige um piso de re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nda, ainda que o programa seja definido para pessoas e famílias de até três salários mínimos.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habitação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é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ubsidiada, mas não é universal: 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enda zero não consegue adentrar o sistema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 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E377C3">
        <w:rPr>
          <w:rFonts w:ascii="Arial" w:hAnsi="Arial" w:cs="Arial"/>
          <w:b/>
          <w:color w:val="000000"/>
          <w:sz w:val="24"/>
          <w:szCs w:val="24"/>
          <w:lang w:eastAsia="pt-BR"/>
        </w:rPr>
        <w:t>Rosiene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acrescentou que mesmo nos serviços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da assistência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há tipologias que também requerem contrapartida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financeira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, como a República.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E377C3">
        <w:rPr>
          <w:rFonts w:ascii="Arial" w:hAnsi="Arial" w:cs="Arial"/>
          <w:b/>
          <w:color w:val="000000"/>
          <w:sz w:val="24"/>
          <w:szCs w:val="24"/>
          <w:lang w:eastAsia="pt-BR"/>
        </w:rPr>
        <w:t>Amaral</w:t>
      </w:r>
      <w:r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E377C3">
        <w:rPr>
          <w:rFonts w:ascii="Arial" w:hAnsi="Arial" w:cs="Arial"/>
          <w:color w:val="000000"/>
          <w:sz w:val="24"/>
          <w:szCs w:val="24"/>
          <w:lang w:eastAsia="pt-BR"/>
        </w:rPr>
        <w:t>(RPR)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questionou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se SMADS participará do projeto, ao passo que o Sr. </w:t>
      </w:r>
      <w:r w:rsidRPr="00E377C3">
        <w:rPr>
          <w:rFonts w:ascii="Arial" w:hAnsi="Arial" w:cs="Arial"/>
          <w:b/>
          <w:color w:val="000000"/>
          <w:sz w:val="24"/>
          <w:szCs w:val="24"/>
          <w:lang w:eastAsia="pt-BR"/>
        </w:rPr>
        <w:t>Alcyr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(SMDHC)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respondeu que sim, assim como SMDHC, para além de SEHAB. 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E377C3">
        <w:rPr>
          <w:rFonts w:ascii="Arial" w:hAnsi="Arial" w:cs="Arial"/>
          <w:b/>
          <w:color w:val="000000"/>
          <w:sz w:val="24"/>
          <w:szCs w:val="24"/>
          <w:lang w:eastAsia="pt-BR"/>
        </w:rPr>
        <w:t>Robson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R) questionou a existência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piso de renda, o que não ju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lga compatível com o perfil da população em situação de 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ua.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E377C3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(SEHAB)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concordou, mas disse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que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é necessário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construir um programa de locação social para a população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em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situação de rua,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 que essa realidade de fato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não est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á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contemplada na normativa atual.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As primeiras unidades habitacionais terão que respeitar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as regras antigas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do programa, pois não haverá tempo para formular novas regras.</w:t>
      </w:r>
    </w:p>
    <w:p w:rsidR="00E81963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Um terceiro participante não identificado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perguntou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sobre a comprovação de renda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para o programa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, tendo sido informado que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não será necessário comprovar renda, a renda será autodeclarada.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0117BD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(SEHAB) destaca que é importante ser realista na declaração de renda, caso contrário não dará conta dos gastos e terá dificuldade de permanecer no programa.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6E079A">
        <w:rPr>
          <w:rFonts w:ascii="Arial" w:hAnsi="Arial" w:cs="Arial"/>
          <w:b/>
          <w:color w:val="000000"/>
          <w:sz w:val="24"/>
          <w:szCs w:val="24"/>
          <w:lang w:eastAsia="pt-BR"/>
        </w:rPr>
        <w:t>Regina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(OAF) sintetizou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a discussão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: no Asdrúbal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II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segue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regra atual e nos demais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empreendimentos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do FNHIS as regras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terão de ser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mudadas. 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6E079A">
        <w:rPr>
          <w:rFonts w:ascii="Arial" w:hAnsi="Arial" w:cs="Arial"/>
          <w:b/>
          <w:color w:val="000000"/>
          <w:sz w:val="24"/>
          <w:szCs w:val="24"/>
          <w:lang w:eastAsia="pt-BR"/>
        </w:rPr>
        <w:t>Cássia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(UNIFESP)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manifesta-se pela inclusão da pasta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Desenvolvimento Econômico nos trabalhos do Subcomitê.  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6E079A">
        <w:rPr>
          <w:rFonts w:ascii="Arial" w:hAnsi="Arial" w:cs="Arial"/>
          <w:b/>
          <w:color w:val="000000"/>
          <w:sz w:val="24"/>
          <w:szCs w:val="24"/>
          <w:lang w:eastAsia="pt-BR"/>
        </w:rPr>
        <w:t>Alcyr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(SMDHC) informou que 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ecretaria tem representante nomeado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e que ele recebe a agenda dos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ubcomitês.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ra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0117BD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(SEHAB)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reforça que a população em situação de rua será a única a ser atendida no empreendimento Asdrúbal do Nascimento II.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Para isso, será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necessário t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er alguma comprovação de que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está em situação de rua. Sugere-se a utilização de cadastros oficiais, tais como o CadÚnico e o SISA.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No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CadÚnico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há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uma marcação de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que a pessoa está em situação de rua.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0117BD">
        <w:rPr>
          <w:rFonts w:ascii="Arial" w:hAnsi="Arial" w:cs="Arial"/>
          <w:b/>
          <w:color w:val="000000"/>
          <w:sz w:val="24"/>
          <w:szCs w:val="24"/>
          <w:lang w:eastAsia="pt-BR"/>
        </w:rPr>
        <w:t>Simone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(SEHAB)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destaca que todas as pessoas que recebem BPC e/ou Bolsa Família já est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ão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no CadÚnico. O CadÚnico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serve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para todos os serviços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e benefícios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da assistência.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0117BD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(SEHAB) reforça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pedido para que as pessoas mantenham o C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ad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Único atualizado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 principalmente a marcação população em situação de rua e renda.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0117BD">
        <w:rPr>
          <w:rFonts w:ascii="Arial" w:hAnsi="Arial" w:cs="Arial"/>
          <w:b/>
          <w:color w:val="000000"/>
          <w:sz w:val="24"/>
          <w:szCs w:val="24"/>
          <w:lang w:eastAsia="pt-BR"/>
        </w:rPr>
        <w:t>Robson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questiona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 porquê não serão utilizados os cadastros de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SEHAB 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COHAB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para escolher a demanda do Asdrúbal II. 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0117BD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Alcyr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(SMDHC) esclarece que na proposta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em andamento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não seria essa a fonte.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A proposta leva em consideração que muitas pessoas em situação de rua não estão no sistema da COHAB, e o C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adÚnico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parece oferecer a lista mais inclusiva para servir de ponto de partida.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0117BD">
        <w:rPr>
          <w:rFonts w:ascii="Arial" w:hAnsi="Arial" w:cs="Arial"/>
          <w:b/>
          <w:color w:val="000000"/>
          <w:sz w:val="24"/>
          <w:szCs w:val="24"/>
          <w:lang w:eastAsia="pt-BR"/>
        </w:rPr>
        <w:t>Cássia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(UNIFESP)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pergunta qual a documentação necessária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para atualizar ou fazer o CadÚnico,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endo-lhe respondido que o C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adÚnico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é feito com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 apresentação d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os documentos pessoais.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A Sra. </w:t>
      </w:r>
      <w:r w:rsidRPr="009E4C95">
        <w:rPr>
          <w:rFonts w:ascii="Arial" w:hAnsi="Arial" w:cs="Arial"/>
          <w:b/>
          <w:color w:val="000000"/>
          <w:sz w:val="24"/>
          <w:szCs w:val="24"/>
          <w:lang w:eastAsia="pt-BR"/>
        </w:rPr>
        <w:t>Eliana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questionou que nos CRAS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o atendimento pode não acreditar que se trata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de pessoa em situação de rua, tendo sido respondido que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SMADS havia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se comprometido nas reuniões de G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overno a apoiar o esforço de atualização do C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adÚnico.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1862B2">
        <w:rPr>
          <w:rFonts w:ascii="Arial" w:hAnsi="Arial" w:cs="Arial"/>
          <w:b/>
          <w:color w:val="000000"/>
          <w:sz w:val="24"/>
          <w:szCs w:val="24"/>
          <w:lang w:eastAsia="pt-BR"/>
        </w:rPr>
        <w:t>França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(RPR)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m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anifesta-se pela importância de corrigir desvios de dados, tais como pessoas que já morreram e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que não estão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mais </w:t>
      </w:r>
      <w:smartTag w:uri="urn:schemas-microsoft-com:office:smarttags" w:element="PersonName">
        <w:smartTagPr>
          <w:attr w:name="ProductID" w:val="em São Paulo. O"/>
        </w:smartTagPr>
        <w:r w:rsidRPr="00444239">
          <w:rPr>
            <w:rFonts w:ascii="Arial" w:hAnsi="Arial" w:cs="Arial"/>
            <w:color w:val="000000"/>
            <w:sz w:val="24"/>
            <w:szCs w:val="24"/>
            <w:lang w:eastAsia="pt-BR"/>
          </w:rPr>
          <w:t xml:space="preserve">em São Paulo. </w:t>
        </w:r>
        <w:r>
          <w:rPr>
            <w:rFonts w:ascii="Arial" w:hAnsi="Arial" w:cs="Arial"/>
            <w:color w:val="000000"/>
            <w:sz w:val="24"/>
            <w:szCs w:val="24"/>
            <w:lang w:eastAsia="pt-BR"/>
          </w:rPr>
          <w:t>O</w:t>
        </w:r>
      </w:smartTag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Sr. </w:t>
      </w:r>
      <w:r w:rsidRPr="001862B2">
        <w:rPr>
          <w:rFonts w:ascii="Arial" w:hAnsi="Arial" w:cs="Arial"/>
          <w:b/>
          <w:color w:val="000000"/>
          <w:sz w:val="24"/>
          <w:szCs w:val="24"/>
          <w:lang w:eastAsia="pt-BR"/>
        </w:rPr>
        <w:t>França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também reforç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a necessidade de envolver a Secretaria do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Desenvolvimento Econômico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e pediu um acompanhamento permanente ao projeto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além de manifestar que a regra atual não permite o atendimento da população em situação de rua.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A Sra. </w:t>
      </w:r>
      <w:r w:rsidRPr="001B6DD7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(SEHAB), por sua vez, diz que n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ós não podemos fazer uma lista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de interessados no Asdrúbal II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a partir das pessoas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desta reunião, não estaríamos sendo transparentes e justos com toda a população em situação de rua da cidade. 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1B6DD7">
        <w:rPr>
          <w:rFonts w:ascii="Arial" w:hAnsi="Arial" w:cs="Arial"/>
          <w:b/>
          <w:color w:val="000000"/>
          <w:sz w:val="24"/>
          <w:szCs w:val="24"/>
          <w:lang w:eastAsia="pt-BR"/>
        </w:rPr>
        <w:t>França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(RPR)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opina que as pessoas que estão no program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 autonomia em foco e república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estão ma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is preparadas para o programa de locação social, mas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não entende que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as pessoas desses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serviços devam ter prioridade. Reafirma que não é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para ter indicação de ninguém.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1B6DD7">
        <w:rPr>
          <w:rFonts w:ascii="Arial" w:hAnsi="Arial" w:cs="Arial"/>
          <w:b/>
          <w:color w:val="000000"/>
          <w:sz w:val="24"/>
          <w:szCs w:val="24"/>
          <w:lang w:eastAsia="pt-BR"/>
        </w:rPr>
        <w:t>Alcyr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(SMDHC) informa que a intenção da reunião é garantir transparência ao processo e a escuta da população interessada.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1642F4">
        <w:rPr>
          <w:rFonts w:ascii="Arial" w:hAnsi="Arial" w:cs="Arial"/>
          <w:b/>
          <w:color w:val="000000"/>
          <w:sz w:val="24"/>
          <w:szCs w:val="24"/>
          <w:lang w:eastAsia="pt-BR"/>
        </w:rPr>
        <w:t>Darcy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(RPR) manifest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preocupação com a participação do movimento organizado das pessoas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em situação de rua no processo e d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efende que as pessoas que lutam para a existência da política pública não sejam excluídas.  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 Sr. </w:t>
      </w:r>
      <w:r w:rsidRPr="001642F4">
        <w:rPr>
          <w:rFonts w:ascii="Arial" w:hAnsi="Arial" w:cs="Arial"/>
          <w:b/>
          <w:color w:val="000000"/>
          <w:sz w:val="24"/>
          <w:szCs w:val="24"/>
          <w:lang w:eastAsia="pt-BR"/>
        </w:rPr>
        <w:t>Robson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R) entende que há uma demanda reprimida nos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albergues que poderia estar em 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epúblicas ou em Autonomia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em Foco,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mas não está por falta de vaga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. 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1642F4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(SEHAB) e 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1642F4">
        <w:rPr>
          <w:rFonts w:ascii="Arial" w:hAnsi="Arial" w:cs="Arial"/>
          <w:b/>
          <w:color w:val="000000"/>
          <w:sz w:val="24"/>
          <w:szCs w:val="24"/>
          <w:lang w:eastAsia="pt-BR"/>
        </w:rPr>
        <w:t>Alcyr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(SMDHC) dizem que gostariam de ouvir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da plenária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sobre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os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critérios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 priorização levantados em tratativas de Governo. 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1642F4">
        <w:rPr>
          <w:rFonts w:ascii="Arial" w:hAnsi="Arial" w:cs="Arial"/>
          <w:b/>
          <w:color w:val="000000"/>
          <w:sz w:val="24"/>
          <w:szCs w:val="24"/>
          <w:lang w:eastAsia="pt-BR"/>
        </w:rPr>
        <w:t>Márcia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(SEHAB) reforça que ter critérios claros é garantia de transparência. A seguir,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pergunta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se deveria haver um tempo mínimo de rua para poder participar da seleção. A maioria dos presentes manifestou-se que não.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1642F4">
        <w:rPr>
          <w:rFonts w:ascii="Arial" w:hAnsi="Arial" w:cs="Arial"/>
          <w:b/>
          <w:color w:val="000000"/>
          <w:sz w:val="24"/>
          <w:szCs w:val="24"/>
          <w:lang w:eastAsia="pt-BR"/>
        </w:rPr>
        <w:t>França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R) diz que cada caso precisa ser analisado, devendo ser diferenciado se a pessoa está na rua porque não tem casa ou tem casa e não quer voltar para a casa.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1642F4">
        <w:rPr>
          <w:rFonts w:ascii="Arial" w:hAnsi="Arial" w:cs="Arial"/>
          <w:b/>
          <w:color w:val="000000"/>
          <w:sz w:val="24"/>
          <w:szCs w:val="24"/>
          <w:lang w:eastAsia="pt-BR"/>
        </w:rPr>
        <w:t>Sheila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(CGGDH)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lembra que em projetos de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Moradia Primeiro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o tempo de ru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 é um critério.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Um participante que não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se identificou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sinal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izou para o potencial de um anú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ncio destes atrair pessoas para São Paulo.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1642F4">
        <w:rPr>
          <w:rFonts w:ascii="Arial" w:hAnsi="Arial" w:cs="Arial"/>
          <w:b/>
          <w:color w:val="000000"/>
          <w:sz w:val="24"/>
          <w:szCs w:val="24"/>
          <w:lang w:eastAsia="pt-BR"/>
        </w:rPr>
        <w:t>Alcyr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(SMDHC)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pergunta a questão de outra forma, se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eria justo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priorizar quem está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 mais tempo na rua, e a maioria da plenária diz que sim.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C311F1">
        <w:rPr>
          <w:rFonts w:ascii="Arial" w:hAnsi="Arial" w:cs="Arial"/>
          <w:b/>
          <w:color w:val="000000"/>
          <w:sz w:val="24"/>
          <w:szCs w:val="24"/>
          <w:lang w:eastAsia="pt-BR"/>
        </w:rPr>
        <w:t>Darcy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R) reforça que é preciso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considerar a luta do movimento, e se coloca a favor d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o movimento fazer indicaç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ões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. Os presentes refutaram fortemente a possibilidade de movimento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 organizados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indicar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em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demanda.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Sr.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 w:rsidRPr="00E27892">
        <w:rPr>
          <w:rFonts w:ascii="Arial" w:hAnsi="Arial" w:cs="Arial"/>
          <w:b/>
          <w:color w:val="000000"/>
          <w:sz w:val="24"/>
          <w:szCs w:val="24"/>
          <w:lang w:eastAsia="pt-BR"/>
        </w:rPr>
        <w:t>Messias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(RPR) destaca que o Comitê PopRua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precisa pressionar a Câmara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dos Vereadores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para aprovar o P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lano Municipal de Habitação, com Projeto de Lei desde 2016 e fala para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buscar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mos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iniciativas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 financiamentos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pelo mundo a fora.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E27892">
        <w:rPr>
          <w:rFonts w:ascii="Arial" w:hAnsi="Arial" w:cs="Arial"/>
          <w:b/>
          <w:color w:val="000000"/>
          <w:sz w:val="24"/>
          <w:szCs w:val="24"/>
          <w:lang w:eastAsia="pt-BR"/>
        </w:rPr>
        <w:t>Elisangela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R) defende que a Prefeitur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 precisa encaminhar as pessoas, principalmente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quem for selecionado, para trabalhar,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para correr atrás de fogão, da comida e dos novos gastos.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Diz ainda que não se deva excluir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pessoas do processo de seleção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por questões de histórico criminal. Ela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retoma sua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experiência pessoal: ”Onde eu moro, 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demanda maior foi do movimento, o que foi bom no início, mas depois o movimento se afastou e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muita gente ficou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perdida, queimou o prédio etc.”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0C3957">
        <w:rPr>
          <w:rFonts w:ascii="Arial" w:hAnsi="Arial" w:cs="Arial"/>
          <w:b/>
          <w:color w:val="000000"/>
          <w:sz w:val="24"/>
          <w:szCs w:val="24"/>
          <w:lang w:eastAsia="pt-BR"/>
        </w:rPr>
        <w:t>Cássia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(UNIFESP)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defende que é necessário saber c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omo a população está atualmente. Um p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articipante não identificado defende que o programa seja p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ara quem está realmente na rua e 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elata sua experiência de sair do Autonomia em Foco, porque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, segundo ele,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tem gente que precisa mais do que ele. Outro participante não identificado afirma que 80% dos moradores de rua são homens solteiros,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 que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ele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 não estão sendo atraídos para as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discussões atuais.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Diz que é preciso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destacar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para o público que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o programa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é válido para todo mundo.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0C3957">
        <w:rPr>
          <w:rFonts w:ascii="Arial" w:hAnsi="Arial" w:cs="Arial"/>
          <w:b/>
          <w:color w:val="000000"/>
          <w:sz w:val="24"/>
          <w:szCs w:val="24"/>
          <w:lang w:eastAsia="pt-BR"/>
        </w:rPr>
        <w:t>Elisangela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(RP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R) pergunta se há previsão de encaminhamento para moradia própria depois, sendo-lhe respondido que não foi condicionado um ao outro e que a participação no programa de locação social não impede a participação em programas de aquisição da moradia. 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ra. </w:t>
      </w:r>
      <w:r w:rsidRPr="00E74D0C">
        <w:rPr>
          <w:rFonts w:ascii="Arial" w:hAnsi="Arial" w:cs="Arial"/>
          <w:b/>
          <w:color w:val="000000"/>
          <w:sz w:val="24"/>
          <w:szCs w:val="24"/>
          <w:lang w:eastAsia="pt-BR"/>
        </w:rPr>
        <w:t>Simone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(SEHAB) informa que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é um programa de moradia definitiva. 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penas se a pessoa deixar de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cumprir as regras do programa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ela precisa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rá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sair. Por exemplo, se não pagar, se a renda subir para mais de 3 salários mínimos. 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O S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r. </w:t>
      </w:r>
      <w:r w:rsidRPr="00E74D0C">
        <w:rPr>
          <w:rFonts w:ascii="Arial" w:hAnsi="Arial" w:cs="Arial"/>
          <w:b/>
          <w:color w:val="000000"/>
          <w:sz w:val="24"/>
          <w:szCs w:val="24"/>
          <w:lang w:eastAsia="pt-BR"/>
        </w:rPr>
        <w:t>Darcy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(RPR)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defende que a Sec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retaria de Saúde participe das 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reuniões e que se procure contato com lojas para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doação de mobiliário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para os beneficiários.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81963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81963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81963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81963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81963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E81963" w:rsidRPr="00E74D0C" w:rsidRDefault="00E81963" w:rsidP="00605B8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E74D0C">
        <w:rPr>
          <w:rFonts w:ascii="Arial" w:hAnsi="Arial" w:cs="Arial"/>
          <w:b/>
          <w:color w:val="000000"/>
          <w:sz w:val="24"/>
          <w:szCs w:val="24"/>
          <w:lang w:eastAsia="pt-BR"/>
        </w:rPr>
        <w:t>Sistematização das discussões sobre critérios de priorização</w:t>
      </w:r>
    </w:p>
    <w:p w:rsidR="00E81963" w:rsidRPr="007929CC" w:rsidRDefault="00E81963" w:rsidP="00605B8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7929CC">
        <w:rPr>
          <w:rFonts w:ascii="Arial" w:hAnsi="Arial" w:cs="Arial"/>
          <w:b/>
          <w:color w:val="000000"/>
          <w:sz w:val="24"/>
          <w:szCs w:val="24"/>
          <w:lang w:eastAsia="pt-BR"/>
        </w:rPr>
        <w:t>- Habilitação:</w:t>
      </w:r>
    </w:p>
    <w:p w:rsidR="00E81963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Renda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 até 3 salários mínimos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uto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nomia para cuidados diários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Não con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siderar tempo mínimo de rua</w:t>
      </w:r>
    </w:p>
    <w:p w:rsidR="00E81963" w:rsidRPr="007929CC" w:rsidRDefault="00E81963" w:rsidP="00605B8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7929CC">
        <w:rPr>
          <w:rFonts w:ascii="Arial" w:hAnsi="Arial" w:cs="Arial"/>
          <w:b/>
          <w:color w:val="000000"/>
          <w:sz w:val="24"/>
          <w:szCs w:val="24"/>
          <w:lang w:eastAsia="pt-BR"/>
        </w:rPr>
        <w:t>- Cotas: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Cota mínima de 3% para idosos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Cota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mínima de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3% p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ara pessoas com deficiência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Pessoa só – homens solteiros, mulheres solteiras, mulher víti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ma de violência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Família – mulher chefe de família, famílias de até 4 membros, família anaparental, famílias com crianças em situação de acolhimento,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mulher vítima de violência</w:t>
      </w:r>
    </w:p>
    <w:p w:rsidR="00E81963" w:rsidRPr="007929CC" w:rsidRDefault="00E81963" w:rsidP="00605B8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7929CC">
        <w:rPr>
          <w:rFonts w:ascii="Arial" w:hAnsi="Arial" w:cs="Arial"/>
          <w:b/>
          <w:color w:val="000000"/>
          <w:sz w:val="24"/>
          <w:szCs w:val="24"/>
          <w:lang w:eastAsia="pt-BR"/>
        </w:rPr>
        <w:t>- Prioridades: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LGBTI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Autonomia em Foco e República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E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gresso do sistema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penitenciário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>T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empo em situação de rua</w:t>
      </w:r>
    </w:p>
    <w:p w:rsidR="00E81963" w:rsidRPr="007929CC" w:rsidRDefault="00E81963" w:rsidP="00605B8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7929CC">
        <w:rPr>
          <w:rFonts w:ascii="Arial" w:hAnsi="Arial" w:cs="Arial"/>
          <w:b/>
          <w:color w:val="000000"/>
          <w:sz w:val="24"/>
          <w:szCs w:val="24"/>
          <w:lang w:eastAsia="pt-BR"/>
        </w:rPr>
        <w:t>- Não passou: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Proble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ma de saúde associado à moradia</w:t>
      </w: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Indicação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de movimentos organizados</w:t>
      </w:r>
    </w:p>
    <w:p w:rsidR="00E81963" w:rsidRPr="007929CC" w:rsidRDefault="00E81963" w:rsidP="00605B8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7929CC">
        <w:rPr>
          <w:rFonts w:ascii="Arial" w:hAnsi="Arial" w:cs="Arial"/>
          <w:b/>
          <w:color w:val="000000"/>
          <w:sz w:val="24"/>
          <w:szCs w:val="24"/>
          <w:lang w:eastAsia="pt-BR"/>
        </w:rPr>
        <w:t>Encaminhamentos: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Reforçar com SMADS a comunicação para campanha de atualização do C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adÚnico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Levar a sistematização para a próxima reunião do Comitê PopRua</w:t>
      </w:r>
    </w:p>
    <w:p w:rsidR="00E81963" w:rsidRPr="00444239" w:rsidRDefault="00E81963" w:rsidP="00605B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 xml:space="preserve">Próxima reunião </w:t>
      </w:r>
      <w:bookmarkStart w:id="0" w:name="_GoBack"/>
      <w:bookmarkEnd w:id="0"/>
      <w:r w:rsidRPr="00444239">
        <w:rPr>
          <w:rFonts w:ascii="Arial" w:hAnsi="Arial" w:cs="Arial"/>
          <w:color w:val="000000"/>
          <w:sz w:val="24"/>
          <w:szCs w:val="24"/>
          <w:lang w:eastAsia="pt-BR"/>
        </w:rPr>
        <w:t>16/10/2018</w:t>
      </w:r>
    </w:p>
    <w:sectPr w:rsidR="00E81963" w:rsidRPr="00444239" w:rsidSect="006F6C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4A1"/>
    <w:rsid w:val="000117BD"/>
    <w:rsid w:val="00072FA8"/>
    <w:rsid w:val="000C3957"/>
    <w:rsid w:val="0011524D"/>
    <w:rsid w:val="00131CA9"/>
    <w:rsid w:val="001545D9"/>
    <w:rsid w:val="001642F4"/>
    <w:rsid w:val="001862B2"/>
    <w:rsid w:val="001B6DD7"/>
    <w:rsid w:val="00245D52"/>
    <w:rsid w:val="00266E08"/>
    <w:rsid w:val="00294E42"/>
    <w:rsid w:val="002C5A76"/>
    <w:rsid w:val="002F7370"/>
    <w:rsid w:val="00317282"/>
    <w:rsid w:val="0035244B"/>
    <w:rsid w:val="003708FD"/>
    <w:rsid w:val="00395C43"/>
    <w:rsid w:val="003C73EE"/>
    <w:rsid w:val="003F6BB1"/>
    <w:rsid w:val="0043779D"/>
    <w:rsid w:val="00444239"/>
    <w:rsid w:val="00465C0A"/>
    <w:rsid w:val="004743FF"/>
    <w:rsid w:val="00475F97"/>
    <w:rsid w:val="004E1424"/>
    <w:rsid w:val="00530662"/>
    <w:rsid w:val="0054370E"/>
    <w:rsid w:val="00577548"/>
    <w:rsid w:val="00582A09"/>
    <w:rsid w:val="00592B68"/>
    <w:rsid w:val="00605B85"/>
    <w:rsid w:val="006240D9"/>
    <w:rsid w:val="006E079A"/>
    <w:rsid w:val="006E2CD5"/>
    <w:rsid w:val="006F010C"/>
    <w:rsid w:val="006F6CBC"/>
    <w:rsid w:val="007519DA"/>
    <w:rsid w:val="007929CC"/>
    <w:rsid w:val="007A65C3"/>
    <w:rsid w:val="007E00CA"/>
    <w:rsid w:val="00812AA1"/>
    <w:rsid w:val="008320D3"/>
    <w:rsid w:val="008F62A7"/>
    <w:rsid w:val="009A6778"/>
    <w:rsid w:val="009E4C95"/>
    <w:rsid w:val="00A07C26"/>
    <w:rsid w:val="00B43FBA"/>
    <w:rsid w:val="00B7605C"/>
    <w:rsid w:val="00B919F6"/>
    <w:rsid w:val="00C073DF"/>
    <w:rsid w:val="00C26CFD"/>
    <w:rsid w:val="00C311F1"/>
    <w:rsid w:val="00CC24A1"/>
    <w:rsid w:val="00D1342A"/>
    <w:rsid w:val="00D430F5"/>
    <w:rsid w:val="00DA395C"/>
    <w:rsid w:val="00DC1050"/>
    <w:rsid w:val="00DC1388"/>
    <w:rsid w:val="00DE2C75"/>
    <w:rsid w:val="00E27892"/>
    <w:rsid w:val="00E377C3"/>
    <w:rsid w:val="00E74D0C"/>
    <w:rsid w:val="00E81963"/>
    <w:rsid w:val="00F046C3"/>
    <w:rsid w:val="00F813F9"/>
    <w:rsid w:val="00F9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F6CB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CB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C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6CB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6CB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6CB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6CB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F6CB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F6CBC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F6CBC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6CB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6CB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6CB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F6CB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6CB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F6CB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F6CB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F6CBC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F6CBC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F6C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F6CB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6CB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6CB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6F6CBC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6F6CB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6F6CBC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6F6CBC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6F6CB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6F6CB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F6CB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F6CB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6F6CB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6F6CB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6F6CBC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6F6CB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6CB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F6CB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254</TotalTime>
  <Pages>6</Pages>
  <Words>1808</Words>
  <Characters>9764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Comitê Intersetorial da Política Municipal para a População em Situação de Rua</dc:title>
  <dc:subject/>
  <dc:creator>Alcyr Barbin Neto</dc:creator>
  <cp:keywords/>
  <dc:description/>
  <cp:lastModifiedBy>d850622</cp:lastModifiedBy>
  <cp:revision>6</cp:revision>
  <cp:lastPrinted>2018-11-30T21:07:00Z</cp:lastPrinted>
  <dcterms:created xsi:type="dcterms:W3CDTF">2018-11-29T14:08:00Z</dcterms:created>
  <dcterms:modified xsi:type="dcterms:W3CDTF">2019-01-23T16:27:00Z</dcterms:modified>
</cp:coreProperties>
</file>