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ATA 63ª REUNIÃO ORDINÁRIA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27 de maio de 2021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Rua Líbero Badaró, 119, Secretaria Municipal de Direitos Humanos e Cidadania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Reunião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Presentes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Membros Poder Público: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Vinicius Duque (CPMigTD/SMDHC)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; Bryan Sempertegui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Gabriela Mika Tanaka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Rebeca Duran (SMDHC/CRAI);  Jenny Kose (Covisa/ SMS).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Membros Sociedade Civil: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Marília Ramos (Repórter Brasil);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Alexandre Branco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(CDHIC);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Débora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(ABVTEX);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Bruna Lima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(CAMI)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; Camila Zelezoglo (ABIT); Leticia Carvalho (Missão Paz); Thaynah Gutierrez e Fernanda Pinheiro (Conectas); Patrícia Lima (ITD)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Observadores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Matheus Faustino (Sefras/ Rede de Promoção do Trabalho Decente)); Wilbert Rivas (OIM); Lívia Ferreira (SRT/SP); Ana Lucia Oliveira (DPU)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9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Pautas: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Aprovação da ata da 62ª Reunião Ordinária (anexo);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sobre as eleições do Conselho Municipal de Imigrantes;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sobre os Grupos de Trabalho;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Composição e calendário;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uw80kukfqpea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sobre a atualização do Pacto Federativo pela Erradicação do Trabalho Escravo, assentada na Portaria 1.620, de 13 de maio de 2021;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y11qxi2fem84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Casos do Fluxo Municipal de Atendimento à Pessoa Vulnerável e/ou Submetida ao Trabalho Escravo.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do resgate dos trabalhadores bolivianos realizado em setembro de 2020.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Às 09h15 o Sr. Bryan iniciou a reunião agradecendo a presença de todos e também a compreensão em relação à mudança de data desta reunião, a qual estava prevista a ser realizada no dia 20/05/2021 e foi adiada devido as eleições do Conselho Municipal de Imigrantes (CMI). Apresentou as pautas e abriu para os informes de outras organizações presentes. </w:t>
      </w:r>
    </w:p>
    <w:p w:rsidR="00000000" w:rsidDel="00000000" w:rsidP="00000000" w:rsidRDefault="00000000" w:rsidRPr="00000000" w14:paraId="00000018">
      <w:pPr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Neste sentido, o Sr. Alexandre Branco informou sobre a Reunião Extraordinária Virtual da Comissão Extraordinária de Direitos Humanos da Câmara Municipal de São Paulo sobre o Combate ao Trabalho Escravo e Promoção do Trabalho Decente entre Migrantes na cidade, a qual seria realizada no dia 10/06/2021, das 11h às 13h, convidou os membros para acompanharem o encontro. </w:t>
      </w:r>
    </w:p>
    <w:p w:rsidR="00000000" w:rsidDel="00000000" w:rsidP="00000000" w:rsidRDefault="00000000" w:rsidRPr="00000000" w14:paraId="00000019">
      <w:pPr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 Sr. Bryan indicou que será disponibilizado um Google Forms aos membros da COMTRAE, por meio de e-mail e grupo do Whatsapp, para atualização dos contatos dos atuais representantes. Tal questão se faz presente por uma mudança significativa nos representantes das organizações e para facilitar as comunicações institucionais do colegiado. 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Pautas: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Aprovação da ata da 62ª Reunião Ordinária (anexo)</w:t>
      </w:r>
    </w:p>
    <w:p w:rsidR="00000000" w:rsidDel="00000000" w:rsidP="00000000" w:rsidRDefault="00000000" w:rsidRPr="00000000" w14:paraId="0000001C">
      <w:pPr>
        <w:spacing w:after="200"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ata foi aprovada em consenso pelo colegiado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sobre as eleições do Conselho Municipal de Imigrantes</w:t>
      </w:r>
    </w:p>
    <w:p w:rsidR="00000000" w:rsidDel="00000000" w:rsidP="00000000" w:rsidRDefault="00000000" w:rsidRPr="00000000" w14:paraId="0000001E">
      <w:pPr>
        <w:spacing w:after="200"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Bryan informou que as eleições do CMI ocorreram na semana anterior, virtualmente ao longo da semana e presencialmente durante o domingo, com mais de mil votantes. Das 16 cadeiras do CMI, 9 foram reeleitas. O resultado está disponível no site da SMDHC.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sobre os Grupos de Trabalho</w:t>
      </w:r>
    </w:p>
    <w:p w:rsidR="00000000" w:rsidDel="00000000" w:rsidP="00000000" w:rsidRDefault="00000000" w:rsidRPr="00000000" w14:paraId="00000020">
      <w:pPr>
        <w:spacing w:after="200"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Bryan apresentou a composição dos grupos de trabalho sobre Bancarização e de Formação, assim como também foram apresentados os calendários das reuniões dos respectivos GTs. </w:t>
      </w:r>
    </w:p>
    <w:p w:rsidR="00000000" w:rsidDel="00000000" w:rsidP="00000000" w:rsidRDefault="00000000" w:rsidRPr="00000000" w14:paraId="00000021">
      <w:pPr>
        <w:spacing w:after="200"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Desta forma, as reuniões do GT Bancarização irão ocorrer nas últimas sextas-feiras do mês, das 14h às 16h. Por sua vez, as reuniões do GT Formação irão acontecer nas segundas sextas-feiras do mês, das 14h às 16h.</w:t>
      </w:r>
    </w:p>
    <w:p w:rsidR="00000000" w:rsidDel="00000000" w:rsidP="00000000" w:rsidRDefault="00000000" w:rsidRPr="00000000" w14:paraId="00000022">
      <w:pPr>
        <w:spacing w:after="200"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Sr. Bryan indicou que será enviado o calendário fechado para todos os membros.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sobre a atualização do Pacto Federativo pela Erradicação do Trabalho Escravo, assentada na Portaria 1.620, de 13 de maio de 2021</w:t>
      </w:r>
    </w:p>
    <w:p w:rsidR="00000000" w:rsidDel="00000000" w:rsidP="00000000" w:rsidRDefault="00000000" w:rsidRPr="00000000" w14:paraId="00000024">
      <w:pPr>
        <w:spacing w:after="200"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Vinicius informou ao colegiado que a Coordenação Geral de Combate ao Trabalho Escravo (CGCTE) do Ministério da Mulher, da Família e dos Direitos Humanos, entrou em contato para tratar sobre o Pacto Federativo para Erradicação de Trabalho Escravo e de regularização do do Fluxo Nacional de Atendimento ao Trabalhador Resgatado. Em conversa com a CGCTE, essa convidou a SMDHC a participar do evento de lançamento das portarias referentes aos dois mecanismos. O evento ocorreu no dia 20 de maio, porém, a Secretaria Executiva da COMTRAE não participou, já que não houve tempo hábil para alinhar junto à plenária da comissão. </w:t>
      </w:r>
    </w:p>
    <w:p w:rsidR="00000000" w:rsidDel="00000000" w:rsidP="00000000" w:rsidRDefault="00000000" w:rsidRPr="00000000" w14:paraId="00000025">
      <w:pPr>
        <w:spacing w:after="200"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Vinicius abriu espaço para o colegiado se manifestar sobre o interesse em aderir ao Pacto Federativo que, até então, era voltado apenas aos estados. Neste sentido, a Sra. Marília pontuou que seria importante aguardar maiores informações antes de aderir, já que as discussões a nível federativo ainda estão sendo desenvolvidas e também internamente na CONATRAE. Dessa forma, o colegiado consensuou em aguardar os desdobramento das discussões realizadas a nível nacional antes de se posicionar.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y11qxi2fem84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Casos do Fluxo Municipal de Atendimento à Pessoa Vulnerável e/ou Submetida ao Trabalho Escravo</w:t>
      </w:r>
    </w:p>
    <w:p w:rsidR="00000000" w:rsidDel="00000000" w:rsidP="00000000" w:rsidRDefault="00000000" w:rsidRPr="00000000" w14:paraId="00000027">
      <w:pPr>
        <w:spacing w:after="200"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cw1qzw8lid87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Sr. Bryan informou sobre os casos das famílias acompanhadas pelo Fluxo desde setembro de 2020, as quais vêm encontrando dificuldades após o resgate, cerceadas pelas questões jurídicas, considerando a morosidade da justiça do trabalho. Isso os mantém em uma situação vulnerável e permanecem a possibilidade de retorno para o ciclo de trabalho escravo. </w:t>
      </w:r>
    </w:p>
    <w:p w:rsidR="00000000" w:rsidDel="00000000" w:rsidP="00000000" w:rsidRDefault="00000000" w:rsidRPr="00000000" w14:paraId="00000028">
      <w:pPr>
        <w:spacing w:after="200"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pewtic39686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comissão em debate pontuou sobre a necessidade de intersecção e diálogo com as políticas de inclusão laboral existentes para que se preveja trabalhadores resgatados, por ser uma questão de suma importância para a inclusão social desses sujeitos. O Sr. Bryan indicou que não foi possível entrar em contato com a Secretaria Municipal de Desenvolvimento Econômico e Trabalho para chamá-los à esta comissão, conforme acordado na última reunião, mas que para a próxima reunião se intentará realizar esse diálogo. </w:t>
      </w:r>
    </w:p>
    <w:p w:rsidR="00000000" w:rsidDel="00000000" w:rsidP="00000000" w:rsidRDefault="00000000" w:rsidRPr="00000000" w14:paraId="00000029">
      <w:pPr>
        <w:spacing w:line="36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c4u3ipx65ti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Assim, deu-se encerrada a 63ª Reunião da COMTRAE.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240" w:before="240" w:lineRule="auto"/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Secretaria Municipal de Direitos Humanos e Cidadania</w:t>
    </w:r>
  </w:p>
  <w:p w:rsidR="00000000" w:rsidDel="00000000" w:rsidP="00000000" w:rsidRDefault="00000000" w:rsidRPr="00000000" w14:paraId="0000002E">
    <w:pPr>
      <w:spacing w:after="240" w:before="240" w:lineRule="auto"/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Rua Líbero Badaró, 119 – 7º andar – Centro - 01009-000 – São Paulo/SP | 55.11.3113.9644</w:t>
    </w:r>
  </w:p>
  <w:p w:rsidR="00000000" w:rsidDel="00000000" w:rsidP="00000000" w:rsidRDefault="00000000" w:rsidRPr="00000000" w14:paraId="0000002F">
    <w:pP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Coordenação de Políticas para Imigrantes e Promoção do Trabalho Decente</w:t>
    </w:r>
    <w:r w:rsidDel="00000000" w:rsidR="00000000" w:rsidRPr="00000000">
      <w:pict>
        <v:shape id="image1.png" style="position:absolute;left:0;text-align:left;margin-left:360.75pt;margin-top:-0.75pt;width:90.75pt;height:106.5pt;z-index:251659264;visibility:visible;mso-position-horizontal-relative:margin;mso-position-vertical-relative:text;mso-position-horizontal:absolute;mso-position-vertical:absolute;" o:spid="_x0000_s2052" type="#_x0000_t75">
          <v:imagedata r:id="rId1" o:title=""/>
          <w10:wrap type="topAndBottom"/>
        </v:shape>
      </w:pic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</wp:posOffset>
          </wp:positionH>
          <wp:positionV relativeFrom="paragraph">
            <wp:posOffset>314325</wp:posOffset>
          </wp:positionV>
          <wp:extent cx="1011600" cy="961200"/>
          <wp:effectExtent b="0" l="0" r="0" t="0"/>
          <wp:wrapTopAndBottom distB="0" dist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5258" l="15794" r="14436" t="16808"/>
                  <a:stretch>
                    <a:fillRect/>
                  </a:stretch>
                </pic:blipFill>
                <pic:spPr>
                  <a:xfrm>
                    <a:off x="0" y="0"/>
                    <a:ext cx="1011600" cy="96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Comissão Municipal para Erradicação do Trabalho Escravo</w:t>
    </w:r>
  </w:p>
  <w:p w:rsidR="00000000" w:rsidDel="00000000" w:rsidP="00000000" w:rsidRDefault="00000000" w:rsidRPr="00000000" w14:paraId="0000002C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9"/>
    <w:locked w:val="1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9"/>
    <w:semiHidden w:val="1"/>
    <w:locked w:val="1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9"/>
    <w:semiHidden w:val="1"/>
    <w:locked w:val="1"/>
    <w:rPr>
      <w:rFonts w:ascii="Cambria" w:cs="Times New Roman" w:hAnsi="Cambria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9"/>
    <w:semiHidden w:val="1"/>
    <w:locked w:val="1"/>
    <w:rPr>
      <w:rFonts w:ascii="Calibri" w:cs="Times New Roman" w:hAnsi="Calibr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9"/>
    <w:semiHidden w:val="1"/>
    <w:locked w:val="1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uiPriority w:val="99"/>
    <w:semiHidden w:val="1"/>
    <w:locked w:val="1"/>
    <w:rPr>
      <w:rFonts w:ascii="Calibri" w:cs="Times New Roman" w:hAnsi="Calibri"/>
      <w:b w:val="1"/>
      <w:bCs w:val="1"/>
    </w:rPr>
  </w:style>
  <w:style w:type="paragraph" w:styleId="Normal10" w:customStyle="1">
    <w:name w:val="Normal1"/>
    <w:uiPriority w:val="99"/>
    <w:rsid w:val="00147364"/>
  </w:style>
  <w:style w:type="character" w:styleId="TtuloChar" w:customStyle="1">
    <w:name w:val="Título Char"/>
    <w:basedOn w:val="Fontepargpadro"/>
    <w:link w:val="Ttulo"/>
    <w:uiPriority w:val="99"/>
    <w:locked w:val="1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normal1" w:customStyle="1">
    <w:name w:val="normal1"/>
    <w:uiPriority w:val="99"/>
  </w:style>
  <w:style w:type="paragraph" w:styleId="Subttulo">
    <w:name w:val="Subtitle"/>
    <w:basedOn w:val="Normal"/>
    <w:next w:val="Normal"/>
    <w:link w:val="SubttuloCh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99"/>
    <w:locked w:val="1"/>
    <w:rPr>
      <w:rFonts w:ascii="Cambria" w:cs="Times New Roman" w:hAnsi="Cambria"/>
      <w:sz w:val="24"/>
      <w:szCs w:val="24"/>
    </w:rPr>
  </w:style>
  <w:style w:type="paragraph" w:styleId="Default" w:customStyle="1">
    <w:name w:val="Default"/>
    <w:uiPriority w:val="99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340445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C2C60"/>
  </w:style>
  <w:style w:type="paragraph" w:styleId="Rodap">
    <w:name w:val="footer"/>
    <w:basedOn w:val="Normal"/>
    <w:link w:val="Rodap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C2C6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BbXMCRwKQv0QTQtM1VNHy7Qu8Q==">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2020-11-19T17:56:00Z</dcterms:created>
  <dc:creator>Bryan Zelmar Sempertegui Rodas</dc:creator>
</cp:coreProperties>
</file>