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ATA 65ª REUNIÃO ORDINÁRIA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22 de julho de 2021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Rua Líbero Badaró, 119, Secretaria Municipal de Direitos Humanos e Cidadania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Reunião 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Presentes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Membros Poder Público: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Bryan Sempertegui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(CPMigTD/SMDHC);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Gabriela Mika Tanaka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(CPMigTD/SMDHC);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Rebeca Duran (SMDHC/CRAI);  Claudete (SMDET); Jenny Kose (SMS).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i w:val="1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Membros Sociedade Civil: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Marília Ramos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(Repórter Brasil);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Fernanda Pinheiro (Conectas); Roque Patussi (CAMI).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i w:val="1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Membros Observadores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Matheus Faustino (Sefras/ Rede de Promoção do Trabalho Decente); Lívia Ferreira (SRT/SP).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ind w:left="9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Pautas: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 sobre Grupo de Trabalho do Plano Estadual para Erradicação do Trabalho Escravo da Comissão Estadual para Erradicação do Trabalho Escravo;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 sobre reunião com a Secretaria Municipal de Desenvolvimento Econômico e Trabalho;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 sobre os Grupos de Trabalho;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Campanha “Coração Azul”, em alusão ao Dia Mundial e Nacional do Enfrentamento ao Tráfico de Pessoas;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bookmarkStart w:colFirst="0" w:colLast="0" w:name="_heading=h.7b0tzs31xne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Proposta de projeto de lei de auxílio aluguel para pessoas resgatadas de trabalho escravo;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bookmarkStart w:colFirst="0" w:colLast="0" w:name="_heading=h.y11qxi2fem84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Casos do Fluxo Municipal de Atendimento à Pessoa Vulnerável e/ou Submetida ao Trabalho Escravo (Pauta aberta para casos acompanhados pelos membros da COMTRAE).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10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Caso do resgate dos trabalhadores bolivianos realizado em setembro de 2020;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10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Caso do resgate de trabalhadora filipina realizado em junho de 2021.</w:t>
      </w:r>
    </w:p>
    <w:p w:rsidR="00000000" w:rsidDel="00000000" w:rsidP="00000000" w:rsidRDefault="00000000" w:rsidRPr="00000000" w14:paraId="00000017">
      <w:pPr>
        <w:spacing w:line="360" w:lineRule="auto"/>
        <w:ind w:left="0" w:firstLine="720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8esv77ol03r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bookmarkStart w:colFirst="0" w:colLast="0" w:name="_heading=h.kcv8fgbacxmc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Às 9h17 o Sr. Bryan iniciou a reunião apresentando as pautas do dia.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144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 sobre Grupo de Trabalho do Plano Estadual para Erradicação do Trabalho Escravo da Comissão Estadual para Erradicação do Trabalho Escravo;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 Sr. Bryan apresentou que, conforme aprovado na última reunião da COMTRAE, a Secretaria Executiva da COMTRAE indicou interesse à COETRAE/SP em compor o GT de rediscussão do Plano Estadual para Erradicação do Trabalho Escravo, no entanto, não até a presente reunião não houve retorno. Assim, a Secretaria Executiva aguarda o envio do calendário de reuniões do GT para informar os membros da COMTRAE.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144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Informe sobre reunião com a Secretaria Municipal de Desenvolvimento Econômico 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Sr. Bryan apresentou de forma geral a reunião de alinhamento inicial, realizada entre o Grupo de Trabalho Municipal de Inclusão Econômica e Produtiva da População Imigrante (GTMigra) formado por representantes da SMDET e SMDHC, nos quais foram apresentado um panorama das ações da SMDET. Os CATes (Centro de Apoio do Trabalho)  e o programa Tem Saída despertaram interesse dos participantes, por serem programas com convergências e transversalidades estratégicas para um diálogo com o Fluxo Municipal, de tal forma que seria importante a apresentação dessas políticas em reunião ordinária da COMTRAE. 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 Sra. Claudete fez algumas complementações sobre os dois programas. </w:t>
        <w:tab/>
        <w:t xml:space="preserve">O Sr. Roque apresentou que seria importante que a SMDET apresentasse os programas para a COMTRAE.</w:t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Foi acordado que entraremos em contato com a SMDET para um melhor alinhamento entre as pautas e possível apresentação desses programas em reunião ordinária.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144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 sobre os Grupos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Como encaminhamento do GT Bancarização foi combinado  que entraremos em contato com a CONATRAE, de maneira a se atualizar sobre os caminhos que essa está seguindo em tratativas com a Caixa Econômica Federal. 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 Sra. Marília indicou e solicitou a saída do GT Bancarização, mas que poderiam contribuir com o alinhamento com o fluxo nacional.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Em relação ao GT Formação, após sua primeira reunião ficou encaminhado os seguintes pontos: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(I) Elaboração de um mapeamento das organizações que trabalham com a temática de trabalho escravo e, a partir do mapeamento e das informações coletadas, (II) elaboração de materiais sensibilizadores sobre o tema e de apresentação da rede e da política pública.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 Sr. Bryan apresentou a necessidade de esparsas as reuniões do GT, para não sobrecarregar a secretaria executiva da COMTRAE.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Desta forma, ao invés da reunião ser mensal, foi aprovado pelo colegiado que as reuniões do GT serão a cada dois meses. </w:t>
        <w:tab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144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Campanha “Coração Azul”, em alusão ao Dia Mundial e Nacional do Enfrentamento ao Tráfico de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 Sr. Bryan informou sobre a adesão à Campanha “Coração Azul” neste ano. A SMDHC já havia participado nos anos de 2017, 2018 e 2019 desta ação e no dia 30/07 serão iluminados na cor azul prédios públicos da cidade em alusão ao tema, assim como se realizará postagens nas redes sociais da SMDHC de sensibilização sobre o tráfico de pessoas.</w:t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 Sr. Roque destacou a importância de que a SMDHC participe da campanha que alcance a cidade de São Paulo e mobilize a população.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144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Proposta de auxílio aluguel para pessoas resgatadas de trabalho escravo</w:t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 Sr. Bryan apresentou a proposta da CPMigTD em analisar a possibilidade, no âmbito do Fluxo, de se criar um programa de auxílio aluguel para pessoas resgatadas de trabalho escravo, como uma estratégia de acolhimento no pós-resgata. Essa proposta se baseia na experiência da recém aprovada lei de Auxílio Aluguel para Vítimas de Violência Doméstica. </w:t>
      </w:r>
    </w:p>
    <w:p w:rsidR="00000000" w:rsidDel="00000000" w:rsidP="00000000" w:rsidRDefault="00000000" w:rsidRPr="00000000" w14:paraId="0000002A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iniciativa encontra-se em fase inicial de estudos de sua viabilidade e formato. Desta maneira, viu-se como oportuno trazer a discussão para a COMTRAE de maneira a construir uma proposta que dialogue com os trabalhos realizados pela Comissão. </w:t>
      </w:r>
    </w:p>
    <w:p w:rsidR="00000000" w:rsidDel="00000000" w:rsidP="00000000" w:rsidRDefault="00000000" w:rsidRPr="00000000" w14:paraId="0000002B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Como encaminhamento, o colegiado deliberou por discutir a proposta ao final das reuniões ordinárias, os membros que inicialmente indicaram interesse em estar discutindo foram: Jenny (SMS); Lívia (SRT); Matheus (Sefras); Fernanda (Conectas); Roque (CAMI).</w:t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Além disso, a Fernanda (CONECTAS) indicou a disponibilidade em apoiar no mapeamento do cenário mais favorável para um bom encaminhamento da proposta dentro do poder legislativo.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60" w:lineRule="auto"/>
        <w:ind w:left="144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Casos do Fluxo Municipal de Atendimento à Pessoa Vulnerável e/ou Submetida ao Trabalho Escravo (Pauta aberta para casos acompanhados pelos membros da COMTRAE)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Sobre o caso acompanhado desde setembro de 2020, o Sr. Bryan indicou que houve pouco avanço no processo judicial, destacando a morosidade. Apontou que a família ainda passa por dificuldades socioeconômicas e que atualmente passaram por processos seletivos de trabalho, nos quais os últimos aguardam retorno sobre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os resultados.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 Sra. Lívia fez uma atualização sobre o caso da trabalhadora filipina, indicando que essa foi atendida pelo CRAI em sua residência temporária. Além disso, apontou que a mesma já encontra-se documentada e já está recebendo os valores do seguro desemprego.</w:t>
      </w:r>
    </w:p>
    <w:p w:rsidR="00000000" w:rsidDel="00000000" w:rsidP="00000000" w:rsidRDefault="00000000" w:rsidRPr="00000000" w14:paraId="00000030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Assim, deu-se encerrada a reunião às 11h25. </w:t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after="240" w:before="240" w:lineRule="auto"/>
      <w:jc w:val="center"/>
      <w:rPr>
        <w:rFonts w:ascii="Calibri" w:cs="Calibri" w:eastAsia="Calibri" w:hAnsi="Calibri"/>
        <w:b w:val="1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Secretaria Municipal de Direitos Humanos e Cidadania</w:t>
    </w:r>
  </w:p>
  <w:p w:rsidR="00000000" w:rsidDel="00000000" w:rsidP="00000000" w:rsidRDefault="00000000" w:rsidRPr="00000000" w14:paraId="00000036">
    <w:pPr>
      <w:spacing w:after="240" w:before="240" w:lineRule="auto"/>
      <w:jc w:val="center"/>
      <w:rPr>
        <w:rFonts w:ascii="Calibri" w:cs="Calibri" w:eastAsia="Calibri" w:hAnsi="Calibri"/>
        <w:b w:val="1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Rua Líbero Badaró, 119 – 7º andar – Centro - 01009-000 – São Paulo/SP | 55.11.3113.9644</w:t>
    </w:r>
  </w:p>
  <w:p w:rsidR="00000000" w:rsidDel="00000000" w:rsidP="00000000" w:rsidRDefault="00000000" w:rsidRPr="00000000" w14:paraId="00000037">
    <w:pP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Coordenação de Políticas para Imigrantes e Promoção do Trabalho Decente</w:t>
    </w:r>
    <w:r w:rsidDel="00000000" w:rsidR="00000000" w:rsidRPr="00000000">
      <w:pict>
        <v:shape id="image1.png" style="position:absolute;left:0;text-align:left;margin-left:360.75pt;margin-top:-0.75pt;width:90.75pt;height:106.5pt;z-index:251659264;visibility:visible;mso-position-horizontal-relative:margin;mso-position-vertical-relative:text;mso-position-horizontal:absolute;mso-position-vertical:absolute;" o:spid="_x0000_s2052" type="#_x0000_t75">
          <v:imagedata r:id="rId1" o:title=""/>
          <w10:wrap type="topAndBottom"/>
        </v:shape>
      </w:pic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</wp:posOffset>
          </wp:positionH>
          <wp:positionV relativeFrom="paragraph">
            <wp:posOffset>314325</wp:posOffset>
          </wp:positionV>
          <wp:extent cx="1011600" cy="961200"/>
          <wp:effectExtent b="0" l="0" r="0" t="0"/>
          <wp:wrapTopAndBottom distB="0" dist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5255" l="15794" r="14436" t="16808"/>
                  <a:stretch>
                    <a:fillRect/>
                  </a:stretch>
                </pic:blipFill>
                <pic:spPr>
                  <a:xfrm>
                    <a:off x="0" y="0"/>
                    <a:ext cx="1011600" cy="961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spacing w:line="240" w:lineRule="auto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Comissão Municipal para Erradicação do Trabalho Escravo</w:t>
    </w:r>
  </w:p>
  <w:p w:rsidR="00000000" w:rsidDel="00000000" w:rsidP="00000000" w:rsidRDefault="00000000" w:rsidRPr="00000000" w14:paraId="00000034">
    <w:pPr>
      <w:spacing w:line="240" w:lineRule="auto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link w:val="Ttulo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9"/>
    <w:locked w:val="1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9"/>
    <w:semiHidden w:val="1"/>
    <w:locked w:val="1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9"/>
    <w:semiHidden w:val="1"/>
    <w:locked w:val="1"/>
    <w:rPr>
      <w:rFonts w:ascii="Cambria" w:cs="Times New Roman" w:hAnsi="Cambria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9"/>
    <w:semiHidden w:val="1"/>
    <w:locked w:val="1"/>
    <w:rPr>
      <w:rFonts w:ascii="Calibri" w:cs="Times New Roman" w:hAnsi="Calibr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9"/>
    <w:semiHidden w:val="1"/>
    <w:locked w:val="1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uiPriority w:val="99"/>
    <w:semiHidden w:val="1"/>
    <w:locked w:val="1"/>
    <w:rPr>
      <w:rFonts w:ascii="Calibri" w:cs="Times New Roman" w:hAnsi="Calibri"/>
      <w:b w:val="1"/>
      <w:bCs w:val="1"/>
    </w:rPr>
  </w:style>
  <w:style w:type="paragraph" w:styleId="Normal10" w:customStyle="1">
    <w:name w:val="Normal1"/>
    <w:uiPriority w:val="99"/>
    <w:rsid w:val="00147364"/>
  </w:style>
  <w:style w:type="character" w:styleId="TtuloChar" w:customStyle="1">
    <w:name w:val="Título Char"/>
    <w:basedOn w:val="Fontepargpadro"/>
    <w:link w:val="Ttulo"/>
    <w:uiPriority w:val="99"/>
    <w:locked w:val="1"/>
    <w:rPr>
      <w:rFonts w:ascii="Cambria" w:cs="Times New Roman" w:hAnsi="Cambria"/>
      <w:b w:val="1"/>
      <w:bCs w:val="1"/>
      <w:kern w:val="28"/>
      <w:sz w:val="32"/>
      <w:szCs w:val="32"/>
    </w:rPr>
  </w:style>
  <w:style w:type="paragraph" w:styleId="normal1" w:customStyle="1">
    <w:name w:val="normal1"/>
    <w:uiPriority w:val="99"/>
  </w:style>
  <w:style w:type="paragraph" w:styleId="Subttulo">
    <w:name w:val="Subtitle"/>
    <w:basedOn w:val="Normal"/>
    <w:next w:val="Normal"/>
    <w:link w:val="SubttuloChar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99"/>
    <w:locked w:val="1"/>
    <w:rPr>
      <w:rFonts w:ascii="Cambria" w:cs="Times New Roman" w:hAnsi="Cambria"/>
      <w:sz w:val="24"/>
      <w:szCs w:val="24"/>
    </w:rPr>
  </w:style>
  <w:style w:type="paragraph" w:styleId="Default" w:customStyle="1">
    <w:name w:val="Default"/>
    <w:uiPriority w:val="99"/>
    <w:pPr>
      <w:autoSpaceDE w:val="0"/>
      <w:autoSpaceDN w:val="0"/>
      <w:adjustRightInd w:val="0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340445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BC2C6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C2C60"/>
  </w:style>
  <w:style w:type="paragraph" w:styleId="Rodap">
    <w:name w:val="footer"/>
    <w:basedOn w:val="Normal"/>
    <w:link w:val="RodapChar"/>
    <w:uiPriority w:val="99"/>
    <w:unhideWhenUsed w:val="1"/>
    <w:rsid w:val="00BC2C6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C2C6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jOXhTovTO0asvSKyWbOwVD/nsw==">AMUW2mVVmyzKSjQwjoVmCh7KO8NYjKYrzifNMNy4abg3Cw8tmqohJAbXhngYD2u8zQvx/Gjybl6JG5Y5ZWz2J5LnyNDPYiB610gpFEoeQhml06kvsfcdZF/2iW28+uPjyzrzJq1rTp94zoiA8eBuB8NJ4zzYi4/BpWJLVTMrKyTk/tOPxM1qJolnXUZwIqzJYAb0MqWZ/imAoeg6UUhUWlvcHcH5sOnjGsh4JcygSc4clX08GAAzMLpNr1FNyJ3QaiFauzOch1RO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2020-11-19T17:56:00Z</dcterms:created>
  <dc:creator>Bryan Zelmar Sempertegui Rodas</dc:creator>
</cp:coreProperties>
</file>