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keepNext w:val="0"/>
        <w:keepLines w:val="0"/>
        <w:widowControl w:val="0"/>
        <w:spacing w:after="0" w:before="60" w:line="240" w:lineRule="auto"/>
        <w:ind w:left="0" w:right="-40.8661417322827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Conselho Municipal de Imigrantes</w:t>
      </w:r>
    </w:p>
    <w:p w:rsidR="00000000" w:rsidDel="00000000" w:rsidP="00000000" w:rsidRDefault="00000000" w:rsidRPr="00000000" w14:paraId="00000002">
      <w:pPr>
        <w:widowControl w:val="0"/>
        <w:spacing w:before="1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widowControl w:val="0"/>
        <w:spacing w:after="0" w:before="0" w:line="240" w:lineRule="auto"/>
        <w:ind w:left="3393" w:right="3408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15 de Setembro de 2020 </w:t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widowControl w:val="0"/>
        <w:spacing w:after="0" w:before="0" w:line="240" w:lineRule="auto"/>
        <w:ind w:left="3393" w:right="3408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15h00-18h00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1593" w:right="1612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Reunião Virtual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1593" w:right="1613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Secretaria Municipal de Direitos Humanos e Cidadania Rua Líbero Badaró, 119.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1" w:line="240" w:lineRule="auto"/>
        <w:ind w:left="1535" w:right="1613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ATA DA 32ª REUNIÃO ORDINÁRIA DO CMI</w:t>
      </w:r>
    </w:p>
    <w:p w:rsidR="00000000" w:rsidDel="00000000" w:rsidP="00000000" w:rsidRDefault="00000000" w:rsidRPr="00000000" w14:paraId="00000009">
      <w:pPr>
        <w:widowControl w:val="0"/>
        <w:spacing w:before="11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182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Presença de membros da sociedade civil</w:t>
      </w:r>
    </w:p>
    <w:tbl>
      <w:tblPr>
        <w:tblStyle w:val="Table1"/>
        <w:tblW w:w="8652.0" w:type="dxa"/>
        <w:jc w:val="left"/>
        <w:tblInd w:w="1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00"/>
        <w:gridCol w:w="225"/>
        <w:gridCol w:w="3975"/>
        <w:gridCol w:w="252"/>
        <w:tblGridChange w:id="0">
          <w:tblGrid>
            <w:gridCol w:w="4200"/>
            <w:gridCol w:w="225"/>
            <w:gridCol w:w="3975"/>
            <w:gridCol w:w="252"/>
          </w:tblGrid>
        </w:tblGridChange>
      </w:tblGrid>
      <w:tr>
        <w:trPr>
          <w:trHeight w:val="275" w:hRule="atLeast"/>
        </w:trPr>
        <w:tc>
          <w:tcPr>
            <w:shd w:fill="c0c0c0" w:val="clear"/>
          </w:tcPr>
          <w:p w:rsidR="00000000" w:rsidDel="00000000" w:rsidP="00000000" w:rsidRDefault="00000000" w:rsidRPr="00000000" w14:paraId="0000000B">
            <w:pPr>
              <w:widowControl w:val="0"/>
              <w:spacing w:line="256" w:lineRule="auto"/>
              <w:ind w:left="69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Sociedade civil</w:t>
            </w:r>
          </w:p>
        </w:tc>
        <w:tc>
          <w:tcPr>
            <w:tcBorders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0D">
            <w:pPr>
              <w:widowControl w:val="0"/>
              <w:spacing w:line="256" w:lineRule="auto"/>
              <w:ind w:left="6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Suplentes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2" w:hRule="atLeast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spacing w:before="2" w:line="276" w:lineRule="auto"/>
              <w:ind w:left="69" w:right="10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Diack Samba (Associação Senegalesa de São Paulo – ASENSP)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11">
            <w:pPr>
              <w:widowControl w:val="0"/>
              <w:spacing w:line="275" w:lineRule="auto"/>
              <w:ind w:left="6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Elisa Jung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spacing w:line="251" w:lineRule="auto"/>
              <w:ind w:right="58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spacing w:line="254" w:lineRule="auto"/>
              <w:ind w:left="69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Diego Meriguetti (Cáritas)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15">
            <w:pPr>
              <w:widowControl w:val="0"/>
              <w:spacing w:line="254" w:lineRule="auto"/>
              <w:ind w:left="6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Paulo Farah (Bibliaspa)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8" w:hRule="atLeast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spacing w:before="1" w:line="257" w:lineRule="auto"/>
              <w:ind w:left="69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Isabel Torres (CAMI)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left="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19">
            <w:pPr>
              <w:widowControl w:val="0"/>
              <w:spacing w:before="1" w:line="257" w:lineRule="auto"/>
              <w:ind w:left="6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Keder Lafortune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spacing w:line="258" w:lineRule="auto"/>
              <w:ind w:left="69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Letícia Carvalho (Missão Paz)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1D">
            <w:pPr>
              <w:widowControl w:val="0"/>
              <w:spacing w:line="258" w:lineRule="auto"/>
              <w:ind w:left="6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Hortense Mbuyi Mwanza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trHeight w:val="551" w:hRule="atLeast"/>
        </w:trPr>
        <w:tc>
          <w:tcPr/>
          <w:p w:rsidR="00000000" w:rsidDel="00000000" w:rsidP="00000000" w:rsidRDefault="00000000" w:rsidRPr="00000000" w14:paraId="0000001F">
            <w:pPr>
              <w:widowControl w:val="0"/>
              <w:spacing w:line="275" w:lineRule="auto"/>
              <w:ind w:left="69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Nour Massoud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21">
            <w:pPr>
              <w:widowControl w:val="0"/>
              <w:spacing w:before="2" w:line="276" w:lineRule="auto"/>
              <w:ind w:left="6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Jean Mulondayi (África do Coração)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spacing w:before="1" w:line="240" w:lineRule="auto"/>
              <w:ind w:right="58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trHeight w:val="319" w:hRule="atLeast"/>
        </w:trPr>
        <w:tc>
          <w:tcPr/>
          <w:p w:rsidR="00000000" w:rsidDel="00000000" w:rsidP="00000000" w:rsidRDefault="00000000" w:rsidRPr="00000000" w14:paraId="00000023">
            <w:pPr>
              <w:widowControl w:val="0"/>
              <w:spacing w:line="275" w:lineRule="auto"/>
              <w:ind w:left="69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Oriana Jara (Presença da América Latina – PAL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24">
            <w:pPr>
              <w:widowControl w:val="0"/>
              <w:spacing w:line="228" w:lineRule="auto"/>
              <w:ind w:left="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spacing w:line="275" w:lineRule="auto"/>
              <w:ind w:left="6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Ngalula Lorenzo Freddy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spacing w:line="256" w:lineRule="auto"/>
              <w:ind w:left="69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Tang Wei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28">
            <w:pPr>
              <w:widowControl w:val="0"/>
              <w:spacing w:line="251" w:lineRule="auto"/>
              <w:ind w:left="1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29">
            <w:pPr>
              <w:widowControl w:val="0"/>
              <w:spacing w:line="256" w:lineRule="auto"/>
              <w:ind w:left="6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René Barrientos</w:t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trHeight w:val="275" w:hRule="atLeast"/>
        </w:trPr>
        <w:tc>
          <w:tcPr/>
          <w:p w:rsidR="00000000" w:rsidDel="00000000" w:rsidP="00000000" w:rsidRDefault="00000000" w:rsidRPr="00000000" w14:paraId="0000002B">
            <w:pPr>
              <w:widowControl w:val="0"/>
              <w:spacing w:line="256" w:lineRule="auto"/>
              <w:ind w:left="69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Yoo Na Kim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left="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2D">
            <w:pPr>
              <w:widowControl w:val="0"/>
              <w:spacing w:line="256" w:lineRule="auto"/>
              <w:ind w:left="6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Tanya Tshisuaka</w:t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widowControl w:val="0"/>
        <w:spacing w:before="1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40" w:lineRule="auto"/>
        <w:ind w:left="182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Presença de membros do poder público</w:t>
      </w:r>
    </w:p>
    <w:tbl>
      <w:tblPr>
        <w:tblStyle w:val="Table2"/>
        <w:tblW w:w="8685.0" w:type="dxa"/>
        <w:jc w:val="left"/>
        <w:tblInd w:w="12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260"/>
        <w:gridCol w:w="255"/>
        <w:gridCol w:w="3900"/>
        <w:gridCol w:w="270"/>
        <w:tblGridChange w:id="0">
          <w:tblGrid>
            <w:gridCol w:w="4260"/>
            <w:gridCol w:w="255"/>
            <w:gridCol w:w="3900"/>
            <w:gridCol w:w="270"/>
          </w:tblGrid>
        </w:tblGridChange>
      </w:tblGrid>
      <w:tr>
        <w:trPr>
          <w:trHeight w:val="277" w:hRule="atLeast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31">
            <w:pPr>
              <w:widowControl w:val="0"/>
              <w:spacing w:before="1" w:line="257" w:lineRule="auto"/>
              <w:ind w:left="69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Secretarias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33">
            <w:pPr>
              <w:widowControl w:val="0"/>
              <w:spacing w:before="1" w:line="257" w:lineRule="auto"/>
              <w:ind w:left="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Suplentes</w:t>
            </w:r>
          </w:p>
        </w:tc>
        <w:tc>
          <w:tcPr>
            <w:tcBorders>
              <w:bottom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widowControl w:val="0"/>
              <w:spacing w:line="261" w:lineRule="auto"/>
              <w:ind w:left="69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SMDHC – Titular: Vinicius Duque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widowControl w:val="0"/>
              <w:spacing w:line="251" w:lineRule="auto"/>
              <w:ind w:left="2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widowControl w:val="0"/>
              <w:spacing w:line="261" w:lineRule="auto"/>
              <w:ind w:left="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SMDHC – Suplente: Grevisse Kalala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7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spacing w:line="275" w:lineRule="auto"/>
              <w:ind w:left="69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SMPR – Titular: Helio de Oliveira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widowControl w:val="0"/>
              <w:spacing w:line="275" w:lineRule="auto"/>
              <w:ind w:left="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SMPR – Suplente: Adriano Marques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3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widowControl w:val="0"/>
              <w:spacing w:before="1" w:line="240" w:lineRule="auto"/>
              <w:ind w:left="69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SMC – Titular: Sylvia Monastérios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widowControl w:val="0"/>
              <w:tabs>
                <w:tab w:val="left" w:pos="837"/>
                <w:tab w:val="left" w:pos="1213"/>
                <w:tab w:val="left" w:pos="2377"/>
                <w:tab w:val="left" w:pos="3689"/>
              </w:tabs>
              <w:spacing w:before="1" w:line="240" w:lineRule="auto"/>
              <w:ind w:left="68" w:right="5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SMC</w:t>
              <w:tab/>
              <w:t xml:space="preserve">–</w:t>
              <w:tab/>
              <w:t xml:space="preserve">Suplente:</w:t>
              <w:tab/>
              <w:t xml:space="preserve">Benvenutti</w:t>
              <w:tab/>
              <w:t xml:space="preserve">de Andrade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widowControl w:val="0"/>
              <w:spacing w:line="256" w:lineRule="auto"/>
              <w:ind w:left="69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SMDE – Titular: Celso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left="1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spacing w:line="256" w:lineRule="auto"/>
              <w:ind w:left="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SMDE – Suplente: Claudete Dias Silva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trHeight w:val="551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widowControl w:val="0"/>
              <w:spacing w:before="2" w:line="276" w:lineRule="auto"/>
              <w:ind w:left="69" w:right="74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SMADS – Titular: Maria Luiza Mancini do Nascimento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widowControl w:val="0"/>
              <w:spacing w:before="2" w:line="276" w:lineRule="auto"/>
              <w:ind w:left="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SMADS – Suplente: Silvia Helena Marchesan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9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widowControl w:val="0"/>
              <w:spacing w:line="273" w:lineRule="auto"/>
              <w:ind w:left="69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SME – Titular: Roseli Marceli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widowControl w:val="0"/>
              <w:spacing w:line="273" w:lineRule="auto"/>
              <w:ind w:left="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SME – Suplente: Elayne Fernandes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57" w:lineRule="auto"/>
              <w:ind w:left="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Pinheiro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1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widowControl w:val="0"/>
              <w:spacing w:line="275" w:lineRule="auto"/>
              <w:ind w:left="69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SEHAB – Titular: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Vania Cristiane Flores Salinas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widowControl w:val="0"/>
              <w:spacing w:before="2" w:line="276" w:lineRule="auto"/>
              <w:ind w:left="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SEHAB – Suplente: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widowControl w:val="0"/>
              <w:spacing w:line="255" w:lineRule="auto"/>
              <w:ind w:left="69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SMS – Titular: Breno Souza de Aguiar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widowControl w:val="0"/>
              <w:spacing w:line="255" w:lineRule="auto"/>
              <w:ind w:left="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SMS – Suplente: Lucia Helena da Silva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before="193" w:line="276" w:lineRule="auto"/>
        <w:ind w:left="182" w:right="2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Participantes e observadores: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before="193" w:line="276" w:lineRule="auto"/>
        <w:ind w:left="182" w:right="2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before="218" w:line="276" w:lineRule="auto"/>
        <w:ind w:left="182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Pautas</w:t>
      </w:r>
    </w:p>
    <w:p w:rsidR="00000000" w:rsidDel="00000000" w:rsidP="00000000" w:rsidRDefault="00000000" w:rsidRPr="00000000" w14:paraId="0000005B">
      <w:pPr>
        <w:keepNext w:val="1"/>
        <w:widowControl w:val="0"/>
        <w:spacing w:after="0" w:before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Aprovação das atas: 06 de agosto e ordinária 31ª reunião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numPr>
          <w:ilvl w:val="0"/>
          <w:numId w:val="1"/>
        </w:numPr>
        <w:spacing w:after="200" w:lineRule="auto"/>
        <w:ind w:left="720" w:hanging="360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Informes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numPr>
          <w:ilvl w:val="0"/>
          <w:numId w:val="2"/>
        </w:numPr>
        <w:spacing w:line="300" w:lineRule="auto"/>
        <w:ind w:left="144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Ofício enviado às lideranças dos partidos: Monitoramento sobre o processo de Requerimento de urgência do PL 2699/2020 -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Leticia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numPr>
          <w:ilvl w:val="0"/>
          <w:numId w:val="2"/>
        </w:numPr>
        <w:spacing w:line="300" w:lineRule="auto"/>
        <w:ind w:left="144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Reunião Virtual da Comissão Extraordinária de Defesa dos direitos humanos e cidadania: Criação do Grupo de Trabalho sobre Migrações 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Leticia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numPr>
          <w:ilvl w:val="0"/>
          <w:numId w:val="2"/>
        </w:numPr>
        <w:spacing w:line="30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 Revalidação de Diplomas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Leticia (total 20 minutos)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numPr>
          <w:ilvl w:val="0"/>
          <w:numId w:val="2"/>
        </w:numPr>
        <w:spacing w:line="300" w:lineRule="auto"/>
        <w:ind w:left="144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Direito ao voto  dos Imigrantes Bolivianos em São Paulo (10’)  - Lineth Bustamante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numPr>
          <w:ilvl w:val="0"/>
          <w:numId w:val="2"/>
        </w:numPr>
        <w:spacing w:line="300" w:lineRule="auto"/>
        <w:ind w:left="144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Fórum das Américas das Migrações  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Isabel (5’)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numPr>
          <w:ilvl w:val="0"/>
          <w:numId w:val="2"/>
        </w:numPr>
        <w:spacing w:line="300" w:lineRule="auto"/>
        <w:ind w:left="144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Projeto de Lei 789/2019 : Posicionamento do CMI para demanda de comunicação Migramundo 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Ana (10’)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numPr>
          <w:ilvl w:val="0"/>
          <w:numId w:val="2"/>
        </w:numPr>
        <w:spacing w:line="300" w:lineRule="auto"/>
        <w:ind w:left="144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Formação de Conselheiros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 Ana (5’)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numPr>
          <w:ilvl w:val="0"/>
          <w:numId w:val="2"/>
        </w:numPr>
        <w:spacing w:line="300" w:lineRule="auto"/>
        <w:ind w:left="144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Dados População Imigrantes: óbitos de imigrantes decorrentes ou suspeitos de COVID-19  e Auxílio Emergencial Imigrantes 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Bryan  (20’)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Pauta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numPr>
          <w:ilvl w:val="1"/>
          <w:numId w:val="3"/>
        </w:numPr>
        <w:ind w:left="1440" w:hanging="360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Monitoramento e Implementação do Conselho do Plano Municipal de Políticas para Imigrantes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Luciana (1h30)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1"/>
        <w:widowControl w:val="0"/>
        <w:spacing w:after="0" w:before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1"/>
        <w:widowControl w:val="0"/>
        <w:spacing w:after="0" w:before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1"/>
        <w:widowControl w:val="0"/>
        <w:spacing w:after="0" w:before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1"/>
        <w:widowControl w:val="0"/>
        <w:spacing w:after="0" w:before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Aprovação da 31ª ata </w:t>
      </w:r>
    </w:p>
    <w:p w:rsidR="00000000" w:rsidDel="00000000" w:rsidP="00000000" w:rsidRDefault="00000000" w:rsidRPr="00000000" w14:paraId="0000006D">
      <w:pPr>
        <w:widowControl w:val="0"/>
        <w:spacing w:after="0" w:before="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Após a leitura da ata e sem destaques o plenário aprovou a ata da 31ª  reunião ordinária do CMI.</w:t>
      </w:r>
    </w:p>
    <w:p w:rsidR="00000000" w:rsidDel="00000000" w:rsidP="00000000" w:rsidRDefault="00000000" w:rsidRPr="00000000" w14:paraId="0000006E">
      <w:pPr>
        <w:widowControl w:val="0"/>
        <w:spacing w:after="0" w:before="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 2699/2020</w:t>
      </w:r>
    </w:p>
    <w:p w:rsidR="00000000" w:rsidDel="00000000" w:rsidP="00000000" w:rsidRDefault="00000000" w:rsidRPr="00000000" w14:paraId="00000070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Sra. Leticia apresentou ao conselho o projeto de lei 2699/2020 que trata sobre a regularização migratória de forma urgente no país, em decorrência da pandemia de Covid-19. Foi tratado sobre o trâmite que está ocorrendo com o texto dentro do congresso federal.</w:t>
      </w:r>
    </w:p>
    <w:p w:rsidR="00000000" w:rsidDel="00000000" w:rsidP="00000000" w:rsidRDefault="00000000" w:rsidRPr="00000000" w14:paraId="00000071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encaminhamento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foi tirado tentar contato com partidos de centro e líderes das bancadas que ainda não assinaram a requisição de urgência do PL.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Comissão Extraordinária de Defesa dos Direitos Humanos e Cidadania</w:t>
      </w:r>
    </w:p>
    <w:p w:rsidR="00000000" w:rsidDel="00000000" w:rsidP="00000000" w:rsidRDefault="00000000" w:rsidRPr="00000000" w14:paraId="00000075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sequência a Sra. Leticia apresentou a articulação feita dentro da câmara de vereadores para estabelecer a Comissão Extraordinária de Defesa dos Direitos Humanos e Cidadania e a criação do GT sobre Migrações. </w:t>
      </w:r>
    </w:p>
    <w:p w:rsidR="00000000" w:rsidDel="00000000" w:rsidP="00000000" w:rsidRDefault="00000000" w:rsidRPr="00000000" w14:paraId="00000076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plenário realizou comentários sobre a comissão e destacou a importância do espaço. Como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encaminhamento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ficou de trazer na próxima reunião do Conselho, informes de avanço do GT, caso forem recebidos neste período de tempo entre as reuniões.</w:t>
      </w:r>
    </w:p>
    <w:p w:rsidR="00000000" w:rsidDel="00000000" w:rsidP="00000000" w:rsidRDefault="00000000" w:rsidRPr="00000000" w14:paraId="00000077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 Revalidação de Diplomas</w:t>
      </w:r>
    </w:p>
    <w:p w:rsidR="00000000" w:rsidDel="00000000" w:rsidP="00000000" w:rsidRDefault="00000000" w:rsidRPr="00000000" w14:paraId="00000079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Sra. Leticia apresentou a PL 3716/2020 sobre validação de diplomas de universidades estrangeiras. Ela como comentou sobre o intuito do texto de permitir uma flexibilidade e aumentar a agilidade na revalidação de diplomas para a população imigrante. A Sra, Letícia fez uma breve descrição histórica da PL e todos os desafios enfrentados para a aprovação do texto de forma imediata. Entretanto destacou que o projeto ainda está em etapas iniciais de articulação.</w:t>
      </w:r>
    </w:p>
    <w:p w:rsidR="00000000" w:rsidDel="00000000" w:rsidP="00000000" w:rsidRDefault="00000000" w:rsidRPr="00000000" w14:paraId="0000007A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encaminhamento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foi definido que o Conselho poderá elaborar e encaminhar um ofício de apoio mais em diante para reforçar a importância da aprovação do PL.</w:t>
      </w:r>
    </w:p>
    <w:p w:rsidR="00000000" w:rsidDel="00000000" w:rsidP="00000000" w:rsidRDefault="00000000" w:rsidRPr="00000000" w14:paraId="0000007B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Foro Social América de las Migraciones.</w:t>
      </w:r>
    </w:p>
    <w:p w:rsidR="00000000" w:rsidDel="00000000" w:rsidP="00000000" w:rsidRDefault="00000000" w:rsidRPr="00000000" w14:paraId="0000007D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Sra. Isabel apresentou os encaminhamentos que foram tirados do Foro e comentou um pouco sobre a apresentação realizada no eixo 4. Reforçou da inscrição de participação no evento que acontecerá em outubro.  </w:t>
      </w:r>
    </w:p>
    <w:p w:rsidR="00000000" w:rsidDel="00000000" w:rsidP="00000000" w:rsidRDefault="00000000" w:rsidRPr="00000000" w14:paraId="0000007E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 789/2019 </w:t>
      </w:r>
    </w:p>
    <w:p w:rsidR="00000000" w:rsidDel="00000000" w:rsidP="00000000" w:rsidRDefault="00000000" w:rsidRPr="00000000" w14:paraId="00000080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Sra. Ana comentou sobre o PL e sobre o intuito de instituir a “Feira Oriental da Liberdade” e apresentou o ponto trazido pelo migramundo para o CMI.  A Sra. Ana deixou claro o intuito da PL e sua promoção de comercialização voltada para a cultura oriental. A Sra. Yoo Na ressaltou que ela entende o PL como uma tentativa de reorganizar o intuito da feira que seja voltada para a cultura oriental. O Sr. Fábio apresentou alguns pontos sobre a PL, falou também do carácter multi etnico que o bairro tem possui, de várias culturas que convivem no mesmo espaço.  O Sr. Juan e a Sra. Isabel como forma de contribuir para a discussão, falaram a respeito da Feira Kantuta e a atual situação de como se encontra.</w:t>
      </w:r>
    </w:p>
    <w:p w:rsidR="00000000" w:rsidDel="00000000" w:rsidP="00000000" w:rsidRDefault="00000000" w:rsidRPr="00000000" w14:paraId="00000081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encaminhamento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 Sra. Ana sugeriu ao CMI ter mais insumos e se apropriar mais sobre o tema, e caso seja identificada a necessidade, se poderá tentar entrar em contato com o vereador e os comerciantes e vendedores da praça.Irá ser respondida dessa forma para o Migramundo.  P</w:t>
      </w:r>
    </w:p>
    <w:p w:rsidR="00000000" w:rsidDel="00000000" w:rsidP="00000000" w:rsidRDefault="00000000" w:rsidRPr="00000000" w14:paraId="00000082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Formação CMI: Racismo e Xenofobia</w:t>
      </w:r>
    </w:p>
    <w:p w:rsidR="00000000" w:rsidDel="00000000" w:rsidP="00000000" w:rsidRDefault="00000000" w:rsidRPr="00000000" w14:paraId="00000084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Sra. Ana comentou sobre a formação do conselho e sobre a consulta para d horário para a reunião definição do  horário dos encontros. Por votação, foi definido o horário das 14h às 16h, os dias 6 e 13 de outubro.  </w:t>
      </w:r>
    </w:p>
    <w:p w:rsidR="00000000" w:rsidDel="00000000" w:rsidP="00000000" w:rsidRDefault="00000000" w:rsidRPr="00000000" w14:paraId="00000085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Dados População Imigrantes: óbitos de imigrantes decorrentes ou suspeitos de COVID-19  e Auxílio Emergencial Imigrantes </w:t>
      </w:r>
    </w:p>
    <w:p w:rsidR="00000000" w:rsidDel="00000000" w:rsidP="00000000" w:rsidRDefault="00000000" w:rsidRPr="00000000" w14:paraId="00000087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Sr. Bryan apresentou os dados referentes aos casos de covid e de óbitos na população imigrante na cidade de São Paulo. O Sr. Bryan enfatizou algumas variáveis como a idade, a nacionalidade, a raça e número de óbito por mês. Também foi apresentado o número de imigrantes e demais grupos que recebem auxílio emergencial e que foi contemplado com o benefício. Na sequência o Sr. Bryan tirou dúvidas que surgiram ao longo da apresentação. </w:t>
      </w:r>
    </w:p>
    <w:p w:rsidR="00000000" w:rsidDel="00000000" w:rsidP="00000000" w:rsidRDefault="00000000" w:rsidRPr="00000000" w14:paraId="00000088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Ficou o compromisso de encaminhar essas informações pelo e-mail para os assistentes à reunião. </w:t>
      </w:r>
    </w:p>
    <w:p w:rsidR="00000000" w:rsidDel="00000000" w:rsidP="00000000" w:rsidRDefault="00000000" w:rsidRPr="00000000" w14:paraId="00000089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Monitoramento e Implementação do Conselho do Plano Municipal de Políticas para Imigrantes   </w:t>
      </w:r>
    </w:p>
    <w:p w:rsidR="00000000" w:rsidDel="00000000" w:rsidP="00000000" w:rsidRDefault="00000000" w:rsidRPr="00000000" w14:paraId="0000008B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Sra. Luciana deu uma introdução sobre a necessidade de monitorar o plano e qual a importância de sempre entender qual a necessidade de fazer ajuste ao longo da sua atuação. Assim a Sra. Luciana, começou falando sobre  a atuação do Conselho em manter o plano em constante operacionalidade. Na sequência apresentou os passos realizados para o monitoramento do plano da COMTRAE bem como, enfatizou a necessidade de pensar sobre a implementação de um monitoramento do Plano Municipal lançado em agosto e sugeriu manter sempre em vista os pontos que compete ao conselho.</w:t>
      </w:r>
    </w:p>
    <w:p w:rsidR="00000000" w:rsidDel="00000000" w:rsidP="00000000" w:rsidRDefault="00000000" w:rsidRPr="00000000" w14:paraId="0000008C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GT Regimento</w:t>
      </w:r>
    </w:p>
    <w:p w:rsidR="00000000" w:rsidDel="00000000" w:rsidP="00000000" w:rsidRDefault="00000000" w:rsidRPr="00000000" w14:paraId="0000008E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Sra. Ana deu um informe sobre como o GT Regimento, avisando que se está aguardando o parecer da assessoria jurídica da SMDHC sobre a minuta criada no escopo do GT.</w:t>
      </w:r>
    </w:p>
    <w:p w:rsidR="00000000" w:rsidDel="00000000" w:rsidP="00000000" w:rsidRDefault="00000000" w:rsidRPr="00000000" w14:paraId="0000008F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Informes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Sr. Juan deu um informe sobre a praça Kantuta e atual situação de funcionamento.</w:t>
      </w:r>
    </w:p>
    <w:p w:rsidR="00000000" w:rsidDel="00000000" w:rsidP="00000000" w:rsidRDefault="00000000" w:rsidRPr="00000000" w14:paraId="00000092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Sem mais pautas a reunião foi encerrada.</w:t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right"/>
      <w:pPr>
        <w:ind w:left="720" w:hanging="360"/>
      </w:pPr>
      <w:rPr>
        <w:rFonts w:ascii="Open Sans" w:cs="Open Sans" w:eastAsia="Open Sans" w:hAnsi="Open Sans"/>
        <w:b w:val="0"/>
        <w:i w:val="0"/>
        <w:smallCaps w:val="0"/>
        <w:strike w:val="0"/>
        <w:color w:val="695d46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Open Sans" w:cs="Open Sans" w:eastAsia="Open Sans" w:hAnsi="Open Sans"/>
        <w:b w:val="0"/>
        <w:i w:val="0"/>
        <w:smallCaps w:val="0"/>
        <w:strike w:val="0"/>
        <w:color w:val="695d46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Open Sans" w:cs="Open Sans" w:eastAsia="Open Sans" w:hAnsi="Open Sans"/>
        <w:b w:val="0"/>
        <w:i w:val="0"/>
        <w:smallCaps w:val="0"/>
        <w:strike w:val="0"/>
        <w:color w:val="695d46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Open Sans" w:cs="Open Sans" w:eastAsia="Open Sans" w:hAnsi="Open Sans"/>
        <w:b w:val="0"/>
        <w:i w:val="0"/>
        <w:smallCaps w:val="0"/>
        <w:strike w:val="0"/>
        <w:color w:val="695d46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Open Sans" w:cs="Open Sans" w:eastAsia="Open Sans" w:hAnsi="Open Sans"/>
        <w:b w:val="0"/>
        <w:i w:val="0"/>
        <w:smallCaps w:val="0"/>
        <w:strike w:val="0"/>
        <w:color w:val="695d46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Open Sans" w:cs="Open Sans" w:eastAsia="Open Sans" w:hAnsi="Open Sans"/>
        <w:b w:val="0"/>
        <w:i w:val="0"/>
        <w:smallCaps w:val="0"/>
        <w:strike w:val="0"/>
        <w:color w:val="695d46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Open Sans" w:cs="Open Sans" w:eastAsia="Open Sans" w:hAnsi="Open Sans"/>
        <w:b w:val="0"/>
        <w:i w:val="0"/>
        <w:smallCaps w:val="0"/>
        <w:strike w:val="0"/>
        <w:color w:val="695d46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Open Sans" w:cs="Open Sans" w:eastAsia="Open Sans" w:hAnsi="Open Sans"/>
        <w:b w:val="0"/>
        <w:i w:val="0"/>
        <w:smallCaps w:val="0"/>
        <w:strike w:val="0"/>
        <w:color w:val="695d46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Open Sans" w:cs="Open Sans" w:eastAsia="Open Sans" w:hAnsi="Open Sans"/>
        <w:b w:val="0"/>
        <w:i w:val="0"/>
        <w:smallCaps w:val="0"/>
        <w:strike w:val="0"/>
        <w:color w:val="695d46"/>
        <w:sz w:val="24"/>
        <w:szCs w:val="24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right"/>
      <w:pPr>
        <w:ind w:left="1440" w:hanging="360"/>
      </w:pPr>
      <w:rPr>
        <w:rFonts w:ascii="Open Sans" w:cs="Open Sans" w:eastAsia="Open Sans" w:hAnsi="Open Sans"/>
        <w:b w:val="0"/>
        <w:i w:val="0"/>
        <w:smallCaps w:val="0"/>
        <w:strike w:val="0"/>
        <w:color w:val="695d46"/>
        <w:sz w:val="28"/>
        <w:szCs w:val="28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right"/>
      <w:pPr>
        <w:ind w:left="2160" w:hanging="360"/>
      </w:pPr>
      <w:rPr>
        <w:rFonts w:ascii="Open Sans" w:cs="Open Sans" w:eastAsia="Open Sans" w:hAnsi="Open Sans"/>
        <w:b w:val="0"/>
        <w:i w:val="0"/>
        <w:smallCaps w:val="0"/>
        <w:strike w:val="0"/>
        <w:color w:val="695d46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rFonts w:ascii="Open Sans" w:cs="Open Sans" w:eastAsia="Open Sans" w:hAnsi="Open Sans"/>
        <w:b w:val="0"/>
        <w:i w:val="0"/>
        <w:smallCaps w:val="0"/>
        <w:strike w:val="0"/>
        <w:color w:val="695d46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right"/>
      <w:pPr>
        <w:ind w:left="3600" w:hanging="360"/>
      </w:pPr>
      <w:rPr>
        <w:rFonts w:ascii="Open Sans" w:cs="Open Sans" w:eastAsia="Open Sans" w:hAnsi="Open Sans"/>
        <w:b w:val="0"/>
        <w:i w:val="0"/>
        <w:smallCaps w:val="0"/>
        <w:strike w:val="0"/>
        <w:color w:val="695d46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right"/>
      <w:pPr>
        <w:ind w:left="4320" w:hanging="360"/>
      </w:pPr>
      <w:rPr>
        <w:rFonts w:ascii="Open Sans" w:cs="Open Sans" w:eastAsia="Open Sans" w:hAnsi="Open Sans"/>
        <w:b w:val="0"/>
        <w:i w:val="0"/>
        <w:smallCaps w:val="0"/>
        <w:strike w:val="0"/>
        <w:color w:val="695d46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rFonts w:ascii="Open Sans" w:cs="Open Sans" w:eastAsia="Open Sans" w:hAnsi="Open Sans"/>
        <w:b w:val="0"/>
        <w:i w:val="0"/>
        <w:smallCaps w:val="0"/>
        <w:strike w:val="0"/>
        <w:color w:val="695d46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right"/>
      <w:pPr>
        <w:ind w:left="5760" w:hanging="360"/>
      </w:pPr>
      <w:rPr>
        <w:rFonts w:ascii="Open Sans" w:cs="Open Sans" w:eastAsia="Open Sans" w:hAnsi="Open Sans"/>
        <w:b w:val="0"/>
        <w:i w:val="0"/>
        <w:smallCaps w:val="0"/>
        <w:strike w:val="0"/>
        <w:color w:val="695d46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right"/>
      <w:pPr>
        <w:ind w:left="6480" w:hanging="360"/>
      </w:pPr>
      <w:rPr>
        <w:rFonts w:ascii="Open Sans" w:cs="Open Sans" w:eastAsia="Open Sans" w:hAnsi="Open Sans"/>
        <w:b w:val="0"/>
        <w:i w:val="0"/>
        <w:smallCaps w:val="0"/>
        <w:strike w:val="0"/>
        <w:color w:val="695d46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rFonts w:ascii="Open Sans" w:cs="Open Sans" w:eastAsia="Open Sans" w:hAnsi="Open Sans"/>
        <w:b w:val="0"/>
        <w:i w:val="0"/>
        <w:smallCaps w:val="0"/>
        <w:strike w:val="0"/>
        <w:color w:val="695d46"/>
        <w:sz w:val="24"/>
        <w:szCs w:val="24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right"/>
      <w:pPr>
        <w:ind w:left="720" w:hanging="360"/>
      </w:pPr>
      <w:rPr>
        <w:rFonts w:ascii="Open Sans" w:cs="Open Sans" w:eastAsia="Open Sans" w:hAnsi="Open Sans"/>
        <w:b w:val="0"/>
        <w:i w:val="0"/>
        <w:smallCaps w:val="0"/>
        <w:strike w:val="0"/>
        <w:color w:val="695d46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Open Sans" w:cs="Open Sans" w:eastAsia="Open Sans" w:hAnsi="Open Sans"/>
        <w:b w:val="0"/>
        <w:i w:val="0"/>
        <w:smallCaps w:val="0"/>
        <w:strike w:val="0"/>
        <w:color w:val="695d46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Open Sans" w:cs="Open Sans" w:eastAsia="Open Sans" w:hAnsi="Open Sans"/>
        <w:b w:val="0"/>
        <w:i w:val="0"/>
        <w:smallCaps w:val="0"/>
        <w:strike w:val="0"/>
        <w:color w:val="695d46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Open Sans" w:cs="Open Sans" w:eastAsia="Open Sans" w:hAnsi="Open Sans"/>
        <w:b w:val="0"/>
        <w:i w:val="0"/>
        <w:smallCaps w:val="0"/>
        <w:strike w:val="0"/>
        <w:color w:val="695d46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Open Sans" w:cs="Open Sans" w:eastAsia="Open Sans" w:hAnsi="Open Sans"/>
        <w:b w:val="0"/>
        <w:i w:val="0"/>
        <w:smallCaps w:val="0"/>
        <w:strike w:val="0"/>
        <w:color w:val="695d46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Open Sans" w:cs="Open Sans" w:eastAsia="Open Sans" w:hAnsi="Open Sans"/>
        <w:b w:val="0"/>
        <w:i w:val="0"/>
        <w:smallCaps w:val="0"/>
        <w:strike w:val="0"/>
        <w:color w:val="695d46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Open Sans" w:cs="Open Sans" w:eastAsia="Open Sans" w:hAnsi="Open Sans"/>
        <w:b w:val="0"/>
        <w:i w:val="0"/>
        <w:smallCaps w:val="0"/>
        <w:strike w:val="0"/>
        <w:color w:val="695d46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Open Sans" w:cs="Open Sans" w:eastAsia="Open Sans" w:hAnsi="Open Sans"/>
        <w:b w:val="0"/>
        <w:i w:val="0"/>
        <w:smallCaps w:val="0"/>
        <w:strike w:val="0"/>
        <w:color w:val="695d46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Open Sans" w:cs="Open Sans" w:eastAsia="Open Sans" w:hAnsi="Open Sans"/>
        <w:b w:val="0"/>
        <w:i w:val="0"/>
        <w:smallCaps w:val="0"/>
        <w:strike w:val="0"/>
        <w:color w:val="695d46"/>
        <w:sz w:val="24"/>
        <w:szCs w:val="24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right"/>
      <w:pPr>
        <w:ind w:left="720" w:hanging="360"/>
      </w:pPr>
      <w:rPr>
        <w:rFonts w:ascii="Open Sans" w:cs="Open Sans" w:eastAsia="Open Sans" w:hAnsi="Open Sans"/>
        <w:b w:val="0"/>
        <w:i w:val="0"/>
        <w:smallCaps w:val="0"/>
        <w:strike w:val="0"/>
        <w:color w:val="695d46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Open Sans" w:cs="Open Sans" w:eastAsia="Open Sans" w:hAnsi="Open Sans"/>
        <w:b w:val="0"/>
        <w:i w:val="0"/>
        <w:smallCaps w:val="0"/>
        <w:strike w:val="0"/>
        <w:color w:val="695d46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Open Sans" w:cs="Open Sans" w:eastAsia="Open Sans" w:hAnsi="Open Sans"/>
        <w:b w:val="0"/>
        <w:i w:val="0"/>
        <w:smallCaps w:val="0"/>
        <w:strike w:val="0"/>
        <w:color w:val="695d46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Open Sans" w:cs="Open Sans" w:eastAsia="Open Sans" w:hAnsi="Open Sans"/>
        <w:b w:val="0"/>
        <w:i w:val="0"/>
        <w:smallCaps w:val="0"/>
        <w:strike w:val="0"/>
        <w:color w:val="695d46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Open Sans" w:cs="Open Sans" w:eastAsia="Open Sans" w:hAnsi="Open Sans"/>
        <w:b w:val="0"/>
        <w:i w:val="0"/>
        <w:smallCaps w:val="0"/>
        <w:strike w:val="0"/>
        <w:color w:val="695d46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Open Sans" w:cs="Open Sans" w:eastAsia="Open Sans" w:hAnsi="Open Sans"/>
        <w:b w:val="0"/>
        <w:i w:val="0"/>
        <w:smallCaps w:val="0"/>
        <w:strike w:val="0"/>
        <w:color w:val="695d46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Open Sans" w:cs="Open Sans" w:eastAsia="Open Sans" w:hAnsi="Open Sans"/>
        <w:b w:val="0"/>
        <w:i w:val="0"/>
        <w:smallCaps w:val="0"/>
        <w:strike w:val="0"/>
        <w:color w:val="695d46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Open Sans" w:cs="Open Sans" w:eastAsia="Open Sans" w:hAnsi="Open Sans"/>
        <w:b w:val="0"/>
        <w:i w:val="0"/>
        <w:smallCaps w:val="0"/>
        <w:strike w:val="0"/>
        <w:color w:val="695d46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Open Sans" w:cs="Open Sans" w:eastAsia="Open Sans" w:hAnsi="Open Sans"/>
        <w:b w:val="0"/>
        <w:i w:val="0"/>
        <w:smallCaps w:val="0"/>
        <w:strike w:val="0"/>
        <w:color w:val="695d46"/>
        <w:sz w:val="24"/>
        <w:szCs w:val="24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88XZX6WaL14b7n1iQcx3YeloZg==">AMUW2mW+oPvUsyEnMHfz8dAoukAtScRmtgggwDxYa8AVumtKlAApzG8tzrkGAirX8oHHPlolss04+h806jhkTXzLyVk/HjRy2Pd2uI9AI9k0Y/V+ij9mxn0=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