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9AF8" w14:textId="77777777" w:rsidR="005A047D" w:rsidRDefault="0014178B">
      <w:pPr>
        <w:spacing w:after="137"/>
        <w:ind w:right="0" w:firstLine="0"/>
        <w:jc w:val="center"/>
      </w:pPr>
      <w:r>
        <w:rPr>
          <w:b/>
          <w:sz w:val="28"/>
        </w:rPr>
        <w:t xml:space="preserve">ATA DA 7ª REUNIÃO ORDINÁRIA DO CONSELHO MUNICIPAL DOS POVOS INDÍGENAS </w:t>
      </w:r>
      <w:r>
        <w:rPr>
          <w:sz w:val="22"/>
        </w:rPr>
        <w:t xml:space="preserve"> </w:t>
      </w:r>
    </w:p>
    <w:p w14:paraId="5CB1EC7E" w14:textId="77777777" w:rsidR="005A047D" w:rsidRDefault="0014178B">
      <w:pPr>
        <w:spacing w:after="177"/>
        <w:ind w:left="-5" w:right="0" w:hanging="10"/>
      </w:pPr>
      <w:r>
        <w:rPr>
          <w:b/>
        </w:rPr>
        <w:t>Pautas:</w:t>
      </w:r>
      <w:r>
        <w:rPr>
          <w:b/>
          <w:sz w:val="22"/>
        </w:rPr>
        <w:t xml:space="preserve"> </w:t>
      </w:r>
      <w:r>
        <w:rPr>
          <w:sz w:val="22"/>
        </w:rPr>
        <w:t>1)</w:t>
      </w:r>
      <w:r>
        <w:rPr>
          <w:b/>
          <w:sz w:val="22"/>
        </w:rPr>
        <w:t xml:space="preserve"> </w:t>
      </w:r>
      <w:proofErr w:type="gramStart"/>
      <w:r>
        <w:rPr>
          <w:sz w:val="22"/>
        </w:rPr>
        <w:t>Agosto</w:t>
      </w:r>
      <w:proofErr w:type="gramEnd"/>
      <w:r>
        <w:rPr>
          <w:sz w:val="22"/>
        </w:rPr>
        <w:t xml:space="preserve"> indígena, 2) Inscrições na Cultura. </w:t>
      </w:r>
    </w:p>
    <w:p w14:paraId="30CA73CB" w14:textId="77777777" w:rsidR="005A047D" w:rsidRDefault="0014178B">
      <w:pPr>
        <w:spacing w:after="2"/>
        <w:ind w:left="-5" w:right="0" w:hanging="10"/>
      </w:pPr>
      <w:r>
        <w:rPr>
          <w:b/>
        </w:rPr>
        <w:t>Participantes do Governo:</w:t>
      </w:r>
      <w:r>
        <w:rPr>
          <w:sz w:val="22"/>
        </w:rPr>
        <w:t xml:space="preserve"> Milena Cristina de Abreu (Coordenadora de COPIND); </w:t>
      </w:r>
      <w:proofErr w:type="spellStart"/>
      <w:r>
        <w:rPr>
          <w:sz w:val="22"/>
        </w:rPr>
        <w:t>Wagneyza</w:t>
      </w:r>
      <w:proofErr w:type="spellEnd"/>
      <w:r>
        <w:rPr>
          <w:sz w:val="22"/>
        </w:rPr>
        <w:t xml:space="preserve"> </w:t>
      </w:r>
    </w:p>
    <w:p w14:paraId="61C8FA4D" w14:textId="77777777" w:rsidR="005A047D" w:rsidRDefault="0014178B">
      <w:pPr>
        <w:spacing w:after="177"/>
        <w:ind w:left="-5" w:right="0" w:hanging="10"/>
      </w:pPr>
      <w:r>
        <w:rPr>
          <w:sz w:val="22"/>
        </w:rPr>
        <w:t xml:space="preserve">Fernandes (Assessora de COPIND e representante Titular de SMDHC); Wilma Tanaka (Conselheira Suplente de SMADS);  </w:t>
      </w:r>
    </w:p>
    <w:p w14:paraId="763747B7" w14:textId="2492AE62" w:rsidR="005A047D" w:rsidRDefault="0014178B">
      <w:pPr>
        <w:spacing w:after="177"/>
        <w:ind w:left="-5" w:right="0" w:hanging="10"/>
      </w:pPr>
      <w:r>
        <w:rPr>
          <w:b/>
        </w:rPr>
        <w:t>Participantes da Sociedade Civil:</w:t>
      </w:r>
      <w:r>
        <w:rPr>
          <w:sz w:val="22"/>
        </w:rPr>
        <w:t xml:space="preserve"> Avani Florentino da </w:t>
      </w:r>
      <w:r w:rsidR="006317FE">
        <w:rPr>
          <w:sz w:val="22"/>
        </w:rPr>
        <w:t>Oliveira</w:t>
      </w:r>
      <w:r>
        <w:rPr>
          <w:sz w:val="22"/>
        </w:rPr>
        <w:t xml:space="preserve"> (Presidente do COMPISP), Maria (Vice-presidente), </w:t>
      </w:r>
      <w:proofErr w:type="spellStart"/>
      <w:r>
        <w:rPr>
          <w:sz w:val="22"/>
        </w:rPr>
        <w:t>Tranquilino</w:t>
      </w:r>
      <w:proofErr w:type="spellEnd"/>
      <w:r>
        <w:rPr>
          <w:sz w:val="22"/>
        </w:rPr>
        <w:t xml:space="preserve"> (Conselheiro Titular Guarani-</w:t>
      </w:r>
      <w:proofErr w:type="spellStart"/>
      <w:r>
        <w:rPr>
          <w:sz w:val="22"/>
        </w:rPr>
        <w:t>M’bya</w:t>
      </w:r>
      <w:proofErr w:type="spellEnd"/>
      <w:r>
        <w:rPr>
          <w:sz w:val="22"/>
        </w:rPr>
        <w:t>), Bernarda (Conselheira Suplente Guarani-</w:t>
      </w:r>
      <w:proofErr w:type="spellStart"/>
      <w:r>
        <w:rPr>
          <w:sz w:val="22"/>
        </w:rPr>
        <w:t>M’bya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Iradzu</w:t>
      </w:r>
      <w:proofErr w:type="spellEnd"/>
      <w:r>
        <w:rPr>
          <w:sz w:val="22"/>
        </w:rPr>
        <w:t xml:space="preserve"> (Conselheiro Titular Kariri-</w:t>
      </w:r>
      <w:proofErr w:type="spellStart"/>
      <w:r>
        <w:rPr>
          <w:sz w:val="22"/>
        </w:rPr>
        <w:t>xoco</w:t>
      </w:r>
      <w:proofErr w:type="spellEnd"/>
      <w:r>
        <w:rPr>
          <w:sz w:val="22"/>
        </w:rPr>
        <w:t>), Renato (Conselheiro Titular Pan</w:t>
      </w:r>
      <w:r w:rsidR="00FB7419">
        <w:rPr>
          <w:sz w:val="22"/>
        </w:rPr>
        <w:t>k</w:t>
      </w:r>
      <w:r>
        <w:rPr>
          <w:sz w:val="22"/>
        </w:rPr>
        <w:t xml:space="preserve">araré) </w:t>
      </w:r>
    </w:p>
    <w:p w14:paraId="13D53922" w14:textId="77777777" w:rsidR="005A047D" w:rsidRDefault="0014178B">
      <w:pPr>
        <w:spacing w:after="155" w:line="259" w:lineRule="auto"/>
        <w:ind w:left="-5" w:right="0" w:hanging="10"/>
        <w:jc w:val="left"/>
      </w:pPr>
      <w:r>
        <w:rPr>
          <w:b/>
          <w:sz w:val="22"/>
        </w:rPr>
        <w:t xml:space="preserve">Demais participantes (reunião aberta para servidores e sociedade civil – online e presencial):  </w:t>
      </w:r>
    </w:p>
    <w:p w14:paraId="75FD88FE" w14:textId="23EB0937" w:rsidR="005A047D" w:rsidRDefault="0014178B">
      <w:pPr>
        <w:spacing w:after="177"/>
        <w:ind w:left="-5" w:right="0" w:hanging="10"/>
        <w:rPr>
          <w:sz w:val="22"/>
        </w:rPr>
      </w:pPr>
      <w:proofErr w:type="spellStart"/>
      <w:r>
        <w:rPr>
          <w:sz w:val="22"/>
        </w:rPr>
        <w:t>Ak</w:t>
      </w:r>
      <w:r w:rsidR="006317FE">
        <w:rPr>
          <w:sz w:val="22"/>
        </w:rPr>
        <w:t>a</w:t>
      </w:r>
      <w:r>
        <w:rPr>
          <w:sz w:val="22"/>
        </w:rPr>
        <w:t>yse</w:t>
      </w:r>
      <w:proofErr w:type="spellEnd"/>
      <w:r>
        <w:rPr>
          <w:sz w:val="22"/>
        </w:rPr>
        <w:t xml:space="preserve"> (Indígena do Povo Fulni-ô) </w:t>
      </w:r>
    </w:p>
    <w:p w14:paraId="66992C94" w14:textId="5B8630EE" w:rsidR="00FB7419" w:rsidRPr="00FB7419" w:rsidRDefault="00FB7419">
      <w:pPr>
        <w:spacing w:after="177"/>
        <w:ind w:left="-5" w:right="0" w:hanging="10"/>
        <w:rPr>
          <w:b/>
          <w:bCs/>
          <w:i/>
          <w:iCs/>
        </w:rPr>
      </w:pPr>
      <w:proofErr w:type="spellStart"/>
      <w:r w:rsidRPr="00FB7419">
        <w:rPr>
          <w:b/>
          <w:bCs/>
          <w:i/>
          <w:iCs/>
          <w:sz w:val="22"/>
        </w:rPr>
        <w:t>Obs</w:t>
      </w:r>
      <w:proofErr w:type="spellEnd"/>
      <w:r w:rsidRPr="00FB7419">
        <w:rPr>
          <w:b/>
          <w:bCs/>
          <w:i/>
          <w:iCs/>
          <w:sz w:val="22"/>
        </w:rPr>
        <w:t xml:space="preserve">: A reunião deu-se totalmente presencial, sem o comparecimento da Ivone Pankararu, </w:t>
      </w:r>
      <w:proofErr w:type="spellStart"/>
      <w:r w:rsidRPr="00FB7419">
        <w:rPr>
          <w:b/>
          <w:bCs/>
          <w:i/>
          <w:iCs/>
          <w:sz w:val="22"/>
        </w:rPr>
        <w:t>Iradzú</w:t>
      </w:r>
      <w:proofErr w:type="spellEnd"/>
      <w:r w:rsidRPr="00FB7419">
        <w:rPr>
          <w:b/>
          <w:bCs/>
          <w:i/>
          <w:iCs/>
          <w:sz w:val="22"/>
        </w:rPr>
        <w:t xml:space="preserve"> teve sua participação </w:t>
      </w:r>
      <w:r w:rsidR="0060030A" w:rsidRPr="00FB7419">
        <w:rPr>
          <w:b/>
          <w:bCs/>
          <w:i/>
          <w:iCs/>
          <w:sz w:val="22"/>
        </w:rPr>
        <w:t>presencial, Nino</w:t>
      </w:r>
      <w:r w:rsidRPr="00FB7419">
        <w:rPr>
          <w:b/>
          <w:bCs/>
          <w:i/>
          <w:iCs/>
          <w:sz w:val="22"/>
        </w:rPr>
        <w:t xml:space="preserve"> iria comparecer, mas o transporte não chegou na aldeia.</w:t>
      </w:r>
    </w:p>
    <w:p w14:paraId="1A7D6898" w14:textId="77777777" w:rsidR="005A047D" w:rsidRDefault="0014178B">
      <w:pPr>
        <w:spacing w:after="193"/>
        <w:ind w:left="-15" w:right="0" w:firstLine="0"/>
      </w:pPr>
      <w:r>
        <w:rPr>
          <w:b/>
        </w:rPr>
        <w:t xml:space="preserve">Às 13:00 do dia 25 do mês de julho do ano de 2023, </w:t>
      </w:r>
      <w:r>
        <w:t xml:space="preserve">de forma presencial, no CEI </w:t>
      </w:r>
      <w:proofErr w:type="spellStart"/>
      <w:r>
        <w:t>Krututu</w:t>
      </w:r>
      <w:proofErr w:type="spellEnd"/>
      <w:r>
        <w:t xml:space="preserve"> (T.I </w:t>
      </w:r>
      <w:proofErr w:type="spellStart"/>
      <w:r>
        <w:t>Tenondé</w:t>
      </w:r>
      <w:proofErr w:type="spellEnd"/>
      <w:r>
        <w:t xml:space="preserve"> Porã), reuniu-se o Conselho Municipal dos Povos Indígenas ordinariamente para deliberar os seguintes itens, após as respectivas apresentações dos presentes, é repassado informes para o colegiado, sendo estes:</w:t>
      </w:r>
      <w:r>
        <w:rPr>
          <w:sz w:val="22"/>
        </w:rPr>
        <w:t xml:space="preserve"> </w:t>
      </w:r>
    </w:p>
    <w:p w14:paraId="58224D7C" w14:textId="77777777" w:rsidR="005A047D" w:rsidRDefault="0014178B">
      <w:pPr>
        <w:numPr>
          <w:ilvl w:val="0"/>
          <w:numId w:val="1"/>
        </w:numPr>
        <w:spacing w:after="198"/>
        <w:ind w:right="0" w:hanging="360"/>
      </w:pPr>
      <w:r>
        <w:t xml:space="preserve">Foi informado sobre o local que ocorrerá o “Encontro de Povos Indígenas”, sendo este no Teatro Flávio Império, localizado na rua Prof. Alves Pedroso, 600 - Cangaíba, São Paulo - SP, 03721-010; dias 12 e 13.08.2023, conforme cronograma de atividades já deliberado em COMPISP e validado pelo Gabinete da SMDHC na 6ª reunião ocorrida em 26.06.2023. </w:t>
      </w:r>
    </w:p>
    <w:p w14:paraId="370365B7" w14:textId="77777777" w:rsidR="005A047D" w:rsidRDefault="0014178B">
      <w:pPr>
        <w:numPr>
          <w:ilvl w:val="0"/>
          <w:numId w:val="1"/>
        </w:numPr>
        <w:spacing w:after="194"/>
        <w:ind w:right="0" w:hanging="360"/>
      </w:pPr>
      <w:r>
        <w:t xml:space="preserve">Foi informado sobre a suplementação do pagamento artístico que será realizado pela Secretaria Municipal de Cultura, sendo o mesmo valor que será pago pela Secretaria Municipal de Direitos Humanos e Cidadania, lembrando que o repasse de verba da SMDHC será o mesmo acordado e deliberado em COMPISP, valor esse que foi validado pelo Gabinete da SMDHC conforme orientado na 6ª reunião ocorrida em 26.06.2023, bem como a suplementação sendo de responsabilidade da SMC que fará o repasse total para a produtora “Sentidos Produções”, na figura da Juliana, que realizará o repasse para as lideranças indicadas no projeto após realiza, conforme cronograma supracitado. </w:t>
      </w:r>
    </w:p>
    <w:p w14:paraId="1861E4E4" w14:textId="22C73257" w:rsidR="005A047D" w:rsidRDefault="0014178B">
      <w:pPr>
        <w:numPr>
          <w:ilvl w:val="0"/>
          <w:numId w:val="1"/>
        </w:numPr>
        <w:ind w:right="0" w:hanging="360"/>
      </w:pPr>
      <w:r>
        <w:t xml:space="preserve">Foi informado sobre o processo de substituição da suplente do Povo Fulni-ô para nomear a </w:t>
      </w:r>
      <w:proofErr w:type="spellStart"/>
      <w:r>
        <w:t>Ak</w:t>
      </w:r>
      <w:r w:rsidR="006317FE">
        <w:t>a</w:t>
      </w:r>
      <w:r>
        <w:t>yse</w:t>
      </w:r>
      <w:proofErr w:type="spellEnd"/>
      <w:r>
        <w:t xml:space="preserve">, solicitação realizada pela Presidente do conselho, nesse sentido foi orientado sobre a impossibilidade, visto que se faz necessário atender ao processo de eleição realizado em 2021, momento em que </w:t>
      </w:r>
      <w:proofErr w:type="spellStart"/>
      <w:r>
        <w:t>Ak</w:t>
      </w:r>
      <w:r w:rsidR="006317FE">
        <w:t>a</w:t>
      </w:r>
      <w:r>
        <w:t>yse</w:t>
      </w:r>
      <w:proofErr w:type="spellEnd"/>
      <w:r>
        <w:t xml:space="preserve"> fazia parte da comissão, além disso, foi informado sobre os prazos indicados para tal </w:t>
      </w:r>
      <w:r>
        <w:lastRenderedPageBreak/>
        <w:t xml:space="preserve">mudança, vez que a gestão é trienal, logo, apenas na próxima eleição será possível novas indicações. </w:t>
      </w:r>
    </w:p>
    <w:p w14:paraId="7E96B646" w14:textId="77777777" w:rsidR="005A047D" w:rsidRDefault="0014178B">
      <w:pPr>
        <w:numPr>
          <w:ilvl w:val="0"/>
          <w:numId w:val="1"/>
        </w:numPr>
        <w:spacing w:after="193"/>
        <w:ind w:right="0" w:hanging="360"/>
      </w:pPr>
      <w:r>
        <w:t xml:space="preserve">Foi informado sobre a competência da equipe de Cultura, no que diz respeito a orientação sobre a inscrição no “Vai” e “Revelando São Paulo”. </w:t>
      </w:r>
    </w:p>
    <w:p w14:paraId="76DB8527" w14:textId="77777777" w:rsidR="005A047D" w:rsidRDefault="0014178B">
      <w:pPr>
        <w:numPr>
          <w:ilvl w:val="0"/>
          <w:numId w:val="1"/>
        </w:numPr>
        <w:spacing w:after="193"/>
        <w:ind w:right="0" w:hanging="360"/>
      </w:pPr>
      <w:r>
        <w:t>Foi informado sobre a entrega da PLOA (Projeto de Lei Orçamentária) 2024, com as indicações das atividades já executadas pela Coordenação de Povos Indígenas, com o complemento da indicação do primeiro Centro de Referência Indígena (</w:t>
      </w:r>
      <w:proofErr w:type="spellStart"/>
      <w:r>
        <w:t>CRInd</w:t>
      </w:r>
      <w:proofErr w:type="spellEnd"/>
      <w:r>
        <w:t xml:space="preserve">) e duas unidades móveis para atendimento da população indígena no município, no entanto, foi orientado que o orçamento previsto para PLOA 2024 é de competência da Fazendo, que aprovará o orçamento que julgarem necessário na LOA (Lei Orçamentária Anual) de 2024, logo se faz necessário aguardar a decisão da Fazenda quanto a orçamento do próximo ano. </w:t>
      </w:r>
    </w:p>
    <w:p w14:paraId="5E900E65" w14:textId="77777777" w:rsidR="005A047D" w:rsidRDefault="0014178B">
      <w:pPr>
        <w:numPr>
          <w:ilvl w:val="0"/>
          <w:numId w:val="1"/>
        </w:numPr>
        <w:ind w:right="0" w:hanging="360"/>
      </w:pPr>
      <w:r>
        <w:t xml:space="preserve">Foi informado sobre as novas datas de entrega das cestas, devido as questões da quebra do caminhão. </w:t>
      </w:r>
    </w:p>
    <w:p w14:paraId="578521D1" w14:textId="77777777" w:rsidR="005A047D" w:rsidRDefault="0014178B">
      <w:pPr>
        <w:ind w:left="361" w:right="0" w:firstLine="0"/>
      </w:pPr>
      <w:r>
        <w:t xml:space="preserve">Dúvidas diversas: </w:t>
      </w:r>
    </w:p>
    <w:p w14:paraId="296F22B3" w14:textId="77777777" w:rsidR="005A047D" w:rsidRDefault="0014178B">
      <w:pPr>
        <w:ind w:left="-15" w:right="0" w:firstLine="361"/>
      </w:pPr>
      <w:proofErr w:type="spellStart"/>
      <w:r>
        <w:t>Iradzu</w:t>
      </w:r>
      <w:proofErr w:type="spellEnd"/>
      <w:r>
        <w:t xml:space="preserve"> pede a fala para questionar sobre como é executado o orçamento da Coordenação, vez que nas atividades estão mapeados outros povos que não compõe o Conselho e teria sido orientado que esse orçamento deveria estar destinado apenas para os povos indicados em COMPISP. </w:t>
      </w:r>
    </w:p>
    <w:p w14:paraId="2792E35A" w14:textId="77777777" w:rsidR="005A047D" w:rsidRDefault="0014178B">
      <w:pPr>
        <w:ind w:left="-15" w:right="0"/>
      </w:pPr>
      <w:r>
        <w:t>Milena informa que a política atende a pessoas indígenas no município, respeitando a todos os povos e pessoas, respeitando a questão migratória e imigratória dos povos originários. Também informa que o orçamento não está destinado apenas para COMPISP, mas sim para a demanda citada acima e se pensando na transversalidade a Coordenação de Povos Indígenas (COPIND) pode atuar junto a outras coordenações, assim como ocorrido no “</w:t>
      </w:r>
      <w:proofErr w:type="gramStart"/>
      <w:r>
        <w:t>Abril</w:t>
      </w:r>
      <w:proofErr w:type="gramEnd"/>
      <w:r>
        <w:t xml:space="preserve"> Indígena” e nas agendas conjuntas com a Coordenação de Políticas para Imigrantes e Promoção de Trabalho Decente (</w:t>
      </w:r>
      <w:proofErr w:type="spellStart"/>
      <w:r>
        <w:t>CPMig</w:t>
      </w:r>
      <w:proofErr w:type="spellEnd"/>
      <w:r>
        <w:t>) no “</w:t>
      </w:r>
      <w:proofErr w:type="spellStart"/>
      <w:r>
        <w:t>Alasitas</w:t>
      </w:r>
      <w:proofErr w:type="spellEnd"/>
      <w:r>
        <w:t xml:space="preserve">” e “Ano Novo Andino” de 2023. </w:t>
      </w:r>
    </w:p>
    <w:p w14:paraId="4928C19F" w14:textId="69CAC73A" w:rsidR="005A047D" w:rsidRDefault="0014178B">
      <w:pPr>
        <w:ind w:left="-15" w:right="0"/>
      </w:pPr>
      <w:proofErr w:type="spellStart"/>
      <w:r>
        <w:t>Iradzu</w:t>
      </w:r>
      <w:proofErr w:type="spellEnd"/>
      <w:r>
        <w:t xml:space="preserve"> questiona de o motivo destas ações não serem compartilhadas com COMPISP e Milena reforça que todas essas informações e convites são passados, no entanto, não há aproximação e presença até o momento nestas ações. </w:t>
      </w:r>
      <w:r w:rsidR="00FB7419">
        <w:t xml:space="preserve">Não há confiança dos povos indígenas na coordenação que os atende devidos aos embates que vem sendo feito para que seja </w:t>
      </w:r>
      <w:r>
        <w:t>minimamente os indígenas do conselho atendido.</w:t>
      </w:r>
    </w:p>
    <w:p w14:paraId="3B98C701" w14:textId="764CBECD" w:rsidR="005A047D" w:rsidRDefault="0014178B">
      <w:pPr>
        <w:ind w:left="-15" w:right="0"/>
      </w:pPr>
      <w:r>
        <w:t xml:space="preserve">Avani relata que segundo sua opinião a pauta de indígenas imigrantes não deveria ser atendida também pela Coordenação de Povos Indígenas, vez que existe uma coordenação para essa população. </w:t>
      </w:r>
      <w:r w:rsidR="006317FE">
        <w:t xml:space="preserve">Uma vez que a demanda do COMPISP não é atendida, como está tendo suporte </w:t>
      </w:r>
      <w:r>
        <w:t>para</w:t>
      </w:r>
      <w:r w:rsidR="006317FE">
        <w:t xml:space="preserve"> atender os indígenas imigrantes.</w:t>
      </w:r>
    </w:p>
    <w:p w14:paraId="6F174DD2" w14:textId="6A88BD74" w:rsidR="005A047D" w:rsidRDefault="0014178B">
      <w:pPr>
        <w:ind w:left="-15" w:right="0"/>
      </w:pPr>
      <w:r>
        <w:t xml:space="preserve">Milena reforça que embora respeite sua colocação sobre o que é legitimo para o movimento indígena no município, COPIND atua no que é legal, baseado em leis, decretos, portarias que indiquem qual é o público destinatário da política. </w:t>
      </w:r>
    </w:p>
    <w:p w14:paraId="6C117709" w14:textId="1AD8EF50" w:rsidR="005A047D" w:rsidRDefault="0014178B">
      <w:pPr>
        <w:ind w:left="-15" w:right="0"/>
      </w:pPr>
      <w:r>
        <w:lastRenderedPageBreak/>
        <w:t xml:space="preserve">Usa o exemplo para exemplificar a colocação, se considerar esse pensamento, a política não atenderia pessoas indígenas naturais de outros estados, apenas aqueles naturais de São Paulo, logo os povos indicados em COMPISP não seriam atendidos pela coordenação.  </w:t>
      </w:r>
    </w:p>
    <w:p w14:paraId="2D9DD8AC" w14:textId="49E9E955" w:rsidR="0014178B" w:rsidRDefault="0014178B">
      <w:pPr>
        <w:ind w:left="-15" w:right="0"/>
      </w:pPr>
      <w:r>
        <w:t xml:space="preserve">Reforçando que os indígenas do conselho tem poucas de suas demandas atendidas, como terá suporte pra atender indígenas imigrantes. </w:t>
      </w:r>
    </w:p>
    <w:p w14:paraId="751076F2" w14:textId="65905433" w:rsidR="005A047D" w:rsidRDefault="0014178B">
      <w:pPr>
        <w:ind w:left="-15" w:right="0"/>
      </w:pPr>
      <w:r>
        <w:t xml:space="preserve">No entanto, considerando o que está previsto no decreto de COPIND, que está baseado na lei, todos os povos – </w:t>
      </w:r>
      <w:r w:rsidR="003E4788">
        <w:t>independentemente</w:t>
      </w:r>
      <w:r>
        <w:t xml:space="preserve"> de sua nacionalidade ou naturalidade – são destinatários da política que é executada pela coordenação. </w:t>
      </w:r>
    </w:p>
    <w:p w14:paraId="13B02AA9" w14:textId="77777777" w:rsidR="005A047D" w:rsidRDefault="0014178B">
      <w:pPr>
        <w:ind w:left="-15" w:right="0"/>
      </w:pPr>
      <w:r>
        <w:t xml:space="preserve">Avani entende que a contratação das lideranças indígenas </w:t>
      </w:r>
      <w:proofErr w:type="spellStart"/>
      <w:r>
        <w:t>Aymara</w:t>
      </w:r>
      <w:proofErr w:type="spellEnd"/>
      <w:r>
        <w:t xml:space="preserve"> e Nhandeva não deveriam seguir, pois entende que por se tratar de uma pessoa imigrante o pagamento não deveria ser feito por COPIND, já a liderança Nhandeva, por se tratar de professor da rede municipal, não deveria ser pago pela atividade. </w:t>
      </w:r>
    </w:p>
    <w:p w14:paraId="68615BE6" w14:textId="77777777" w:rsidR="005A047D" w:rsidRDefault="0014178B">
      <w:pPr>
        <w:ind w:left="-15" w:right="0"/>
      </w:pPr>
      <w:r>
        <w:t xml:space="preserve">No entanto, Milena reforça novamente a orientação passada acima sobre a política executada de forma transversal, dando exemplo de uma mulher indígena, que pode ser contratada tanto pode COPIND – tratando da pauta indígena, quanto por COM – tratando da pauta de gênero. </w:t>
      </w:r>
    </w:p>
    <w:p w14:paraId="7A0F83D5" w14:textId="77777777" w:rsidR="005A047D" w:rsidRDefault="0014178B">
      <w:pPr>
        <w:ind w:left="-15" w:right="0"/>
      </w:pPr>
      <w:r>
        <w:t xml:space="preserve">No que tange a liderança que é professor, foi também reforçado a orientação já passada para a Presidente por telefone, que embora a liderança seja professor com ampla experiência no município, o mesmo não tem vínculo com a prefeitura no momento, sendo possível sua contratação para esta atividade. </w:t>
      </w:r>
    </w:p>
    <w:p w14:paraId="40417731" w14:textId="77777777" w:rsidR="005A047D" w:rsidRDefault="0014178B">
      <w:pPr>
        <w:ind w:left="-15" w:right="0"/>
      </w:pPr>
      <w:r>
        <w:t xml:space="preserve">No que diz respeito as solicitações a Advogada Grace, foi passado as orientações dadas pela equipe de DPS (Departamento de Participação Social) referente as solicitações realizadas por ela sobre agenda de reunião com a Coordenação, assim foi informado que a mesma está acompanhando as reuniões de COMPISP enquanto sociedade civil ouvinte, logo, a mesma não pode demandar da coordenação, sendo atribuição apenas dos conselheiros de governo e sociedade civil indígena.  </w:t>
      </w:r>
    </w:p>
    <w:p w14:paraId="2A867389" w14:textId="77777777" w:rsidR="005A047D" w:rsidRDefault="0014178B" w:rsidP="001B3FC5">
      <w:pPr>
        <w:ind w:left="-15" w:right="0"/>
      </w:pPr>
      <w:r>
        <w:t xml:space="preserve"> Sobre a mesma se identificar como Advogada de COMPISP, DPS informa que não teve acesso a quaisquer documentos, tais como procuração assinada pelos conselheiros, que comprovem tal ação e, portanto, torna-se inviável o atendimento as suas solicitações. </w:t>
      </w:r>
    </w:p>
    <w:p w14:paraId="030B155B" w14:textId="6B648C1F" w:rsidR="005A047D" w:rsidRDefault="0014178B" w:rsidP="001B3FC5">
      <w:pPr>
        <w:ind w:left="-15" w:right="0" w:firstLine="723"/>
      </w:pPr>
      <w:r>
        <w:t xml:space="preserve">Por fim, Milena reforça que </w:t>
      </w:r>
      <w:r w:rsidR="0051655E">
        <w:t>é</w:t>
      </w:r>
      <w:r>
        <w:t xml:space="preserve"> inadmissível quaisquer diálogos desrespeitosos, bem como as orientações realizadas pela profissional no grupo de WhatsApp (sobre o não envio dos documentos no prazo estipulados pela equipe da SMC), que poderiam acarretar na não contratação para o “Encontro de Povos Indígenas”, sendo de total responsabilidade dos demais e não da Coordenação de Povos Indígenas. </w:t>
      </w:r>
    </w:p>
    <w:p w14:paraId="6425E836" w14:textId="19887B53" w:rsidR="006317FE" w:rsidRDefault="006317FE">
      <w:pPr>
        <w:ind w:left="-15" w:right="0" w:firstLine="0"/>
      </w:pPr>
      <w:proofErr w:type="spellStart"/>
      <w:r>
        <w:t>Obs</w:t>
      </w:r>
      <w:proofErr w:type="spellEnd"/>
      <w:r w:rsidR="001B3FC5">
        <w:t xml:space="preserve"> – Grifo da Presidente após avaliação da ATA</w:t>
      </w:r>
      <w:r>
        <w:t xml:space="preserve">: A advogada Grace durantes suas apresentações e colocações em </w:t>
      </w:r>
      <w:r w:rsidR="0089634C">
        <w:t xml:space="preserve">reuniões </w:t>
      </w:r>
      <w:r w:rsidR="001B3FC5">
        <w:t>n</w:t>
      </w:r>
      <w:r w:rsidR="0089634C">
        <w:t>unca</w:t>
      </w:r>
      <w:r>
        <w:t xml:space="preserve"> se apresentou como advogada do </w:t>
      </w:r>
      <w:proofErr w:type="spellStart"/>
      <w:r>
        <w:t>Compisp</w:t>
      </w:r>
      <w:proofErr w:type="spellEnd"/>
      <w:r>
        <w:t xml:space="preserve">, e sim advogada convidada pela Presidente do Conselho para acompanhar as </w:t>
      </w:r>
      <w:r>
        <w:lastRenderedPageBreak/>
        <w:t xml:space="preserve">reuniões </w:t>
      </w:r>
      <w:r w:rsidR="00207BD0">
        <w:t>e ajuda-los em demandas legais, por exemplo como a den</w:t>
      </w:r>
      <w:r w:rsidR="0051655E">
        <w:t>ú</w:t>
      </w:r>
      <w:r w:rsidR="00207BD0">
        <w:t>ncia de abusos aos estagiários indígenas.</w:t>
      </w:r>
      <w:r w:rsidR="00366EDD">
        <w:t xml:space="preserve"> </w:t>
      </w:r>
      <w:r w:rsidR="00DC1660">
        <w:t>E aprender sobre povos indígenas.</w:t>
      </w:r>
    </w:p>
    <w:p w14:paraId="5B3EFB94" w14:textId="77777777" w:rsidR="005A047D" w:rsidRDefault="0014178B">
      <w:pPr>
        <w:ind w:left="-15" w:right="0" w:firstLine="0"/>
      </w:pPr>
      <w:r>
        <w:rPr>
          <w:b/>
        </w:rPr>
        <w:t xml:space="preserve">Item nº 1 – </w:t>
      </w:r>
      <w:proofErr w:type="gramStart"/>
      <w:r>
        <w:rPr>
          <w:b/>
        </w:rPr>
        <w:t>Agosto</w:t>
      </w:r>
      <w:proofErr w:type="gramEnd"/>
      <w:r>
        <w:rPr>
          <w:b/>
        </w:rPr>
        <w:t xml:space="preserve"> Indígena: </w:t>
      </w:r>
      <w:r>
        <w:t xml:space="preserve">Avani pede para que sejam dadas as orientações sobre as “Rodas de Saberes Indígenas” que ocorrerão nos equipamentos da SMDHC. </w:t>
      </w:r>
    </w:p>
    <w:p w14:paraId="1A464D76" w14:textId="77777777" w:rsidR="005A047D" w:rsidRDefault="0014178B">
      <w:pPr>
        <w:ind w:left="-15" w:right="0" w:firstLine="0"/>
      </w:pPr>
      <w:r>
        <w:t xml:space="preserve"> Nesse sentido, Milena repassa o cronograma com todos presentes, entregando material impresso com datas, horários, equipamentos e mediadores para cada liderança presentes, assim, cada um pode tirar suas dúvidas sobre esta atividade. </w:t>
      </w:r>
    </w:p>
    <w:p w14:paraId="1616798B" w14:textId="77777777" w:rsidR="005A047D" w:rsidRDefault="0014178B">
      <w:pPr>
        <w:ind w:left="-15" w:right="0" w:firstLine="0"/>
      </w:pPr>
      <w:r>
        <w:t xml:space="preserve"> Sobre o “Encontro de Povos Indígenas”, Milena reforça que o cronograma foi enviado tanto no grupo de WhatsApp, quanto para a produtora e para equipe da SMC, além disso, já foi compartilhado com cada Coordenação Temática, com a Assessoria de Eventos e com a Comunicação da SMDHC. </w:t>
      </w:r>
    </w:p>
    <w:p w14:paraId="77417C85" w14:textId="77777777" w:rsidR="005A047D" w:rsidRDefault="0014178B">
      <w:pPr>
        <w:ind w:left="-15" w:right="0" w:firstLine="0"/>
      </w:pPr>
      <w:r>
        <w:t xml:space="preserve"> Diante das dúvidas ainda presentes, Milena informa que reenviará o cronograma dos dias 12 e 13.08.2023 novamente no grupo, bem como o endereço dos locais que cada liderança estará em particular, assim evitará confusões com as informações. </w:t>
      </w:r>
    </w:p>
    <w:p w14:paraId="2652EEE8" w14:textId="0DAD2280" w:rsidR="005A047D" w:rsidRDefault="0014178B">
      <w:pPr>
        <w:ind w:left="-15" w:right="0" w:firstLine="0"/>
      </w:pPr>
      <w:r>
        <w:t xml:space="preserve"> </w:t>
      </w:r>
      <w:proofErr w:type="spellStart"/>
      <w:r>
        <w:t>Wagneysa</w:t>
      </w:r>
      <w:proofErr w:type="spellEnd"/>
      <w:r>
        <w:t xml:space="preserve"> se colocou </w:t>
      </w:r>
      <w:proofErr w:type="spellStart"/>
      <w:r w:rsidR="0051655E">
        <w:t>á</w:t>
      </w:r>
      <w:proofErr w:type="spellEnd"/>
      <w:r>
        <w:t xml:space="preserve"> disposição para auxiliar no agendamento de alinhamento online com as coordenações temáticas, para aqueles que tiverem o interesse, mas também para realizar orientações sobre as atividades a serem executadas. Senho</w:t>
      </w:r>
      <w:r w:rsidR="00FB7419">
        <w:t>r</w:t>
      </w:r>
      <w:r>
        <w:t xml:space="preserve"> Renato e </w:t>
      </w:r>
      <w:proofErr w:type="spellStart"/>
      <w:r>
        <w:t>Traquilino</w:t>
      </w:r>
      <w:proofErr w:type="spellEnd"/>
      <w:r>
        <w:t xml:space="preserve"> pediram esse apoio após final da reunião, visto que a mesma estará na mediação com ambos na atividade. </w:t>
      </w:r>
    </w:p>
    <w:p w14:paraId="56A40608" w14:textId="77777777" w:rsidR="005A047D" w:rsidRDefault="0014178B">
      <w:pPr>
        <w:ind w:left="-15" w:right="0"/>
      </w:pPr>
      <w:r>
        <w:t xml:space="preserve">Sobre a ausência das demais lideranças, Milena demonstra sua preocupação, vez que esta é a última reunião que antecede a atividade, sendo de suma importância a presença de todos para tirarem suas dúvidas e receberem as informações necessárias. </w:t>
      </w:r>
    </w:p>
    <w:p w14:paraId="6D88533F" w14:textId="77777777" w:rsidR="005A047D" w:rsidRDefault="0014178B">
      <w:pPr>
        <w:ind w:left="-15" w:right="0"/>
      </w:pPr>
      <w:r>
        <w:t xml:space="preserve">Informa quais sansões ocorreriam com a ausência destes nas “Rodas de Saberes Indígenas”, desde multa contratual com a PMSP e demais desdobramentos que resultariam prejuízos para os contratados. </w:t>
      </w:r>
    </w:p>
    <w:p w14:paraId="21EE78C5" w14:textId="56CFD17F" w:rsidR="005A047D" w:rsidRDefault="0014178B">
      <w:pPr>
        <w:ind w:left="-15" w:right="0"/>
      </w:pPr>
      <w:r>
        <w:t xml:space="preserve">Por fim, pede apoio para realizar o </w:t>
      </w:r>
      <w:r w:rsidR="001B3FC5">
        <w:t>diálogo</w:t>
      </w:r>
      <w:r>
        <w:t xml:space="preserve"> e assinatura da “Proposta de Atividade” do Nino, visto que o mesmo apresenta dificuldade de acompanhar as informações no grupo e não tem retornado as mensagens e ligações da Coordenação. </w:t>
      </w:r>
    </w:p>
    <w:p w14:paraId="549BF229" w14:textId="77777777" w:rsidR="005A047D" w:rsidRDefault="0014178B">
      <w:pPr>
        <w:ind w:left="-15" w:right="0"/>
      </w:pPr>
      <w:proofErr w:type="spellStart"/>
      <w:r>
        <w:t>Tranquilino</w:t>
      </w:r>
      <w:proofErr w:type="spellEnd"/>
      <w:r>
        <w:t xml:space="preserve"> e Avani se responsabilizam em repassar tais informações. </w:t>
      </w:r>
      <w:proofErr w:type="spellStart"/>
      <w:r>
        <w:t>Wagneyza</w:t>
      </w:r>
      <w:proofErr w:type="spellEnd"/>
      <w:r>
        <w:t xml:space="preserve"> relata que a Advogada havia afirmado, em reunião ordinária e de alinhamento do “</w:t>
      </w:r>
      <w:proofErr w:type="gramStart"/>
      <w:r>
        <w:t>Agosto</w:t>
      </w:r>
      <w:proofErr w:type="gramEnd"/>
      <w:r>
        <w:t xml:space="preserve"> Indígena” que seria responsável em repassar as informações, bem como realizar as devidas orientações, no entanto, ao dialogar particular com cada liderança, notou que essa articulação não ocorreu, nesse sentido a COPIND realizou orientações individuais com todas as lideranças, até com as que não estiveram nestas reuniões. </w:t>
      </w:r>
    </w:p>
    <w:p w14:paraId="7DA5EB81" w14:textId="77777777" w:rsidR="005A047D" w:rsidRDefault="0014178B">
      <w:pPr>
        <w:spacing w:after="154" w:line="259" w:lineRule="auto"/>
        <w:ind w:left="711" w:right="0" w:firstLine="0"/>
        <w:jc w:val="left"/>
      </w:pPr>
      <w:r>
        <w:t xml:space="preserve"> </w:t>
      </w:r>
    </w:p>
    <w:p w14:paraId="6148A12F" w14:textId="77777777" w:rsidR="005A047D" w:rsidRDefault="0014178B">
      <w:pPr>
        <w:spacing w:after="139" w:line="259" w:lineRule="auto"/>
        <w:ind w:left="721" w:right="0" w:hanging="10"/>
        <w:jc w:val="left"/>
      </w:pPr>
      <w:r>
        <w:rPr>
          <w:b/>
        </w:rPr>
        <w:t>Às 15:00 do dia 25 do mês de julho do ano de 2022 foi encerrada a reunião.</w:t>
      </w:r>
      <w:r>
        <w:t xml:space="preserve"> </w:t>
      </w:r>
    </w:p>
    <w:p w14:paraId="4A5EFD02" w14:textId="77777777" w:rsidR="001B3FC5" w:rsidRDefault="0014178B" w:rsidP="001B3FC5">
      <w:pPr>
        <w:spacing w:after="155" w:line="259" w:lineRule="auto"/>
        <w:ind w:left="711" w:right="0" w:firstLine="0"/>
        <w:jc w:val="left"/>
        <w:rPr>
          <w:i/>
          <w:sz w:val="22"/>
        </w:rPr>
      </w:pPr>
      <w:r>
        <w:rPr>
          <w:i/>
          <w:sz w:val="22"/>
        </w:rPr>
        <w:t xml:space="preserve"> </w:t>
      </w:r>
    </w:p>
    <w:p w14:paraId="43F1B19A" w14:textId="3869B55A" w:rsidR="005A047D" w:rsidRDefault="0014178B" w:rsidP="001B3FC5">
      <w:pPr>
        <w:spacing w:after="155" w:line="259" w:lineRule="auto"/>
        <w:ind w:left="711" w:right="0" w:firstLine="0"/>
        <w:jc w:val="left"/>
      </w:pPr>
      <w:r>
        <w:rPr>
          <w:b/>
          <w:sz w:val="22"/>
        </w:rPr>
        <w:lastRenderedPageBreak/>
        <w:t>Item nº 2 - Encaminhamentos:</w:t>
      </w:r>
      <w:r>
        <w:rPr>
          <w:sz w:val="22"/>
        </w:rPr>
        <w:t xml:space="preserve">  </w:t>
      </w:r>
    </w:p>
    <w:p w14:paraId="2A373B16" w14:textId="77777777" w:rsidR="005A047D" w:rsidRDefault="0014178B">
      <w:pPr>
        <w:numPr>
          <w:ilvl w:val="0"/>
          <w:numId w:val="2"/>
        </w:numPr>
        <w:spacing w:after="177"/>
        <w:ind w:right="0" w:hanging="360"/>
      </w:pPr>
      <w:proofErr w:type="spellStart"/>
      <w:r>
        <w:rPr>
          <w:sz w:val="22"/>
        </w:rPr>
        <w:t>Tranquilino</w:t>
      </w:r>
      <w:proofErr w:type="spellEnd"/>
      <w:r>
        <w:rPr>
          <w:sz w:val="22"/>
        </w:rPr>
        <w:t xml:space="preserve"> e Avani auxiliarão Nino com a entrega da “Proposta de Atividade” devidamente assinada. </w:t>
      </w:r>
    </w:p>
    <w:p w14:paraId="23E2822D" w14:textId="77777777" w:rsidR="005A047D" w:rsidRDefault="0014178B">
      <w:pPr>
        <w:numPr>
          <w:ilvl w:val="0"/>
          <w:numId w:val="2"/>
        </w:numPr>
        <w:spacing w:after="177"/>
        <w:ind w:right="0" w:hanging="360"/>
      </w:pPr>
      <w:r>
        <w:rPr>
          <w:sz w:val="22"/>
        </w:rPr>
        <w:t xml:space="preserve">Milena e </w:t>
      </w:r>
      <w:proofErr w:type="spellStart"/>
      <w:r>
        <w:rPr>
          <w:sz w:val="22"/>
        </w:rPr>
        <w:t>Wagneyza</w:t>
      </w:r>
      <w:proofErr w:type="spellEnd"/>
      <w:r>
        <w:rPr>
          <w:sz w:val="22"/>
        </w:rPr>
        <w:t xml:space="preserve"> enviara no privado o endereço do equipamento para cada liderança da “Roda de Saberes Indígenas”. </w:t>
      </w:r>
    </w:p>
    <w:p w14:paraId="43A8C141" w14:textId="77777777" w:rsidR="005A047D" w:rsidRDefault="0014178B">
      <w:pPr>
        <w:numPr>
          <w:ilvl w:val="0"/>
          <w:numId w:val="2"/>
        </w:numPr>
        <w:spacing w:after="177"/>
        <w:ind w:right="0" w:hanging="360"/>
      </w:pPr>
      <w:r>
        <w:rPr>
          <w:sz w:val="22"/>
        </w:rPr>
        <w:t xml:space="preserve">Milena confirmará com a equipe de DPS sobre a nomeação dos conselheiros da SMC, para solicitar apoio para COMPISP nas inscrições do “Vai” e “Revelando São Paulo”. </w:t>
      </w:r>
    </w:p>
    <w:p w14:paraId="3C0AAA56" w14:textId="77777777" w:rsidR="005A047D" w:rsidRDefault="0014178B">
      <w:pPr>
        <w:spacing w:after="139" w:line="259" w:lineRule="auto"/>
        <w:ind w:left="-5" w:right="0" w:hanging="10"/>
        <w:jc w:val="left"/>
      </w:pPr>
      <w:r>
        <w:rPr>
          <w:b/>
        </w:rPr>
        <w:t>Encaminhamentos</w:t>
      </w:r>
      <w:r>
        <w:rPr>
          <w:sz w:val="22"/>
        </w:rPr>
        <w:t xml:space="preserve"> </w:t>
      </w:r>
    </w:p>
    <w:p w14:paraId="00358947" w14:textId="77777777" w:rsidR="005A047D" w:rsidRDefault="0014178B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8415" w:type="dxa"/>
        <w:tblInd w:w="9" w:type="dxa"/>
        <w:tblCellMar>
          <w:top w:w="133" w:type="dxa"/>
          <w:right w:w="32" w:type="dxa"/>
        </w:tblCellMar>
        <w:tblLook w:val="04A0" w:firstRow="1" w:lastRow="0" w:firstColumn="1" w:lastColumn="0" w:noHBand="0" w:noVBand="1"/>
      </w:tblPr>
      <w:tblGrid>
        <w:gridCol w:w="494"/>
        <w:gridCol w:w="813"/>
        <w:gridCol w:w="3283"/>
        <w:gridCol w:w="1576"/>
        <w:gridCol w:w="2249"/>
      </w:tblGrid>
      <w:tr w:rsidR="005A047D" w14:paraId="389EFDBB" w14:textId="77777777">
        <w:trPr>
          <w:trHeight w:val="473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0E008B7" w14:textId="77777777" w:rsidR="005A047D" w:rsidRDefault="0014178B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>N.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DBB167E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b/>
              </w:rPr>
              <w:t xml:space="preserve">Descrição dos encaminhamentos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D5AC8FA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b/>
              </w:rPr>
              <w:t>Responsável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EDCD332" w14:textId="77777777" w:rsidR="005A047D" w:rsidRDefault="0014178B">
            <w:pPr>
              <w:spacing w:after="0" w:line="259" w:lineRule="auto"/>
              <w:ind w:left="92" w:right="0" w:firstLine="0"/>
              <w:jc w:val="left"/>
            </w:pPr>
            <w:r>
              <w:rPr>
                <w:b/>
              </w:rPr>
              <w:t xml:space="preserve">Prazo </w:t>
            </w:r>
            <w:r>
              <w:rPr>
                <w:sz w:val="22"/>
              </w:rPr>
              <w:t xml:space="preserve"> </w:t>
            </w:r>
          </w:p>
        </w:tc>
      </w:tr>
      <w:tr w:rsidR="005A047D" w14:paraId="595FB990" w14:textId="77777777">
        <w:trPr>
          <w:trHeight w:val="125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BD3C" w14:textId="77777777" w:rsidR="005A047D" w:rsidRDefault="0014178B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color w:val="FF0000"/>
              </w:rPr>
              <w:t>01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007985" w14:textId="77777777" w:rsidR="005A047D" w:rsidRPr="001B3FC5" w:rsidRDefault="0014178B">
            <w:pPr>
              <w:spacing w:after="0" w:line="259" w:lineRule="auto"/>
              <w:ind w:left="453" w:right="0" w:firstLine="0"/>
              <w:jc w:val="left"/>
              <w:rPr>
                <w:color w:val="FF0000"/>
              </w:rPr>
            </w:pPr>
            <w:r w:rsidRPr="001B3FC5">
              <w:rPr>
                <w:color w:val="FF0000"/>
                <w:sz w:val="22"/>
              </w:rPr>
              <w:t>1.</w:t>
            </w:r>
            <w:r w:rsidRPr="001B3FC5"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42AB2D" w14:textId="77777777" w:rsidR="005A047D" w:rsidRPr="001B3FC5" w:rsidRDefault="0014178B">
            <w:pPr>
              <w:spacing w:after="0" w:line="259" w:lineRule="auto"/>
              <w:ind w:right="53" w:firstLine="0"/>
              <w:rPr>
                <w:color w:val="FF0000"/>
              </w:rPr>
            </w:pPr>
            <w:proofErr w:type="spellStart"/>
            <w:r w:rsidRPr="001B3FC5">
              <w:rPr>
                <w:color w:val="FF0000"/>
                <w:sz w:val="22"/>
              </w:rPr>
              <w:t>Tranquilino</w:t>
            </w:r>
            <w:proofErr w:type="spellEnd"/>
            <w:r w:rsidRPr="001B3FC5">
              <w:rPr>
                <w:color w:val="FF0000"/>
                <w:sz w:val="22"/>
              </w:rPr>
              <w:t xml:space="preserve"> e Avani auxiliarão Nino com a entrega da “Proposta de Atividade” devidamente assinada.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983D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14:paraId="50B65385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COMPISP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EFCB7" w14:textId="77777777" w:rsidR="005A047D" w:rsidRDefault="0014178B">
            <w:pPr>
              <w:spacing w:after="0" w:line="259" w:lineRule="auto"/>
              <w:ind w:left="92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14:paraId="3D21EBCC" w14:textId="77777777" w:rsidR="005A047D" w:rsidRDefault="0014178B">
            <w:pPr>
              <w:spacing w:after="0" w:line="259" w:lineRule="auto"/>
              <w:ind w:left="92" w:right="0" w:firstLine="0"/>
            </w:pPr>
            <w:r>
              <w:rPr>
                <w:color w:val="FF0000"/>
              </w:rPr>
              <w:t xml:space="preserve">Com urgência, até sexta – 28.07 </w:t>
            </w:r>
          </w:p>
        </w:tc>
      </w:tr>
      <w:tr w:rsidR="005A047D" w14:paraId="1CB81A42" w14:textId="77777777">
        <w:trPr>
          <w:trHeight w:val="127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BBF4" w14:textId="77777777" w:rsidR="005A047D" w:rsidRDefault="0014178B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color w:val="FF0000"/>
              </w:rPr>
              <w:t xml:space="preserve">02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5D5608" w14:textId="77777777" w:rsidR="005A047D" w:rsidRDefault="0014178B">
            <w:pPr>
              <w:spacing w:after="0" w:line="259" w:lineRule="auto"/>
              <w:ind w:left="453" w:right="0" w:firstLine="0"/>
              <w:jc w:val="left"/>
            </w:pPr>
            <w:r>
              <w:rPr>
                <w:color w:val="FF0000"/>
                <w:sz w:val="22"/>
              </w:rPr>
              <w:t>2.</w:t>
            </w:r>
            <w:r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BA5B4F" w14:textId="77777777" w:rsidR="005A047D" w:rsidRDefault="0014178B">
            <w:pPr>
              <w:spacing w:after="0" w:line="259" w:lineRule="auto"/>
              <w:ind w:right="56" w:firstLine="0"/>
            </w:pPr>
            <w:r>
              <w:rPr>
                <w:color w:val="FF0000"/>
                <w:sz w:val="22"/>
              </w:rPr>
              <w:t xml:space="preserve">Milena e </w:t>
            </w:r>
            <w:proofErr w:type="spellStart"/>
            <w:r>
              <w:rPr>
                <w:color w:val="FF0000"/>
                <w:sz w:val="22"/>
              </w:rPr>
              <w:t>Wagneyza</w:t>
            </w:r>
            <w:proofErr w:type="spellEnd"/>
            <w:r>
              <w:rPr>
                <w:color w:val="FF0000"/>
                <w:sz w:val="22"/>
              </w:rPr>
              <w:t xml:space="preserve"> enviara no privado o endereço do equipamento para cada liderança da “Roda de Saberes Indígenas”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967A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COPIND  </w:t>
            </w:r>
          </w:p>
          <w:p w14:paraId="7B92A9AC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2624" w14:textId="77777777" w:rsidR="005A047D" w:rsidRDefault="0014178B">
            <w:pPr>
              <w:spacing w:after="0" w:line="259" w:lineRule="auto"/>
              <w:ind w:left="92" w:right="0" w:firstLine="0"/>
            </w:pPr>
            <w:r>
              <w:rPr>
                <w:color w:val="FF0000"/>
              </w:rPr>
              <w:t xml:space="preserve">Não foi determinado </w:t>
            </w:r>
          </w:p>
        </w:tc>
      </w:tr>
      <w:tr w:rsidR="005A047D" w14:paraId="7BD5580B" w14:textId="77777777">
        <w:trPr>
          <w:trHeight w:val="208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0E05" w14:textId="77777777" w:rsidR="005A047D" w:rsidRDefault="0014178B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color w:val="FF0000"/>
              </w:rPr>
              <w:t xml:space="preserve">03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2AD0ED" w14:textId="77777777" w:rsidR="005A047D" w:rsidRDefault="0014178B">
            <w:pPr>
              <w:spacing w:after="1324" w:line="259" w:lineRule="auto"/>
              <w:ind w:left="453" w:right="0" w:firstLine="0"/>
              <w:jc w:val="left"/>
            </w:pPr>
            <w:r>
              <w:rPr>
                <w:color w:val="FF0000"/>
                <w:sz w:val="22"/>
              </w:rPr>
              <w:t>1.</w:t>
            </w:r>
            <w:r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</w:p>
          <w:p w14:paraId="249DD849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7F273C" w14:textId="77777777" w:rsidR="005A047D" w:rsidRDefault="0014178B">
            <w:pPr>
              <w:spacing w:after="0" w:line="259" w:lineRule="auto"/>
              <w:ind w:right="0" w:firstLine="0"/>
            </w:pPr>
            <w:r>
              <w:rPr>
                <w:color w:val="FF0000"/>
                <w:sz w:val="22"/>
              </w:rPr>
              <w:t xml:space="preserve">Milena confirmará com a equipe de </w:t>
            </w:r>
          </w:p>
          <w:p w14:paraId="671103E8" w14:textId="77777777" w:rsidR="005A047D" w:rsidRDefault="0014178B">
            <w:pPr>
              <w:spacing w:after="0" w:line="259" w:lineRule="auto"/>
              <w:ind w:right="61" w:firstLine="0"/>
            </w:pPr>
            <w:r>
              <w:rPr>
                <w:color w:val="FF0000"/>
                <w:sz w:val="22"/>
              </w:rPr>
              <w:t xml:space="preserve">DPS sobre a nomeação dos conselheiros da SMC, para solicitar apoio para COMPISP nas inscrições do “Vai” e “Revelando São Paulo”.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D6B1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COPIND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BFDFF" w14:textId="77777777" w:rsidR="005A047D" w:rsidRDefault="0014178B">
            <w:pPr>
              <w:spacing w:after="0" w:line="241" w:lineRule="auto"/>
              <w:ind w:left="92" w:right="50" w:firstLine="0"/>
            </w:pPr>
            <w:r>
              <w:rPr>
                <w:color w:val="FF0000"/>
              </w:rPr>
              <w:t xml:space="preserve">Não foi determinado, no entanto, é necessário atentar-se na data de encerramento das </w:t>
            </w:r>
          </w:p>
          <w:p w14:paraId="2BFBF43B" w14:textId="77777777" w:rsidR="005A047D" w:rsidRDefault="0014178B">
            <w:pPr>
              <w:spacing w:after="0" w:line="259" w:lineRule="auto"/>
              <w:ind w:left="92" w:right="0" w:firstLine="0"/>
              <w:jc w:val="left"/>
            </w:pPr>
            <w:r>
              <w:rPr>
                <w:color w:val="FF0000"/>
              </w:rPr>
              <w:t xml:space="preserve">inscrições – 03.08 </w:t>
            </w:r>
          </w:p>
        </w:tc>
      </w:tr>
      <w:tr w:rsidR="005A047D" w14:paraId="5B7F8CD1" w14:textId="77777777">
        <w:trPr>
          <w:trHeight w:val="498"/>
        </w:trPr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single" w:sz="6" w:space="0" w:color="FFFFFF"/>
            </w:tcBorders>
            <w:vAlign w:val="center"/>
          </w:tcPr>
          <w:p w14:paraId="429F8B51" w14:textId="77777777" w:rsidR="005A047D" w:rsidRDefault="0014178B">
            <w:pPr>
              <w:spacing w:after="0" w:line="259" w:lineRule="auto"/>
              <w:ind w:left="11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FFFFFF"/>
              <w:bottom w:val="nil"/>
              <w:right w:val="nil"/>
            </w:tcBorders>
            <w:vAlign w:val="center"/>
          </w:tcPr>
          <w:p w14:paraId="7DB07CDC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nil"/>
              <w:right w:val="single" w:sz="6" w:space="0" w:color="FFFFFF"/>
            </w:tcBorders>
          </w:tcPr>
          <w:p w14:paraId="76B30D56" w14:textId="77777777" w:rsidR="005A047D" w:rsidRDefault="005A04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FFFFFF"/>
              <w:bottom w:val="nil"/>
              <w:right w:val="nil"/>
            </w:tcBorders>
            <w:vAlign w:val="center"/>
          </w:tcPr>
          <w:p w14:paraId="4E13A18A" w14:textId="77777777" w:rsidR="005A047D" w:rsidRDefault="0014178B">
            <w:pPr>
              <w:spacing w:after="0" w:line="259" w:lineRule="auto"/>
              <w:ind w:left="93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2290A5D" w14:textId="77777777" w:rsidR="005A047D" w:rsidRDefault="0014178B">
            <w:pPr>
              <w:spacing w:after="0" w:line="259" w:lineRule="auto"/>
              <w:ind w:left="653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</w:tbl>
    <w:p w14:paraId="474A1181" w14:textId="77777777" w:rsidR="005A047D" w:rsidRDefault="0014178B">
      <w:pPr>
        <w:spacing w:after="0" w:line="259" w:lineRule="auto"/>
        <w:ind w:left="1" w:right="0" w:firstLine="0"/>
        <w:jc w:val="center"/>
      </w:pPr>
      <w:r>
        <w:rPr>
          <w:b/>
        </w:rPr>
        <w:t xml:space="preserve">Assinaturas </w:t>
      </w:r>
    </w:p>
    <w:tbl>
      <w:tblPr>
        <w:tblStyle w:val="TableGrid"/>
        <w:tblW w:w="9359" w:type="dxa"/>
        <w:tblInd w:w="-285" w:type="dxa"/>
        <w:tblCellMar>
          <w:top w:w="50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4537"/>
        <w:gridCol w:w="4822"/>
      </w:tblGrid>
      <w:tr w:rsidR="005A047D" w14:paraId="4AE825B1" w14:textId="77777777">
        <w:trPr>
          <w:trHeight w:val="14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6B0F" w14:textId="77777777" w:rsidR="005A047D" w:rsidRDefault="0014178B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</w:rPr>
              <w:t xml:space="preserve">Avani Fulni-ô </w:t>
            </w:r>
          </w:p>
          <w:p w14:paraId="15AE1F8E" w14:textId="77777777" w:rsidR="005A047D" w:rsidRDefault="0014178B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</w:rPr>
              <w:t xml:space="preserve">Presidente do Conselho </w:t>
            </w:r>
          </w:p>
          <w:p w14:paraId="53FD3CDD" w14:textId="77777777" w:rsidR="005A047D" w:rsidRDefault="001417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514BF8E" w14:textId="77777777" w:rsidR="005A047D" w:rsidRDefault="001417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92F" w14:textId="77777777" w:rsidR="005A047D" w:rsidRDefault="0014178B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</w:rPr>
              <w:t xml:space="preserve">Milena Cristina </w:t>
            </w:r>
          </w:p>
          <w:p w14:paraId="0506EEAC" w14:textId="77777777" w:rsidR="005A047D" w:rsidRDefault="0014178B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Representante de Governo </w:t>
            </w:r>
          </w:p>
          <w:p w14:paraId="75FEF3DA" w14:textId="77777777" w:rsidR="005A047D" w:rsidRDefault="0014178B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 </w:t>
            </w:r>
          </w:p>
          <w:p w14:paraId="50DDFB50" w14:textId="77777777" w:rsidR="005A047D" w:rsidRDefault="0014178B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 </w:t>
            </w:r>
          </w:p>
          <w:p w14:paraId="6EFF157C" w14:textId="77777777" w:rsidR="005A047D" w:rsidRDefault="0014178B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A047D" w14:paraId="104E4518" w14:textId="77777777">
        <w:trPr>
          <w:trHeight w:val="118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3A7" w14:textId="77777777" w:rsidR="005A047D" w:rsidRDefault="0014178B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>Maria Guarani M’</w:t>
            </w:r>
            <w:proofErr w:type="spellStart"/>
            <w:r>
              <w:rPr>
                <w:b/>
              </w:rPr>
              <w:t>Bya</w:t>
            </w:r>
            <w:proofErr w:type="spellEnd"/>
            <w:r>
              <w:rPr>
                <w:b/>
              </w:rPr>
              <w:t xml:space="preserve"> </w:t>
            </w:r>
          </w:p>
          <w:p w14:paraId="1D30BB08" w14:textId="77777777" w:rsidR="005A047D" w:rsidRDefault="0014178B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Vice presidente do Conselho </w:t>
            </w:r>
          </w:p>
          <w:p w14:paraId="7183E1D1" w14:textId="77777777" w:rsidR="005A047D" w:rsidRDefault="001417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B7B0CCE" w14:textId="77777777" w:rsidR="005A047D" w:rsidRDefault="001417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1AAB" w14:textId="77777777" w:rsidR="005A047D" w:rsidRDefault="0014178B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rPr>
                <w:b/>
              </w:rPr>
              <w:t>Wagneyza</w:t>
            </w:r>
            <w:proofErr w:type="spellEnd"/>
            <w:r>
              <w:rPr>
                <w:b/>
              </w:rPr>
              <w:t xml:space="preserve"> Fernandes </w:t>
            </w:r>
          </w:p>
          <w:p w14:paraId="27B6F840" w14:textId="77777777" w:rsidR="005A047D" w:rsidRDefault="0014178B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</w:rPr>
              <w:t xml:space="preserve">Representante de Governo – Titular SMDHC </w:t>
            </w:r>
          </w:p>
          <w:p w14:paraId="315E78D5" w14:textId="77777777" w:rsidR="005A047D" w:rsidRDefault="0014178B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A047D" w14:paraId="78173B22" w14:textId="77777777">
        <w:trPr>
          <w:trHeight w:val="14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68A9" w14:textId="77777777" w:rsidR="005A047D" w:rsidRDefault="0014178B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rPr>
                <w:b/>
              </w:rPr>
              <w:lastRenderedPageBreak/>
              <w:t>Tranquilino</w:t>
            </w:r>
            <w:proofErr w:type="spellEnd"/>
            <w:r>
              <w:rPr>
                <w:b/>
              </w:rPr>
              <w:t xml:space="preserve"> - Guarani </w:t>
            </w:r>
          </w:p>
          <w:p w14:paraId="6E64E50C" w14:textId="77777777" w:rsidR="005A047D" w:rsidRDefault="0014178B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 xml:space="preserve">Representação Sociedade Civil -Titular </w:t>
            </w:r>
          </w:p>
          <w:p w14:paraId="2FB3EC68" w14:textId="77777777" w:rsidR="005A047D" w:rsidRDefault="001417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4810CC0" w14:textId="77777777" w:rsidR="005A047D" w:rsidRDefault="001417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F9B8" w14:textId="77777777" w:rsidR="005A047D" w:rsidRDefault="0014178B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 </w:t>
            </w:r>
          </w:p>
          <w:p w14:paraId="09C2C4C4" w14:textId="77777777" w:rsidR="005A047D" w:rsidRDefault="0014178B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Wilma Tanaka </w:t>
            </w:r>
          </w:p>
          <w:p w14:paraId="10033A2B" w14:textId="77777777" w:rsidR="005A047D" w:rsidRDefault="0014178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Representante de Governo – Suplente SMADS </w:t>
            </w:r>
          </w:p>
          <w:p w14:paraId="66DB487A" w14:textId="77777777" w:rsidR="005A047D" w:rsidRDefault="0014178B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 </w:t>
            </w:r>
          </w:p>
          <w:p w14:paraId="05786DC1" w14:textId="77777777" w:rsidR="005A047D" w:rsidRDefault="0014178B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A047D" w14:paraId="2FCD029C" w14:textId="77777777">
        <w:trPr>
          <w:trHeight w:val="11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8622" w14:textId="77777777" w:rsidR="005A047D" w:rsidRDefault="0014178B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rPr>
                <w:b/>
              </w:rPr>
              <w:t>Yradzú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Karirí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Xocó</w:t>
            </w:r>
            <w:proofErr w:type="spellEnd"/>
            <w:r>
              <w:rPr>
                <w:b/>
              </w:rPr>
              <w:t xml:space="preserve"> </w:t>
            </w:r>
          </w:p>
          <w:p w14:paraId="15DA86B8" w14:textId="77777777" w:rsidR="005A047D" w:rsidRDefault="0014178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Representante Sociedade Civil – Titular </w:t>
            </w:r>
          </w:p>
          <w:p w14:paraId="7B6EF571" w14:textId="77777777" w:rsidR="005A047D" w:rsidRDefault="0014178B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ACADD85" w14:textId="77777777" w:rsidR="005A047D" w:rsidRDefault="0014178B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FB2" w14:textId="77777777" w:rsidR="005A047D" w:rsidRDefault="0014178B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749A430" w14:textId="77777777" w:rsidR="005A047D" w:rsidRDefault="0014178B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F2CABF1" w14:textId="77777777" w:rsidR="005A047D" w:rsidRDefault="0014178B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A047D" w14:paraId="5D818BE8" w14:textId="77777777">
        <w:trPr>
          <w:trHeight w:val="1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EE24" w14:textId="77777777" w:rsidR="005A047D" w:rsidRDefault="0014178B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Renato Pankararé </w:t>
            </w:r>
          </w:p>
          <w:p w14:paraId="3761C241" w14:textId="77777777" w:rsidR="005A047D" w:rsidRDefault="0014178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Representante Sociedade Civil – Titular </w:t>
            </w:r>
          </w:p>
          <w:p w14:paraId="3C661606" w14:textId="77777777" w:rsidR="005A047D" w:rsidRDefault="0014178B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367B8ED" w14:textId="77777777" w:rsidR="005A047D" w:rsidRDefault="0014178B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2049" w14:textId="77777777" w:rsidR="005A047D" w:rsidRDefault="0014178B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D994F3C" w14:textId="77777777" w:rsidR="005A047D" w:rsidRDefault="0014178B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4DE13EB0" w14:textId="77777777" w:rsidR="005A047D" w:rsidRDefault="0014178B">
      <w:pPr>
        <w:spacing w:line="259" w:lineRule="auto"/>
        <w:ind w:right="0" w:firstLine="0"/>
      </w:pPr>
      <w:r>
        <w:rPr>
          <w:b/>
        </w:rPr>
        <w:t xml:space="preserve"> </w:t>
      </w:r>
    </w:p>
    <w:p w14:paraId="552EC5FF" w14:textId="77777777" w:rsidR="005A047D" w:rsidRDefault="0014178B">
      <w:pPr>
        <w:spacing w:after="134" w:line="259" w:lineRule="auto"/>
        <w:ind w:right="0" w:firstLine="0"/>
      </w:pPr>
      <w:r>
        <w:rPr>
          <w:b/>
        </w:rPr>
        <w:t xml:space="preserve"> </w:t>
      </w:r>
    </w:p>
    <w:p w14:paraId="7E6E9C3A" w14:textId="77777777" w:rsidR="005A047D" w:rsidRDefault="0014178B">
      <w:pPr>
        <w:spacing w:after="0" w:line="259" w:lineRule="auto"/>
        <w:ind w:right="0" w:firstLine="0"/>
      </w:pPr>
      <w:r>
        <w:rPr>
          <w:sz w:val="22"/>
        </w:rPr>
        <w:t xml:space="preserve"> </w:t>
      </w:r>
    </w:p>
    <w:sectPr w:rsidR="005A047D">
      <w:pgSz w:w="11905" w:h="16840"/>
      <w:pgMar w:top="1421" w:right="1692" w:bottom="159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7777"/>
    <w:multiLevelType w:val="hybridMultilevel"/>
    <w:tmpl w:val="CE18076E"/>
    <w:lvl w:ilvl="0" w:tplc="835E448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072B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2A31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0A47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EA12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6390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4C8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8ACC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49AD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B0072"/>
    <w:multiLevelType w:val="hybridMultilevel"/>
    <w:tmpl w:val="8DDE089A"/>
    <w:lvl w:ilvl="0" w:tplc="3DDC98B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A350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AC34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D56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EC39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66B0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12C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761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0658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8178787">
    <w:abstractNumId w:val="1"/>
  </w:num>
  <w:num w:numId="2" w16cid:durableId="146461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7D"/>
    <w:rsid w:val="0014178B"/>
    <w:rsid w:val="001B3FC5"/>
    <w:rsid w:val="00207BD0"/>
    <w:rsid w:val="00366EDD"/>
    <w:rsid w:val="003E4788"/>
    <w:rsid w:val="0051655E"/>
    <w:rsid w:val="005A047D"/>
    <w:rsid w:val="0060030A"/>
    <w:rsid w:val="006317FE"/>
    <w:rsid w:val="0089634C"/>
    <w:rsid w:val="00DC1660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7350"/>
  <w15:docId w15:val="{09A5C300-75C9-48C4-916D-C7347B81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7" w:lineRule="auto"/>
      <w:ind w:right="3" w:firstLine="701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1952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Brito</dc:creator>
  <cp:keywords/>
  <cp:lastModifiedBy>Milena Cristina de Abreu Marques</cp:lastModifiedBy>
  <cp:revision>4</cp:revision>
  <dcterms:created xsi:type="dcterms:W3CDTF">2023-07-31T14:35:00Z</dcterms:created>
  <dcterms:modified xsi:type="dcterms:W3CDTF">2023-07-31T14:40:00Z</dcterms:modified>
</cp:coreProperties>
</file>