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C3A25" w14:textId="77777777" w:rsidR="00397B13" w:rsidRDefault="00397B13" w:rsidP="004F5861">
      <w:pPr>
        <w:spacing w:line="360" w:lineRule="auto"/>
        <w:rPr>
          <w:rFonts w:ascii="Tahoma" w:hAnsi="Tahoma" w:cs="Tahoma"/>
          <w:sz w:val="20"/>
          <w:szCs w:val="20"/>
          <w:lang w:eastAsia="en-US"/>
        </w:rPr>
      </w:pPr>
    </w:p>
    <w:p w14:paraId="479F7A6D" w14:textId="194FA74F" w:rsidR="00397B13" w:rsidRDefault="00397B13" w:rsidP="008D0780">
      <w:pPr>
        <w:jc w:val="center"/>
        <w:rPr>
          <w:rFonts w:ascii="Tahoma" w:hAnsi="Tahoma" w:cs="Tahoma"/>
          <w:b/>
          <w:bCs/>
          <w:sz w:val="20"/>
          <w:szCs w:val="20"/>
        </w:rPr>
      </w:pPr>
      <w:r w:rsidRPr="003A556A">
        <w:rPr>
          <w:rFonts w:ascii="Tahoma" w:hAnsi="Tahoma" w:cs="Tahoma"/>
          <w:b/>
          <w:bCs/>
          <w:sz w:val="20"/>
          <w:szCs w:val="20"/>
        </w:rPr>
        <w:t xml:space="preserve">ANEXO </w:t>
      </w:r>
      <w:r w:rsidR="004104E1">
        <w:rPr>
          <w:rFonts w:ascii="Tahoma" w:hAnsi="Tahoma" w:cs="Tahoma"/>
          <w:b/>
          <w:bCs/>
          <w:sz w:val="20"/>
          <w:szCs w:val="20"/>
        </w:rPr>
        <w:t>06</w:t>
      </w:r>
    </w:p>
    <w:p w14:paraId="4C289165" w14:textId="77777777" w:rsidR="00397B13" w:rsidRPr="003A556A" w:rsidRDefault="00397B13" w:rsidP="008D0780">
      <w:pPr>
        <w:jc w:val="center"/>
        <w:rPr>
          <w:rFonts w:ascii="Tahoma" w:hAnsi="Tahoma" w:cs="Tahoma"/>
          <w:b/>
          <w:bCs/>
          <w:sz w:val="20"/>
          <w:szCs w:val="20"/>
        </w:rPr>
      </w:pPr>
      <w:r>
        <w:rPr>
          <w:rFonts w:ascii="Tahoma" w:hAnsi="Tahoma" w:cs="Tahoma"/>
          <w:b/>
          <w:bCs/>
          <w:sz w:val="20"/>
          <w:szCs w:val="20"/>
        </w:rPr>
        <w:t>MINUTA DO TERMO DE FOMENTO</w:t>
      </w:r>
    </w:p>
    <w:p w14:paraId="4B5EBBD0" w14:textId="77777777" w:rsidR="00397B13" w:rsidRDefault="00397B13" w:rsidP="008D0780">
      <w:pPr>
        <w:spacing w:line="360" w:lineRule="auto"/>
        <w:ind w:hanging="2"/>
        <w:rPr>
          <w:rFonts w:ascii="Tahoma" w:hAnsi="Tahoma" w:cs="Tahoma"/>
          <w:b/>
          <w:bCs/>
          <w:sz w:val="20"/>
          <w:szCs w:val="20"/>
        </w:rPr>
      </w:pPr>
    </w:p>
    <w:p w14:paraId="0C57F887" w14:textId="77777777" w:rsidR="00397B13" w:rsidRDefault="00397B13" w:rsidP="008D0780">
      <w:pPr>
        <w:spacing w:line="360" w:lineRule="auto"/>
        <w:ind w:hanging="2"/>
        <w:rPr>
          <w:rFonts w:ascii="Tahoma" w:hAnsi="Tahoma" w:cs="Tahoma"/>
          <w:b/>
          <w:bCs/>
          <w:sz w:val="20"/>
          <w:szCs w:val="20"/>
        </w:rPr>
      </w:pPr>
    </w:p>
    <w:p w14:paraId="25E5FDFB" w14:textId="77777777" w:rsidR="00397B13" w:rsidRPr="00C81B0E" w:rsidRDefault="00397B13" w:rsidP="00587B62">
      <w:pPr>
        <w:spacing w:line="360" w:lineRule="auto"/>
        <w:jc w:val="center"/>
        <w:rPr>
          <w:rFonts w:ascii="Tahoma" w:hAnsi="Tahoma" w:cs="Tahoma"/>
          <w:b/>
          <w:bCs/>
          <w:sz w:val="20"/>
          <w:szCs w:val="20"/>
        </w:rPr>
      </w:pPr>
      <w:r w:rsidRPr="0018678B">
        <w:rPr>
          <w:rFonts w:ascii="Tahoma" w:hAnsi="Tahoma" w:cs="Tahoma"/>
          <w:b/>
          <w:bCs/>
          <w:sz w:val="20"/>
          <w:szCs w:val="20"/>
        </w:rPr>
        <w:t>TERMO DE FOMENTO Nº ____/</w:t>
      </w:r>
      <w:r w:rsidR="00CD36A2">
        <w:rPr>
          <w:rFonts w:ascii="Tahoma" w:hAnsi="Tahoma" w:cs="Tahoma"/>
          <w:b/>
          <w:bCs/>
          <w:sz w:val="20"/>
          <w:szCs w:val="20"/>
        </w:rPr>
        <w:t>2020/</w:t>
      </w:r>
      <w:r w:rsidRPr="0018678B">
        <w:rPr>
          <w:rFonts w:ascii="Tahoma" w:hAnsi="Tahoma" w:cs="Tahoma"/>
          <w:b/>
          <w:bCs/>
          <w:sz w:val="20"/>
          <w:szCs w:val="20"/>
        </w:rPr>
        <w:t>SMDHC</w:t>
      </w:r>
    </w:p>
    <w:p w14:paraId="034D3CBC" w14:textId="52136E39" w:rsidR="00397B13" w:rsidRPr="00C81B0E" w:rsidRDefault="00990346" w:rsidP="00587B62">
      <w:pPr>
        <w:spacing w:line="360" w:lineRule="auto"/>
        <w:jc w:val="center"/>
        <w:rPr>
          <w:rFonts w:ascii="Tahoma" w:hAnsi="Tahoma" w:cs="Tahoma"/>
          <w:b/>
          <w:bCs/>
          <w:sz w:val="20"/>
          <w:szCs w:val="20"/>
        </w:rPr>
      </w:pPr>
      <w:r>
        <w:rPr>
          <w:rFonts w:ascii="Tahoma" w:hAnsi="Tahoma" w:cs="Tahoma"/>
          <w:b/>
          <w:bCs/>
          <w:sz w:val="20"/>
          <w:szCs w:val="20"/>
        </w:rPr>
        <w:t xml:space="preserve">PROCESSO SEI: </w:t>
      </w:r>
    </w:p>
    <w:p w14:paraId="451FB4C4" w14:textId="77777777" w:rsidR="00397B13" w:rsidRPr="00C81B0E" w:rsidRDefault="00397B13" w:rsidP="00587B62">
      <w:pPr>
        <w:spacing w:line="360" w:lineRule="auto"/>
        <w:jc w:val="center"/>
        <w:rPr>
          <w:rFonts w:ascii="Tahoma" w:hAnsi="Tahoma" w:cs="Tahoma"/>
          <w:b/>
          <w:bCs/>
          <w:sz w:val="20"/>
          <w:szCs w:val="20"/>
        </w:rPr>
      </w:pPr>
    </w:p>
    <w:p w14:paraId="6C668D15"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CONCEDENTE</w:t>
      </w:r>
    </w:p>
    <w:p w14:paraId="353F5338" w14:textId="4E78548E"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sz w:val="20"/>
          <w:szCs w:val="20"/>
        </w:rPr>
        <w:t>SECRETARIA MUNICIPAL DE DIREITOS HUMANOS E CIDADANIA</w:t>
      </w:r>
      <w:r w:rsidR="00990346">
        <w:rPr>
          <w:rFonts w:ascii="Tahoma" w:hAnsi="Tahoma" w:cs="Tahoma"/>
          <w:sz w:val="20"/>
          <w:szCs w:val="20"/>
        </w:rPr>
        <w:t xml:space="preserve"> - SMDHC</w:t>
      </w:r>
    </w:p>
    <w:p w14:paraId="59685718" w14:textId="77777777" w:rsidR="00397B13" w:rsidRPr="00C81B0E" w:rsidRDefault="00397B13" w:rsidP="00587B62">
      <w:pPr>
        <w:spacing w:line="360" w:lineRule="auto"/>
        <w:jc w:val="center"/>
        <w:rPr>
          <w:rFonts w:ascii="Tahoma" w:hAnsi="Tahoma" w:cs="Tahoma"/>
          <w:b/>
          <w:bCs/>
          <w:sz w:val="20"/>
          <w:szCs w:val="20"/>
        </w:rPr>
      </w:pPr>
    </w:p>
    <w:p w14:paraId="12E22610" w14:textId="77777777" w:rsidR="00397B13" w:rsidRPr="00C81B0E" w:rsidRDefault="00397B13" w:rsidP="00587B62">
      <w:pPr>
        <w:spacing w:line="360" w:lineRule="auto"/>
        <w:jc w:val="center"/>
        <w:rPr>
          <w:rFonts w:ascii="Tahoma" w:hAnsi="Tahoma" w:cs="Tahoma"/>
          <w:b/>
          <w:bCs/>
          <w:sz w:val="20"/>
          <w:szCs w:val="20"/>
        </w:rPr>
      </w:pPr>
    </w:p>
    <w:p w14:paraId="08DAEE56"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 xml:space="preserve">PARCEIRA </w:t>
      </w:r>
    </w:p>
    <w:p w14:paraId="51F60766" w14:textId="77777777" w:rsidR="00397B13" w:rsidRPr="00C81B0E" w:rsidRDefault="00397B13" w:rsidP="00587B62">
      <w:pPr>
        <w:spacing w:line="360" w:lineRule="auto"/>
        <w:jc w:val="center"/>
        <w:rPr>
          <w:rFonts w:ascii="Tahoma" w:hAnsi="Tahoma" w:cs="Tahoma"/>
          <w:sz w:val="20"/>
          <w:szCs w:val="20"/>
        </w:rPr>
      </w:pPr>
    </w:p>
    <w:p w14:paraId="6686A9B2" w14:textId="77777777" w:rsidR="00397B13" w:rsidRPr="00C81B0E" w:rsidRDefault="00397B13" w:rsidP="00587B62">
      <w:pPr>
        <w:spacing w:line="360" w:lineRule="auto"/>
        <w:jc w:val="center"/>
        <w:rPr>
          <w:rFonts w:ascii="Tahoma" w:hAnsi="Tahoma" w:cs="Tahoma"/>
          <w:sz w:val="20"/>
          <w:szCs w:val="20"/>
        </w:rPr>
      </w:pPr>
      <w:r w:rsidRPr="0018678B">
        <w:rPr>
          <w:rFonts w:ascii="Tahoma" w:hAnsi="Tahoma" w:cs="Tahoma"/>
          <w:sz w:val="20"/>
          <w:szCs w:val="20"/>
        </w:rPr>
        <w:t>Nome da ORGANIZAÇÃO...</w:t>
      </w:r>
      <w:bookmarkStart w:id="0" w:name="_GoBack"/>
      <w:bookmarkEnd w:id="0"/>
    </w:p>
    <w:p w14:paraId="5729031B" w14:textId="77777777" w:rsidR="00397B13" w:rsidRPr="00C81B0E" w:rsidRDefault="00397B13" w:rsidP="00587B62">
      <w:pPr>
        <w:spacing w:line="360" w:lineRule="auto"/>
        <w:jc w:val="both"/>
        <w:rPr>
          <w:rFonts w:ascii="Tahoma" w:hAnsi="Tahoma" w:cs="Tahoma"/>
          <w:sz w:val="20"/>
          <w:szCs w:val="20"/>
        </w:rPr>
      </w:pPr>
    </w:p>
    <w:p w14:paraId="5B68FCCC" w14:textId="77777777" w:rsidR="00397B13" w:rsidRPr="00C81B0E" w:rsidRDefault="00397B13" w:rsidP="00587B62">
      <w:pPr>
        <w:spacing w:line="360" w:lineRule="auto"/>
        <w:jc w:val="both"/>
        <w:rPr>
          <w:rFonts w:ascii="Tahoma" w:hAnsi="Tahoma" w:cs="Tahoma"/>
          <w:sz w:val="20"/>
          <w:szCs w:val="20"/>
        </w:rPr>
      </w:pPr>
    </w:p>
    <w:p w14:paraId="65B6FDB7"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 xml:space="preserve">A </w:t>
      </w:r>
      <w:r w:rsidRPr="00C81B0E">
        <w:rPr>
          <w:rFonts w:ascii="Tahoma" w:hAnsi="Tahoma" w:cs="Tahoma"/>
          <w:b/>
          <w:bCs/>
          <w:sz w:val="20"/>
          <w:szCs w:val="20"/>
        </w:rPr>
        <w:t>SECRETARIA MUNICIPAL DE DIREITOS HUMANOS E CIDADANIA - SMDHC</w:t>
      </w:r>
      <w:r w:rsidRPr="00C81B0E">
        <w:rPr>
          <w:rFonts w:ascii="Tahoma" w:hAnsi="Tahoma" w:cs="Tahoma"/>
          <w:sz w:val="20"/>
          <w:szCs w:val="20"/>
        </w:rPr>
        <w:t xml:space="preserve">, inscrita no CNPJ/MF sob n° 07420613/0001-27, com sede no Edifício São Joaquim, na Rua Líbero Badaró, 119, Centro, São Paulo – SP, representada pela Secretário/a...., doravante denominada CONCEDENTE, e o .....inscrito no CNPJ/MF sob o nº....., com filial nesta Capital, na......., neste ato representado por seu </w:t>
      </w:r>
      <w:r w:rsidRPr="0018678B">
        <w:rPr>
          <w:rFonts w:ascii="Tahoma" w:hAnsi="Tahoma" w:cs="Tahoma"/>
          <w:sz w:val="20"/>
          <w:szCs w:val="20"/>
        </w:rPr>
        <w:t>presidente, ......,</w:t>
      </w:r>
      <w:r w:rsidRPr="00C81B0E">
        <w:rPr>
          <w:rFonts w:ascii="Tahoma" w:hAnsi="Tahoma" w:cs="Tahoma"/>
          <w:sz w:val="20"/>
          <w:szCs w:val="20"/>
        </w:rPr>
        <w:t xml:space="preserve"> portador da Cédula de Identidade RG nº........, inscrito no CPF/MF sob o nº, doravante designada simplesmente </w:t>
      </w:r>
      <w:r w:rsidRPr="00C81B0E">
        <w:rPr>
          <w:rFonts w:ascii="Tahoma" w:hAnsi="Tahoma" w:cs="Tahoma"/>
          <w:b/>
          <w:bCs/>
          <w:sz w:val="20"/>
          <w:szCs w:val="20"/>
        </w:rPr>
        <w:t>PARCEIRA</w:t>
      </w:r>
      <w:r w:rsidRPr="00C81B0E">
        <w:rPr>
          <w:rFonts w:ascii="Tahoma" w:hAnsi="Tahoma" w:cs="Tahoma"/>
          <w:sz w:val="20"/>
          <w:szCs w:val="20"/>
        </w:rPr>
        <w:t xml:space="preserve">, </w:t>
      </w:r>
      <w:r w:rsidRPr="00C81B0E">
        <w:rPr>
          <w:rFonts w:ascii="Tahoma" w:hAnsi="Tahoma" w:cs="Tahoma"/>
          <w:b/>
          <w:bCs/>
          <w:sz w:val="20"/>
          <w:szCs w:val="20"/>
        </w:rPr>
        <w:t>RESOLVEM</w:t>
      </w:r>
      <w:r w:rsidRPr="00C81B0E">
        <w:rPr>
          <w:rFonts w:ascii="Tahoma" w:hAnsi="Tahoma" w:cs="Tahoma"/>
          <w:sz w:val="20"/>
          <w:szCs w:val="20"/>
        </w:rPr>
        <w:t xml:space="preserve"> firmar o presente </w:t>
      </w:r>
      <w:r w:rsidRPr="00C81B0E">
        <w:rPr>
          <w:rFonts w:ascii="Tahoma" w:hAnsi="Tahoma" w:cs="Tahoma"/>
          <w:b/>
          <w:bCs/>
          <w:sz w:val="20"/>
          <w:szCs w:val="20"/>
        </w:rPr>
        <w:t>TERMO DE FOMENTO</w:t>
      </w:r>
      <w:r w:rsidRPr="00C81B0E">
        <w:rPr>
          <w:rFonts w:ascii="Tahoma" w:hAnsi="Tahoma" w:cs="Tahoma"/>
          <w:sz w:val="20"/>
          <w:szCs w:val="20"/>
        </w:rPr>
        <w:t>, com fulcro na Lei Federal sob nº 13.019/2014, no Decreto Municipal nº 5</w:t>
      </w:r>
      <w:r>
        <w:rPr>
          <w:rFonts w:ascii="Tahoma" w:hAnsi="Tahoma" w:cs="Tahoma"/>
          <w:sz w:val="20"/>
          <w:szCs w:val="20"/>
        </w:rPr>
        <w:t>7.575/2016 e na Portaria nº 140</w:t>
      </w:r>
      <w:r w:rsidRPr="00C81B0E">
        <w:rPr>
          <w:rFonts w:ascii="Tahoma" w:hAnsi="Tahoma" w:cs="Tahoma"/>
          <w:sz w:val="20"/>
          <w:szCs w:val="20"/>
        </w:rPr>
        <w:t xml:space="preserve">/SMDHC/2019, nos autos do PA, e no Edital de </w:t>
      </w:r>
      <w:r w:rsidR="00CD36A2">
        <w:rPr>
          <w:rFonts w:ascii="Tahoma" w:hAnsi="Tahoma" w:cs="Tahoma"/>
          <w:sz w:val="20"/>
          <w:szCs w:val="20"/>
        </w:rPr>
        <w:t xml:space="preserve"> Credenciamento </w:t>
      </w:r>
      <w:r>
        <w:rPr>
          <w:rFonts w:ascii="Tahoma" w:hAnsi="Tahoma" w:cs="Tahoma"/>
          <w:sz w:val="20"/>
          <w:szCs w:val="20"/>
        </w:rPr>
        <w:t>nº / SMDHC/FMID/</w:t>
      </w:r>
      <w:r w:rsidRPr="00C81B0E">
        <w:rPr>
          <w:rFonts w:ascii="Tahoma" w:hAnsi="Tahoma" w:cs="Tahoma"/>
          <w:sz w:val="20"/>
          <w:szCs w:val="20"/>
        </w:rPr>
        <w:t>20</w:t>
      </w:r>
      <w:r w:rsidR="00CD36A2">
        <w:rPr>
          <w:rFonts w:ascii="Tahoma" w:hAnsi="Tahoma" w:cs="Tahoma"/>
          <w:sz w:val="20"/>
          <w:szCs w:val="20"/>
        </w:rPr>
        <w:t>20</w:t>
      </w:r>
      <w:r w:rsidRPr="00C81B0E">
        <w:rPr>
          <w:rFonts w:ascii="Tahoma" w:hAnsi="Tahoma" w:cs="Tahoma"/>
          <w:sz w:val="20"/>
          <w:szCs w:val="20"/>
        </w:rPr>
        <w:t>, que deverá ser executado fielmente pelas partes, de acordo com as cláusulas pactuadas e a legislação pertinente, mediante as cláusulas e condições seguintes:</w:t>
      </w:r>
    </w:p>
    <w:p w14:paraId="38304CFE"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PRIMEIRA</w:t>
      </w:r>
    </w:p>
    <w:p w14:paraId="30067B40"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OBJETO</w:t>
      </w:r>
    </w:p>
    <w:p w14:paraId="03B30AF7" w14:textId="77777777" w:rsidR="00397B13" w:rsidRPr="00C81B0E" w:rsidRDefault="00397B13" w:rsidP="00587B62">
      <w:pPr>
        <w:spacing w:line="360" w:lineRule="auto"/>
        <w:jc w:val="both"/>
        <w:rPr>
          <w:rFonts w:ascii="Tahoma" w:hAnsi="Tahoma" w:cs="Tahoma"/>
          <w:sz w:val="20"/>
          <w:szCs w:val="20"/>
        </w:rPr>
      </w:pPr>
    </w:p>
    <w:p w14:paraId="06B84880" w14:textId="258C6366"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 xml:space="preserve">1.1. Constitui objeto do presente a concentração de esforços entre os Partícipes para a implementação do </w:t>
      </w:r>
      <w:r w:rsidR="004104E1">
        <w:rPr>
          <w:rFonts w:ascii="Tahoma" w:hAnsi="Tahoma" w:cs="Tahoma"/>
          <w:sz w:val="20"/>
          <w:szCs w:val="20"/>
        </w:rPr>
        <w:t>P</w:t>
      </w:r>
      <w:r w:rsidRPr="00C81B0E">
        <w:rPr>
          <w:rFonts w:ascii="Tahoma" w:hAnsi="Tahoma" w:cs="Tahoma"/>
          <w:sz w:val="20"/>
          <w:szCs w:val="20"/>
        </w:rPr>
        <w:t>rojeto .....</w:t>
      </w:r>
    </w:p>
    <w:p w14:paraId="66C214C3"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SEGUNDA</w:t>
      </w:r>
    </w:p>
    <w:p w14:paraId="3EA37ADF"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 xml:space="preserve">DO MONITORAMENTO E AVALIAÇÃO </w:t>
      </w:r>
    </w:p>
    <w:p w14:paraId="20AD846C" w14:textId="77777777" w:rsidR="00397B13" w:rsidRPr="00C81B0E" w:rsidRDefault="00397B13" w:rsidP="00587B62">
      <w:pPr>
        <w:spacing w:line="360" w:lineRule="auto"/>
        <w:jc w:val="both"/>
        <w:rPr>
          <w:rFonts w:ascii="Tahoma" w:hAnsi="Tahoma" w:cs="Tahoma"/>
          <w:sz w:val="20"/>
          <w:szCs w:val="20"/>
        </w:rPr>
      </w:pPr>
    </w:p>
    <w:p w14:paraId="3BBDDAAF" w14:textId="77777777" w:rsidR="00397B13" w:rsidRPr="00C81B0E" w:rsidRDefault="00397B13" w:rsidP="00587B62">
      <w:pPr>
        <w:spacing w:line="360" w:lineRule="auto"/>
        <w:rPr>
          <w:rFonts w:ascii="Tahoma" w:hAnsi="Tahoma" w:cs="Tahoma"/>
          <w:sz w:val="20"/>
          <w:szCs w:val="20"/>
        </w:rPr>
      </w:pPr>
      <w:r w:rsidRPr="00C81B0E">
        <w:rPr>
          <w:rFonts w:ascii="Tahoma" w:hAnsi="Tahoma" w:cs="Tahoma"/>
          <w:sz w:val="20"/>
          <w:szCs w:val="20"/>
        </w:rPr>
        <w:t>2.1. A execução do projeto será acompanhada e fiscalizada, conforme Lei Federal nº 13.019/2014, Decreto Municip</w:t>
      </w:r>
      <w:r>
        <w:rPr>
          <w:rFonts w:ascii="Tahoma" w:hAnsi="Tahoma" w:cs="Tahoma"/>
          <w:sz w:val="20"/>
          <w:szCs w:val="20"/>
        </w:rPr>
        <w:t>al nº 57.575/2016 e Portaria nº 140</w:t>
      </w:r>
      <w:r w:rsidRPr="00C81B0E">
        <w:rPr>
          <w:rFonts w:ascii="Tahoma" w:hAnsi="Tahoma" w:cs="Tahoma"/>
          <w:sz w:val="20"/>
          <w:szCs w:val="20"/>
        </w:rPr>
        <w:t xml:space="preserve"> SMDHC/2019 por meio do gestor, baseados em relatórios de monitoramento e avaliação, visitas técnicas, manifestação e pareceres da Comissão de </w:t>
      </w:r>
      <w:r w:rsidRPr="00C81B0E">
        <w:rPr>
          <w:rFonts w:ascii="Tahoma" w:hAnsi="Tahoma" w:cs="Tahoma"/>
          <w:sz w:val="20"/>
          <w:szCs w:val="20"/>
        </w:rPr>
        <w:lastRenderedPageBreak/>
        <w:t>Monitoramento e Avaliação e nos relatórios de cumprimento de metas e execução do objeto a ser elaborado pela Parceira.</w:t>
      </w:r>
    </w:p>
    <w:p w14:paraId="7D7B2EEE"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2.2. O gestor terá livre acesso, a qualquer tempo, a todos os locais, documentos, atos e fatos relacionados direta ou indiretamente com a colaboração, devendo, entre outras atribuições da Lei Federal nº 13.019/2014, Decreto Municipa</w:t>
      </w:r>
      <w:r>
        <w:rPr>
          <w:rFonts w:ascii="Tahoma" w:hAnsi="Tahoma" w:cs="Tahoma"/>
          <w:sz w:val="20"/>
          <w:szCs w:val="20"/>
        </w:rPr>
        <w:t xml:space="preserve">l nº 57.575/2016 e Portaria nº 140 </w:t>
      </w:r>
      <w:r w:rsidRPr="00C81B0E">
        <w:rPr>
          <w:rFonts w:ascii="Tahoma" w:hAnsi="Tahoma" w:cs="Tahoma"/>
          <w:sz w:val="20"/>
          <w:szCs w:val="20"/>
        </w:rPr>
        <w:t>SMDHC/2019, elaborar parecer técnico sobre a prestação de contas, tudo devidamente documentado e embasado, entre outras atividades indicadas na clausula sexta.</w:t>
      </w:r>
    </w:p>
    <w:p w14:paraId="79C46BF9"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2.3. A Comissão de Monitoramento e Avaliação será designada pelo Conselho de Orientação e Administração Técnica – COAT, órgão assessor do Grande Conselho Municipal do Idoso – GCMI nos termos do § 2º do art. 59, da Lei nº Federal nº 13.019/2014, do art. 48 e do § 2º do art. 49, do Decreto Municipal nº 57.575/2016, e de seus regimentos internos.</w:t>
      </w:r>
    </w:p>
    <w:p w14:paraId="7F6F380C" w14:textId="77777777" w:rsidR="00397B13" w:rsidRPr="00C81B0E" w:rsidRDefault="00397B13" w:rsidP="00587B62">
      <w:pPr>
        <w:spacing w:line="360" w:lineRule="auto"/>
        <w:jc w:val="both"/>
        <w:rPr>
          <w:rFonts w:ascii="Tahoma" w:hAnsi="Tahoma" w:cs="Tahoma"/>
          <w:sz w:val="20"/>
          <w:szCs w:val="20"/>
        </w:rPr>
      </w:pPr>
    </w:p>
    <w:p w14:paraId="68C629A8"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TERCEIRA</w:t>
      </w:r>
    </w:p>
    <w:p w14:paraId="1538F145"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DOS DEVERES DOS PARTÍCIPES</w:t>
      </w:r>
    </w:p>
    <w:p w14:paraId="448C925F" w14:textId="77777777" w:rsidR="00397B13" w:rsidRPr="00C81B0E" w:rsidRDefault="00397B13" w:rsidP="00587B62">
      <w:pPr>
        <w:spacing w:line="360" w:lineRule="auto"/>
        <w:jc w:val="both"/>
        <w:rPr>
          <w:rFonts w:ascii="Tahoma" w:hAnsi="Tahoma" w:cs="Tahoma"/>
          <w:sz w:val="20"/>
          <w:szCs w:val="20"/>
        </w:rPr>
      </w:pPr>
    </w:p>
    <w:p w14:paraId="5FD82A17"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3.1. São deveres comuns a ambos os partícipes do presente Termo:</w:t>
      </w:r>
    </w:p>
    <w:p w14:paraId="02D39D8F"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3.1.1. Pautar-se nas diretrizes e nos objetivos da Lei Federal nº 13.019/2014, Decreto Municipal nº 57.575/16 e Portaria nº</w:t>
      </w:r>
      <w:r>
        <w:rPr>
          <w:rFonts w:ascii="Tahoma" w:hAnsi="Tahoma" w:cs="Tahoma"/>
          <w:sz w:val="20"/>
          <w:szCs w:val="20"/>
        </w:rPr>
        <w:t xml:space="preserve"> 140</w:t>
      </w:r>
      <w:r w:rsidRPr="00C81B0E">
        <w:rPr>
          <w:rFonts w:ascii="Tahoma" w:hAnsi="Tahoma" w:cs="Tahoma"/>
          <w:sz w:val="20"/>
          <w:szCs w:val="20"/>
        </w:rPr>
        <w:t>/SMDHC/2019;</w:t>
      </w:r>
    </w:p>
    <w:p w14:paraId="0B502B54" w14:textId="689D8090"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3.1.2. Pautar-se sempre e exclusivamente pelo Interesse Público, que constitui o móvel para </w:t>
      </w:r>
      <w:r w:rsidR="00FA7F32">
        <w:rPr>
          <w:rFonts w:ascii="Tahoma" w:hAnsi="Tahoma" w:cs="Tahoma"/>
          <w:sz w:val="20"/>
          <w:szCs w:val="20"/>
        </w:rPr>
        <w:t xml:space="preserve">o </w:t>
      </w:r>
      <w:r w:rsidRPr="00C81B0E">
        <w:rPr>
          <w:rFonts w:ascii="Tahoma" w:hAnsi="Tahoma" w:cs="Tahoma"/>
          <w:sz w:val="20"/>
          <w:szCs w:val="20"/>
        </w:rPr>
        <w:t>presente</w:t>
      </w:r>
      <w:r w:rsidR="00FA7F32">
        <w:rPr>
          <w:rFonts w:ascii="Tahoma" w:hAnsi="Tahoma" w:cs="Tahoma"/>
          <w:sz w:val="20"/>
          <w:szCs w:val="20"/>
        </w:rPr>
        <w:t xml:space="preserve"> FOMENTO</w:t>
      </w:r>
      <w:r w:rsidRPr="00C81B0E">
        <w:rPr>
          <w:rFonts w:ascii="Tahoma" w:hAnsi="Tahoma" w:cs="Tahoma"/>
          <w:sz w:val="20"/>
          <w:szCs w:val="20"/>
        </w:rPr>
        <w:t>;</w:t>
      </w:r>
    </w:p>
    <w:p w14:paraId="1D9AE7B9"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3.1.3. Agir sempre em consonância com os princípios da Administração Pública, mais especificamente os da isonomia, legalidade, moralidade e impessoalidade, de forma que o objeto do presente não seja utilizado para finalidades outras que as aqui previstas, nem os nomes dos envolvidos manipulados de forma a garantir interesses diversos;</w:t>
      </w:r>
    </w:p>
    <w:p w14:paraId="5AB86323" w14:textId="1E655C22"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3.1.4. Divulgar sua participa</w:t>
      </w:r>
      <w:r w:rsidR="00CD36A2">
        <w:rPr>
          <w:rFonts w:ascii="Tahoma" w:hAnsi="Tahoma" w:cs="Tahoma"/>
          <w:sz w:val="20"/>
          <w:szCs w:val="20"/>
        </w:rPr>
        <w:t>ção</w:t>
      </w:r>
      <w:r w:rsidRPr="00C81B0E">
        <w:rPr>
          <w:rFonts w:ascii="Tahoma" w:hAnsi="Tahoma" w:cs="Tahoma"/>
          <w:sz w:val="20"/>
          <w:szCs w:val="20"/>
        </w:rPr>
        <w:t xml:space="preserve"> na presente</w:t>
      </w:r>
      <w:r w:rsidR="00CD36A2">
        <w:rPr>
          <w:rFonts w:ascii="Tahoma" w:hAnsi="Tahoma" w:cs="Tahoma"/>
          <w:sz w:val="20"/>
          <w:szCs w:val="20"/>
        </w:rPr>
        <w:t xml:space="preserve"> </w:t>
      </w:r>
      <w:r w:rsidR="004104E1">
        <w:rPr>
          <w:rFonts w:ascii="Tahoma" w:hAnsi="Tahoma" w:cs="Tahoma"/>
          <w:sz w:val="20"/>
          <w:szCs w:val="20"/>
        </w:rPr>
        <w:t>PARCERIA</w:t>
      </w:r>
      <w:r w:rsidRPr="00C81B0E">
        <w:rPr>
          <w:rFonts w:ascii="Tahoma" w:hAnsi="Tahoma" w:cs="Tahoma"/>
          <w:sz w:val="20"/>
          <w:szCs w:val="20"/>
        </w:rPr>
        <w:t>, da forma mais adequada ao interesse da coletividade.</w:t>
      </w:r>
    </w:p>
    <w:p w14:paraId="6EC0167B" w14:textId="77777777" w:rsidR="00397B13" w:rsidRPr="00C81B0E" w:rsidRDefault="00397B13" w:rsidP="00587B62">
      <w:pPr>
        <w:spacing w:line="360" w:lineRule="auto"/>
        <w:jc w:val="both"/>
        <w:rPr>
          <w:rFonts w:ascii="Tahoma" w:hAnsi="Tahoma" w:cs="Tahoma"/>
          <w:b/>
          <w:bCs/>
          <w:sz w:val="20"/>
          <w:szCs w:val="20"/>
        </w:rPr>
      </w:pPr>
      <w:r w:rsidRPr="00C81B0E">
        <w:rPr>
          <w:rFonts w:ascii="Tahoma" w:hAnsi="Tahoma" w:cs="Tahoma"/>
          <w:sz w:val="20"/>
          <w:szCs w:val="20"/>
        </w:rPr>
        <w:t xml:space="preserve">3.2. Compete à </w:t>
      </w:r>
      <w:r w:rsidRPr="00C81B0E">
        <w:rPr>
          <w:rFonts w:ascii="Tahoma" w:hAnsi="Tahoma" w:cs="Tahoma"/>
          <w:b/>
          <w:bCs/>
          <w:sz w:val="20"/>
          <w:szCs w:val="20"/>
        </w:rPr>
        <w:t>SECRETARIA MUNICIPAL DE DIREITOS HUMANOS E CIDADANIA:</w:t>
      </w:r>
    </w:p>
    <w:p w14:paraId="5A2B7042"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3.2.1. Repassar os recursos financeiros em conformidade com a cláusula Quinta infra, para fins de fomento e apoio à execução das atividades do Projeto, no valor total de R$.....</w:t>
      </w:r>
    </w:p>
    <w:p w14:paraId="4F7E6C51"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3.2.2. Fiscalizar a execução do presente, avaliando o cumprimento do Plano de Trabalho estipulado, do cronograma de execução previsto e das ações finais estipuladas. </w:t>
      </w:r>
    </w:p>
    <w:p w14:paraId="400E3F2F"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3.2.3. Examinar e manifestar-se sobre as prestações de contas em conformidade com a cláusula Quinta Infra.</w:t>
      </w:r>
    </w:p>
    <w:p w14:paraId="7D9ACD28"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3.2.4. Poderá ser aprovada pelo titular da SMDHC, excepcionalmente, com a </w:t>
      </w:r>
      <w:r>
        <w:rPr>
          <w:rFonts w:ascii="Tahoma" w:hAnsi="Tahoma" w:cs="Tahoma"/>
          <w:sz w:val="20"/>
          <w:szCs w:val="20"/>
        </w:rPr>
        <w:t xml:space="preserve">aprovação </w:t>
      </w:r>
      <w:r w:rsidRPr="00C81B0E">
        <w:rPr>
          <w:rFonts w:ascii="Tahoma" w:hAnsi="Tahoma" w:cs="Tahoma"/>
          <w:sz w:val="20"/>
          <w:szCs w:val="20"/>
        </w:rPr>
        <w:t xml:space="preserve">do COAT e mediante aditamento ao instrumento de parceria, alteração da programação da execução da parceria, mediante </w:t>
      </w:r>
      <w:r>
        <w:rPr>
          <w:rFonts w:ascii="Tahoma" w:hAnsi="Tahoma" w:cs="Tahoma"/>
          <w:sz w:val="20"/>
          <w:szCs w:val="20"/>
        </w:rPr>
        <w:t xml:space="preserve">solicitação formal </w:t>
      </w:r>
      <w:r w:rsidRPr="00C81B0E">
        <w:rPr>
          <w:rFonts w:ascii="Tahoma" w:hAnsi="Tahoma" w:cs="Tahoma"/>
          <w:sz w:val="20"/>
          <w:szCs w:val="20"/>
        </w:rPr>
        <w:t xml:space="preserve">da </w:t>
      </w:r>
      <w:r>
        <w:rPr>
          <w:rFonts w:ascii="Tahoma" w:hAnsi="Tahoma" w:cs="Tahoma"/>
          <w:sz w:val="20"/>
          <w:szCs w:val="20"/>
        </w:rPr>
        <w:t>ORGANIZAÇÃO</w:t>
      </w:r>
      <w:r w:rsidRPr="00C81B0E">
        <w:rPr>
          <w:rFonts w:ascii="Tahoma" w:hAnsi="Tahoma" w:cs="Tahoma"/>
          <w:sz w:val="20"/>
          <w:szCs w:val="20"/>
        </w:rPr>
        <w:t xml:space="preserve"> executante por motivo alheio à sua vontade devidamente fundamentada e formulada no mínimo noventa dias antes do término de sua vigência, desde que preservadas a conveniência e oportunidade administrativas e que não haja alteração de seu objeto;</w:t>
      </w:r>
    </w:p>
    <w:p w14:paraId="36BD64A1"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lastRenderedPageBreak/>
        <w:t>3.2.5. Monitorar, avaliar e fiscalizar a execução do fomento, na forma deste Termo, da Lei Federal nº 13.019/2014, Decreto Municipal nº 57.575/2016 e Portaria nº</w:t>
      </w:r>
      <w:r>
        <w:rPr>
          <w:rFonts w:ascii="Tahoma" w:hAnsi="Tahoma" w:cs="Tahoma"/>
          <w:sz w:val="20"/>
          <w:szCs w:val="20"/>
        </w:rPr>
        <w:t xml:space="preserve"> 140</w:t>
      </w:r>
      <w:r w:rsidRPr="00C81B0E">
        <w:rPr>
          <w:rFonts w:ascii="Tahoma" w:hAnsi="Tahoma" w:cs="Tahoma"/>
          <w:sz w:val="20"/>
          <w:szCs w:val="20"/>
        </w:rPr>
        <w:t xml:space="preserve"> /SMDHC/2019, sem prejuízo dos instrumentos da Comissão de Avaliação e Monitoramento; </w:t>
      </w:r>
    </w:p>
    <w:p w14:paraId="1ACA39F3"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3.2.6. A fiscalização referida no item 3.2.5 não impede o uso por parte da PARCEIRA de sistemas próprios de auditoria, sendo-lhe facultada a realização de fiscalização interna, paralelamente a realizada pelo Poder Público;</w:t>
      </w:r>
    </w:p>
    <w:p w14:paraId="5B1DE15D"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3.2.7. A fiscalização interna a que se refere o subitem anterior em hipótese alguma vinculará a Administração Pública, que permanecerá absolutamente livre nas suas análises e considerações;</w:t>
      </w:r>
    </w:p>
    <w:p w14:paraId="245B8E92"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3.2.8. Atestar, por meio do gestor, a execução das metas e resultados, bem como a física e financeira para fins de repasse;</w:t>
      </w:r>
    </w:p>
    <w:p w14:paraId="67792C16"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3.2.9. Publicar os extratos do fomento e de seus aditamentos nos termos da cláusula décima primeira;</w:t>
      </w:r>
    </w:p>
    <w:p w14:paraId="2E9D38E9"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3.2.10. Conservar a autoridade normativa e assumir ou transferir a responsabilidade pela execução do objeto deste Termo de Fomento, no caso de paralisação ou de fato relevante que venha a ocorrer, de modo a evitar a descontinuidade do serviço.</w:t>
      </w:r>
    </w:p>
    <w:p w14:paraId="609D1237" w14:textId="06E65560" w:rsidR="00397B13" w:rsidRPr="00C81B0E" w:rsidRDefault="00397B13" w:rsidP="00587B62">
      <w:pPr>
        <w:pStyle w:val="Header"/>
        <w:spacing w:line="360" w:lineRule="auto"/>
        <w:ind w:left="360"/>
        <w:jc w:val="both"/>
        <w:rPr>
          <w:rFonts w:ascii="Tahoma" w:hAnsi="Tahoma" w:cs="Tahoma"/>
          <w:sz w:val="20"/>
          <w:szCs w:val="20"/>
        </w:rPr>
      </w:pPr>
      <w:r w:rsidRPr="00C81B0E">
        <w:rPr>
          <w:rFonts w:ascii="Tahoma" w:hAnsi="Tahoma" w:cs="Tahoma"/>
          <w:sz w:val="20"/>
          <w:szCs w:val="20"/>
        </w:rPr>
        <w:t xml:space="preserve">3.2.11. Manter, em sítio oficial na internet, </w:t>
      </w:r>
      <w:r w:rsidR="004104E1">
        <w:rPr>
          <w:rFonts w:ascii="Tahoma" w:hAnsi="Tahoma" w:cs="Tahoma"/>
          <w:sz w:val="20"/>
          <w:szCs w:val="20"/>
        </w:rPr>
        <w:t xml:space="preserve"> esta </w:t>
      </w:r>
      <w:r w:rsidRPr="00C81B0E">
        <w:rPr>
          <w:rFonts w:ascii="Tahoma" w:hAnsi="Tahoma" w:cs="Tahoma"/>
          <w:sz w:val="20"/>
          <w:szCs w:val="20"/>
        </w:rPr>
        <w:t>parceria celebrada e respectivo plano de trabalho, até 180 dias após o respectivo encerramento, contendo as informações dispostas no artigo 6º do Decreto Municipal nº 57.575/2016.</w:t>
      </w:r>
    </w:p>
    <w:p w14:paraId="04D0C471"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 xml:space="preserve">3.3. Compete à PARCEIRA – </w:t>
      </w:r>
    </w:p>
    <w:p w14:paraId="580CCB36"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 Informar e orientar os beneficiários desta parceria sobre sua existência, bem como da forma de participação no programa;</w:t>
      </w:r>
    </w:p>
    <w:p w14:paraId="7DDCBE3D" w14:textId="77777777"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 xml:space="preserve">3.3.1.1. A participação será totalmente gratuita, vedada a cobrança, a qualquer título, de qualquer montante dos beneficiários, seja a que título for. </w:t>
      </w:r>
    </w:p>
    <w:p w14:paraId="187B3262"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3.3.2. Executar o objeto pactuado na Cláusula Primeira deste Termo de Fomento, em observância ao Plano de Trabalho, que integra anexo o presente (Anexo Único);</w:t>
      </w:r>
    </w:p>
    <w:p w14:paraId="494895C5"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3.3.3. Iniciar as atividades necessárias à implementação do presente imediatamente após o início da vigência desta parceria;</w:t>
      </w:r>
    </w:p>
    <w:p w14:paraId="00A67AF1" w14:textId="4FD02433"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3.3.4. Aplicar os recursos financeiros transferidos, nos termos da Portaria SF 210/2017 e modificações posteriores.</w:t>
      </w:r>
    </w:p>
    <w:p w14:paraId="0DC710E6"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3.3.5. Prestar Contas Parcial e Final, nos moldes da cláusula Quinta infra, com demonstrativos, em especial, dos resultados alcançados e das metas atingidas;</w:t>
      </w:r>
    </w:p>
    <w:p w14:paraId="28DFF484"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3.3.6. Gerir os valores repassados de forma compatível com o Plano de Trabalho e o Interesse Público, respeitando sempre os princípios da Administração Pública;</w:t>
      </w:r>
    </w:p>
    <w:p w14:paraId="32B42A55"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3.3.7. Manter as condições de regularidade fiscal no decorrer de toda a vigência da colaboração;</w:t>
      </w:r>
    </w:p>
    <w:p w14:paraId="44C8CDD1"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3.3.8. Manter arquivada toda a documentação comprobatória da execução física do objeto do Fomento e da aplicação dos valores transferidos em decorrência desta parceria, pelo prazo de 10 (dez) anos, </w:t>
      </w:r>
      <w:r w:rsidRPr="00C81B0E">
        <w:rPr>
          <w:rFonts w:ascii="Tahoma" w:hAnsi="Tahoma" w:cs="Tahoma"/>
          <w:color w:val="000000"/>
          <w:sz w:val="20"/>
          <w:szCs w:val="20"/>
        </w:rPr>
        <w:t>contado do dia útil subsequente ao da prestação de contas final</w:t>
      </w:r>
      <w:r w:rsidRPr="00C81B0E">
        <w:rPr>
          <w:rFonts w:ascii="Tahoma" w:hAnsi="Tahoma" w:cs="Tahoma"/>
          <w:sz w:val="20"/>
          <w:szCs w:val="20"/>
        </w:rPr>
        <w:t>. Durante esse prazo, a documentação ficará à disposição dos órgãos de controle interno e externo;</w:t>
      </w:r>
    </w:p>
    <w:p w14:paraId="668C9F55"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3.3.9. Indicar conta bancária específica para esta parceria;</w:t>
      </w:r>
    </w:p>
    <w:p w14:paraId="3BC95E4A"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lastRenderedPageBreak/>
        <w:t>3.3.10. Restituir ao Fundo a integralidade ou a proporcionalidade do valor transferido atualizado monetariamente, no prazo de 30 (trinta) dias, desde a data do recebimento, acrescido de juros legais, na forma da legislação aplicável aos débitos para com a Fazenda Municipal, observados os prazos e procedimentos constantes da Cláusula Quinta, nos seguintes casos:</w:t>
      </w:r>
    </w:p>
    <w:p w14:paraId="373311A1" w14:textId="5BFBF22E"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3.3.10.1. Por inexecução total do objeto</w:t>
      </w:r>
      <w:r w:rsidR="00655DE4">
        <w:rPr>
          <w:rFonts w:ascii="Tahoma" w:hAnsi="Tahoma" w:cs="Tahoma"/>
          <w:sz w:val="20"/>
          <w:szCs w:val="20"/>
        </w:rPr>
        <w:t xml:space="preserve"> da PARCERIA</w:t>
      </w:r>
      <w:r w:rsidRPr="00C81B0E">
        <w:rPr>
          <w:rFonts w:ascii="Tahoma" w:hAnsi="Tahoma" w:cs="Tahoma"/>
          <w:sz w:val="20"/>
          <w:szCs w:val="20"/>
        </w:rPr>
        <w:t>;</w:t>
      </w:r>
    </w:p>
    <w:p w14:paraId="3D3811AC" w14:textId="77777777"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3.3.10.2. Quando não houver aplicação integral dos recursos na consecução do objeto da parceria.</w:t>
      </w:r>
    </w:p>
    <w:p w14:paraId="2B0AD890" w14:textId="77777777"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 xml:space="preserve">3.3.10.3. Quando parte dos recursos forem utilizados em finalidade diversa da estabelecida nesta parceria; </w:t>
      </w:r>
    </w:p>
    <w:p w14:paraId="5A22E76D" w14:textId="77777777"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3.3.10.4. Quando não for apresentada, no prazo exigido, a prestação de contas parciais e/ou final, ou não aprovada as contas prestadas.</w:t>
      </w:r>
    </w:p>
    <w:p w14:paraId="081515A5" w14:textId="6B86C76B"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3.3.11. Fornecer todas as informações e esclarecimentos que lhe forem solicitados e permitir o acompanhamento das ações pela Secretaria Municipal de Direitos Humanos e Cidadania, pelo COAT e pelo Grande Conselho Municipal do Idoso</w:t>
      </w:r>
      <w:r w:rsidR="00655DE4">
        <w:rPr>
          <w:rFonts w:ascii="Tahoma" w:hAnsi="Tahoma" w:cs="Tahoma"/>
          <w:sz w:val="20"/>
          <w:szCs w:val="20"/>
        </w:rPr>
        <w:t xml:space="preserve"> - GCMI</w:t>
      </w:r>
      <w:r w:rsidRPr="00C81B0E">
        <w:rPr>
          <w:rFonts w:ascii="Tahoma" w:hAnsi="Tahoma" w:cs="Tahoma"/>
          <w:sz w:val="20"/>
          <w:szCs w:val="20"/>
        </w:rPr>
        <w:t>, assegurando as condições necessárias à fiscalização, avaliação e monitoramento da execução e dos resultados deste fomento;</w:t>
      </w:r>
    </w:p>
    <w:p w14:paraId="2BEC14A3"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3.3.12. Prestar os esclarecimentos solicitados pelo Tribunal de Contas do Município, no atinente à execução física, realização e pagamento das despesas do objeto da presente parceria;</w:t>
      </w:r>
    </w:p>
    <w:p w14:paraId="1AE085D0"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3.3.13. Responsabilizar-se por todos os tributos, encargos de natureza trabalhista e previdenciária dos agentes eventualmente envolvidos na execução do presente, independentemente de se tratar de emprego direto ou indireto; </w:t>
      </w:r>
    </w:p>
    <w:p w14:paraId="327A32D0" w14:textId="77777777"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 xml:space="preserve">3.3.13.1. Caso a SMDHC, por qualquer circunstância, venha a ser acionada por responsabilidades da </w:t>
      </w:r>
      <w:r>
        <w:rPr>
          <w:rFonts w:ascii="Tahoma" w:hAnsi="Tahoma" w:cs="Tahoma"/>
          <w:sz w:val="20"/>
          <w:szCs w:val="20"/>
        </w:rPr>
        <w:t>ORGANIZAÇÃO</w:t>
      </w:r>
      <w:r w:rsidRPr="00C81B0E">
        <w:rPr>
          <w:rFonts w:ascii="Tahoma" w:hAnsi="Tahoma" w:cs="Tahoma"/>
          <w:sz w:val="20"/>
          <w:szCs w:val="20"/>
        </w:rPr>
        <w:t xml:space="preserve">, fica, desde logo, autorizada a proceder à denunciação à lide a PARCEIRA, que se obriga a assumir o </w:t>
      </w:r>
      <w:proofErr w:type="spellStart"/>
      <w:r w:rsidRPr="00C81B0E">
        <w:rPr>
          <w:rFonts w:ascii="Tahoma" w:hAnsi="Tahoma" w:cs="Tahoma"/>
          <w:sz w:val="20"/>
          <w:szCs w:val="20"/>
        </w:rPr>
        <w:t>pólo</w:t>
      </w:r>
      <w:proofErr w:type="spellEnd"/>
      <w:r w:rsidRPr="00C81B0E">
        <w:rPr>
          <w:rFonts w:ascii="Tahoma" w:hAnsi="Tahoma" w:cs="Tahoma"/>
          <w:sz w:val="20"/>
          <w:szCs w:val="20"/>
        </w:rPr>
        <w:t xml:space="preserve"> passivo da relação processual;</w:t>
      </w:r>
    </w:p>
    <w:p w14:paraId="14FC1C86" w14:textId="77777777"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3.3.13.2. Na hipótese de o Poder Judiciário negar o pedido de denunciação a lide, a PARCEIRA se obriga a intervir como assistente da PMSP, ficando expressamente consignado que toda e qualquer condenação imposta por responsabilidades da fomentada ensejarão o direito de ingressar, imediatamente, com a medida cabível para a salvaguarda dos direitos da PMSP.</w:t>
      </w:r>
    </w:p>
    <w:p w14:paraId="26DEF4AF"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3.3.14. Manter o quadro técnico sob sua inteira responsabilidade nos termos da Cláusula Quarta.</w:t>
      </w:r>
    </w:p>
    <w:p w14:paraId="525D934C"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3.3.15. Observar, em todas as atividades decorrentes do presente, no que couber, os ditames da Lei Federal nº. 13.019/2014, Decreto nº 57.575/2016 e demais dispositivos legais que regem a matéria.</w:t>
      </w:r>
    </w:p>
    <w:p w14:paraId="6AE8AD83"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3.3.16. Divulgar o projeto de forma a possibilitar o maior acesso possível aos interessados, aos quais serão dispensados tratamentos em plena sintonia com o princípio da igualdade.</w:t>
      </w:r>
    </w:p>
    <w:p w14:paraId="7B5571CC" w14:textId="6E574E61" w:rsidR="00397B13" w:rsidRPr="0018678B" w:rsidRDefault="00397B13" w:rsidP="00587B62">
      <w:pPr>
        <w:autoSpaceDE w:val="0"/>
        <w:autoSpaceDN w:val="0"/>
        <w:adjustRightInd w:val="0"/>
        <w:spacing w:line="360" w:lineRule="auto"/>
        <w:ind w:left="360"/>
        <w:jc w:val="both"/>
        <w:rPr>
          <w:rFonts w:ascii="Tahoma" w:hAnsi="Tahoma" w:cs="Tahoma"/>
          <w:sz w:val="20"/>
          <w:szCs w:val="20"/>
        </w:rPr>
      </w:pPr>
      <w:r w:rsidRPr="0018678B">
        <w:rPr>
          <w:rFonts w:ascii="Tahoma" w:hAnsi="Tahoma" w:cs="Tahoma"/>
          <w:sz w:val="20"/>
          <w:szCs w:val="20"/>
        </w:rPr>
        <w:t xml:space="preserve">3.3.17. Os equipamentos e bens móveis permanentes adquiridos pela Convenente reverterão ao término do convênio para o Poder Público, nos termos da Portaria nº 29/06-SF, ressalvado </w:t>
      </w:r>
      <w:r w:rsidRPr="0018678B">
        <w:rPr>
          <w:rFonts w:ascii="Tahoma" w:hAnsi="Tahoma" w:cs="Tahoma"/>
          <w:sz w:val="20"/>
          <w:szCs w:val="20"/>
        </w:rPr>
        <w:lastRenderedPageBreak/>
        <w:t>aqueles que, por força do Plano de Trabalho aprovado devam permanecer com a Convenente, para a utilização em prol da pessoa idosa beneficiária do objeto</w:t>
      </w:r>
      <w:r w:rsidR="004104E1">
        <w:rPr>
          <w:rFonts w:ascii="Tahoma" w:hAnsi="Tahoma" w:cs="Tahoma"/>
          <w:sz w:val="20"/>
          <w:szCs w:val="20"/>
        </w:rPr>
        <w:t xml:space="preserve"> da PARCERIA</w:t>
      </w:r>
      <w:r w:rsidRPr="0018678B">
        <w:rPr>
          <w:rFonts w:ascii="Tahoma" w:hAnsi="Tahoma" w:cs="Tahoma"/>
          <w:sz w:val="20"/>
          <w:szCs w:val="20"/>
        </w:rPr>
        <w:t>, mediante doação, ouvido o COAT e o GCMI, e observada à legislação aplicável;</w:t>
      </w:r>
    </w:p>
    <w:p w14:paraId="17FB9F04"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3.3.18. Agir sempre de forma que o objeto do presente não seja utilizado para finalidades que não as definidas neste Fomento, nem os nomes dos envolvidos manipulados de forma a garantir interesses diversos.</w:t>
      </w:r>
    </w:p>
    <w:p w14:paraId="2B101254" w14:textId="77777777" w:rsidR="00397B13" w:rsidRPr="00C81B0E" w:rsidRDefault="00397B13" w:rsidP="00587B62">
      <w:pPr>
        <w:pStyle w:val="Header"/>
        <w:spacing w:line="360" w:lineRule="auto"/>
        <w:ind w:left="360"/>
        <w:jc w:val="both"/>
        <w:rPr>
          <w:rFonts w:ascii="Tahoma" w:hAnsi="Tahoma" w:cs="Tahoma"/>
          <w:sz w:val="20"/>
          <w:szCs w:val="20"/>
        </w:rPr>
      </w:pPr>
      <w:r w:rsidRPr="00C81B0E">
        <w:rPr>
          <w:rFonts w:ascii="Tahoma" w:hAnsi="Tahoma" w:cs="Tahoma"/>
          <w:sz w:val="20"/>
          <w:szCs w:val="20"/>
        </w:rPr>
        <w:t>3.3.19. Divulgar, em seu sítio na internet, caso mantenha, e em locais visíveis de suas sedes sociais e dos estabelecimentos em que exerça suas ações, as parcerias celebradas com o poder público, contendo as informações dispostas no artigo 6º do Decreto Municipal nº 57.575/2016.</w:t>
      </w:r>
    </w:p>
    <w:p w14:paraId="229BEAFF" w14:textId="77777777" w:rsidR="00397B13" w:rsidRPr="00C81B0E" w:rsidRDefault="00397B13" w:rsidP="00587B62">
      <w:pPr>
        <w:pStyle w:val="Header"/>
        <w:spacing w:line="360" w:lineRule="auto"/>
        <w:ind w:left="360"/>
        <w:jc w:val="both"/>
        <w:rPr>
          <w:rFonts w:ascii="Tahoma" w:hAnsi="Tahoma" w:cs="Tahoma"/>
          <w:b/>
          <w:bCs/>
          <w:sz w:val="20"/>
          <w:szCs w:val="20"/>
        </w:rPr>
      </w:pPr>
    </w:p>
    <w:p w14:paraId="5293013E"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QUARTA</w:t>
      </w:r>
    </w:p>
    <w:p w14:paraId="6CA381BC"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QUADRO TÉCNICO</w:t>
      </w:r>
    </w:p>
    <w:p w14:paraId="57B4FDCF" w14:textId="77777777" w:rsidR="00397B13" w:rsidRPr="00C81B0E" w:rsidRDefault="00397B13" w:rsidP="00587B62">
      <w:pPr>
        <w:spacing w:line="360" w:lineRule="auto"/>
        <w:jc w:val="both"/>
        <w:rPr>
          <w:rFonts w:ascii="Tahoma" w:hAnsi="Tahoma" w:cs="Tahoma"/>
          <w:sz w:val="20"/>
          <w:szCs w:val="20"/>
        </w:rPr>
      </w:pPr>
    </w:p>
    <w:p w14:paraId="5579D96C"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4.1. A PARCEIRA fica obrigada a manter em seu quadro, profissionais aptos a exercerem as funções designadas no projeto aprovado pelo COAT, ficando sob sua inteira responsabilidade a qualidade de Empregador ou Tomador dos Serviços no caso de trabalhadores autônomos, e os encargos trabalhistas e previdenciários.</w:t>
      </w:r>
    </w:p>
    <w:p w14:paraId="3E96DB4D"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4.2.</w:t>
      </w:r>
      <w:r w:rsidRPr="00C81B0E">
        <w:rPr>
          <w:rFonts w:ascii="Tahoma" w:hAnsi="Tahoma" w:cs="Tahoma"/>
          <w:sz w:val="20"/>
          <w:szCs w:val="20"/>
        </w:rPr>
        <w:tab/>
        <w:t>Em qualquer situação, os profissionais envolvidos na prestação dos compromissos decorrentes deste Termo permanecerão subordinados à PARCEIRA, não se estabelecendo qualquer vínculo com a SMDHC.</w:t>
      </w:r>
    </w:p>
    <w:p w14:paraId="3C67F55C" w14:textId="77777777" w:rsidR="00397B13" w:rsidRPr="00C81B0E" w:rsidRDefault="00397B13" w:rsidP="00587B62">
      <w:pPr>
        <w:spacing w:line="360" w:lineRule="auto"/>
        <w:rPr>
          <w:rFonts w:ascii="Tahoma" w:hAnsi="Tahoma" w:cs="Tahoma"/>
          <w:b/>
          <w:bCs/>
          <w:sz w:val="20"/>
          <w:szCs w:val="20"/>
        </w:rPr>
      </w:pPr>
    </w:p>
    <w:p w14:paraId="7B3CA2D5" w14:textId="77777777" w:rsidR="00397B13" w:rsidRPr="00C81B0E" w:rsidRDefault="00397B13" w:rsidP="00587B62">
      <w:pPr>
        <w:spacing w:line="360" w:lineRule="auto"/>
        <w:rPr>
          <w:rFonts w:ascii="Tahoma" w:hAnsi="Tahoma" w:cs="Tahoma"/>
          <w:b/>
          <w:bCs/>
          <w:sz w:val="20"/>
          <w:szCs w:val="20"/>
        </w:rPr>
      </w:pPr>
    </w:p>
    <w:p w14:paraId="603FD278"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QUINTA</w:t>
      </w:r>
    </w:p>
    <w:p w14:paraId="0B7A20A3"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VALOR, DO REPASSE E DA PRESTAÇÃO DE CONTAS</w:t>
      </w:r>
    </w:p>
    <w:p w14:paraId="6742B4ED" w14:textId="77777777" w:rsidR="00397B13" w:rsidRPr="00C81B0E" w:rsidRDefault="00397B13" w:rsidP="00587B62">
      <w:pPr>
        <w:spacing w:line="360" w:lineRule="auto"/>
        <w:jc w:val="both"/>
        <w:rPr>
          <w:rFonts w:ascii="Tahoma" w:hAnsi="Tahoma" w:cs="Tahoma"/>
          <w:sz w:val="20"/>
          <w:szCs w:val="20"/>
        </w:rPr>
      </w:pPr>
    </w:p>
    <w:p w14:paraId="0523CC48"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5.1. DO VALOR: A presente parceria conta com a verba de R$  sendo que sua aplicabilidade deverá observar a planilha de despesas apresentada pela entidade e aprovada pelo COAT, cujos valores foram condensados em forma de repasse pelo FMID no Item 5.1.4 .</w:t>
      </w:r>
    </w:p>
    <w:p w14:paraId="49609403"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5.1.1. DOS REPASSES: O repasse onerará as dotações orçamentárias 08.10.08.241.3007.2813.</w:t>
      </w:r>
      <w:r w:rsidRPr="00C81B0E">
        <w:rPr>
          <w:rFonts w:ascii="Tahoma" w:hAnsi="Tahoma" w:cs="Tahoma"/>
          <w:color w:val="000000"/>
          <w:sz w:val="20"/>
          <w:szCs w:val="20"/>
        </w:rPr>
        <w:t>3.3.90.39.00-05;</w:t>
      </w:r>
      <w:r w:rsidRPr="00C81B0E">
        <w:rPr>
          <w:rFonts w:ascii="Tahoma" w:hAnsi="Tahoma" w:cs="Tahoma"/>
          <w:sz w:val="20"/>
          <w:szCs w:val="20"/>
        </w:rPr>
        <w:t xml:space="preserve"> 08.10.08.241.3007.2813.</w:t>
      </w:r>
      <w:r w:rsidRPr="00C81B0E">
        <w:rPr>
          <w:rFonts w:ascii="Tahoma" w:hAnsi="Tahoma" w:cs="Tahoma"/>
          <w:color w:val="000000"/>
          <w:sz w:val="20"/>
          <w:szCs w:val="20"/>
        </w:rPr>
        <w:t>3.3.90.30.00-</w:t>
      </w:r>
      <w:r w:rsidRPr="00C81B0E">
        <w:rPr>
          <w:rFonts w:ascii="Tahoma" w:hAnsi="Tahoma" w:cs="Tahoma"/>
          <w:sz w:val="20"/>
          <w:szCs w:val="20"/>
        </w:rPr>
        <w:t xml:space="preserve">05; </w:t>
      </w:r>
    </w:p>
    <w:p w14:paraId="191B173A"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08.10.08.241.3007.2813.</w:t>
      </w:r>
      <w:r w:rsidRPr="00C81B0E">
        <w:rPr>
          <w:rFonts w:ascii="Tahoma" w:hAnsi="Tahoma" w:cs="Tahoma"/>
          <w:color w:val="000000"/>
          <w:sz w:val="20"/>
          <w:szCs w:val="20"/>
        </w:rPr>
        <w:t>3.3.50.39.00-08.</w:t>
      </w:r>
    </w:p>
    <w:p w14:paraId="3F56C145"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5.1.2. O repasse será efetivado conforme o previsto no Plano de Trabalho e neste termo, de acordo com as disposições do Item 5.2, bem como a apresentação dos relatórios periódicos à SMDHC e à Comissão de Monitoramento e Avaliação. </w:t>
      </w:r>
    </w:p>
    <w:p w14:paraId="7E414C8E"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5.1.3. O valor repassado deverá ser depositado em moeda corrente, por meio de crédito bancário operado por meio de conta específica, do Banco____, conta corrente_____, para atender a presente parceria, vedada à PARCEIRA a utilização desta conta para quaisquer outros movimentos bancários estranhos ao fomento, sujeitando as regras posteriores da Secretaria da Fazenda desta Prefeitura; </w:t>
      </w:r>
    </w:p>
    <w:p w14:paraId="2A22D148" w14:textId="77777777"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lastRenderedPageBreak/>
        <w:t>5.1.4. O repasse será liberado de acordo com o cronograma a seguir exposto:</w:t>
      </w:r>
    </w:p>
    <w:p w14:paraId="14C38E00" w14:textId="77777777" w:rsidR="00397B13" w:rsidRPr="00C81B0E" w:rsidRDefault="00397B13" w:rsidP="00655DE4">
      <w:pPr>
        <w:pStyle w:val="BodyTextIndent"/>
        <w:tabs>
          <w:tab w:val="left" w:pos="9000"/>
        </w:tabs>
        <w:spacing w:line="276" w:lineRule="auto"/>
        <w:ind w:left="360" w:right="72"/>
        <w:jc w:val="both"/>
        <w:rPr>
          <w:rFonts w:ascii="Tahoma" w:hAnsi="Tahoma" w:cs="Tahoma"/>
          <w:sz w:val="20"/>
          <w:szCs w:val="20"/>
        </w:rPr>
      </w:pPr>
      <w:r w:rsidRPr="00C81B0E">
        <w:rPr>
          <w:rFonts w:ascii="Tahoma" w:hAnsi="Tahoma" w:cs="Tahoma"/>
          <w:sz w:val="20"/>
          <w:szCs w:val="20"/>
        </w:rPr>
        <w:t>5.1.5. É vedada a utilização dos recursos repassados pela SMDHC</w:t>
      </w:r>
      <w:r w:rsidRPr="00C81B0E">
        <w:rPr>
          <w:rFonts w:ascii="Tahoma" w:hAnsi="Tahoma" w:cs="Tahoma"/>
          <w:b/>
          <w:bCs/>
          <w:color w:val="FF0000"/>
          <w:sz w:val="20"/>
          <w:szCs w:val="20"/>
        </w:rPr>
        <w:t xml:space="preserve"> </w:t>
      </w:r>
      <w:r w:rsidRPr="00C81B0E">
        <w:rPr>
          <w:rFonts w:ascii="Tahoma" w:hAnsi="Tahoma" w:cs="Tahoma"/>
          <w:sz w:val="20"/>
          <w:szCs w:val="20"/>
        </w:rPr>
        <w:t xml:space="preserve">em finalidade diversa da estabelecida no(a) projeto/atividade a que se refere este instrumento, bem como no pagamento de despesas efetuadas anterior ou posteriormente ao período acordado para a execução do objeto desta parceria. </w:t>
      </w:r>
    </w:p>
    <w:p w14:paraId="2D2B5D7C" w14:textId="77777777" w:rsidR="00397B13" w:rsidRPr="00C81B0E" w:rsidRDefault="00397B13" w:rsidP="00587B62">
      <w:pPr>
        <w:tabs>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5.1.6.</w:t>
      </w:r>
      <w:r w:rsidRPr="00C81B0E">
        <w:rPr>
          <w:rFonts w:ascii="Tahoma" w:hAnsi="Tahoma" w:cs="Tahoma"/>
          <w:b/>
          <w:bCs/>
          <w:sz w:val="20"/>
          <w:szCs w:val="20"/>
        </w:rPr>
        <w:t xml:space="preserve"> </w:t>
      </w:r>
      <w:r w:rsidRPr="00C81B0E">
        <w:rPr>
          <w:rFonts w:ascii="Tahoma" w:hAnsi="Tahoma" w:cs="Tahoma"/>
          <w:sz w:val="20"/>
          <w:szCs w:val="20"/>
        </w:rPr>
        <w:t>Toda movimentação de recursos no âmbito da parceria será realizada mediante transferência eletrônica sujeita à identificação do beneficiário final e à obrigatoriedade de depósito em sua conta bancária.</w:t>
      </w:r>
    </w:p>
    <w:p w14:paraId="73AE1C76" w14:textId="77777777" w:rsidR="00397B13" w:rsidRPr="00C81B0E" w:rsidRDefault="00397B13" w:rsidP="00587B62">
      <w:pPr>
        <w:tabs>
          <w:tab w:val="left" w:pos="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5.1.7. É permitida a aquisição de equipamentos e materiais permanentes essenciais à consecução do objeto e a contratação de serviços para adequação de espaço físico, desde que necessários à instalação dos referidos equipamentos e materiais.</w:t>
      </w:r>
    </w:p>
    <w:p w14:paraId="7986C077" w14:textId="77777777" w:rsidR="00397B13" w:rsidRPr="00C81B0E" w:rsidRDefault="00397B13" w:rsidP="00587B62">
      <w:pPr>
        <w:tabs>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 xml:space="preserve">5.1.8. Poderá ser paga com recursos da parceria a remuneração da equipe dimensionada no plano de trabalho, inclusive de pessoal próprio da </w:t>
      </w:r>
      <w:r>
        <w:rPr>
          <w:rFonts w:ascii="Tahoma" w:hAnsi="Tahoma" w:cs="Tahoma"/>
          <w:sz w:val="20"/>
          <w:szCs w:val="20"/>
        </w:rPr>
        <w:t>ORGANIZAÇÃO</w:t>
      </w:r>
      <w:r w:rsidRPr="00C81B0E">
        <w:rPr>
          <w:rFonts w:ascii="Tahoma" w:hAnsi="Tahoma" w:cs="Tahoma"/>
          <w:sz w:val="20"/>
          <w:szCs w:val="20"/>
        </w:rPr>
        <w:t>, observadas as disposições do artigo 40 do Decreto Municipal nº 57.575/2016 e do artigo 46 da Lei Federal nº 13.019/14.</w:t>
      </w:r>
    </w:p>
    <w:p w14:paraId="4192A11F" w14:textId="77777777" w:rsidR="00397B13" w:rsidRPr="00C81B0E" w:rsidRDefault="00397B13" w:rsidP="00587B62">
      <w:pPr>
        <w:tabs>
          <w:tab w:val="left" w:pos="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5.1.9. Fica vedada à Administração Pública Municipal a prática de atos de ingerência direta na seleção e na contratação de pessoal pela organização ou que direcione o recrutamento de pessoas para trabalhar ou prestar serviços na referida organização.</w:t>
      </w:r>
    </w:p>
    <w:p w14:paraId="313C00E6" w14:textId="77777777" w:rsidR="00397B13" w:rsidRPr="00C81B0E" w:rsidRDefault="00397B13" w:rsidP="00587B62">
      <w:pPr>
        <w:tabs>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5.1.10.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65FB3AD7" w14:textId="77777777" w:rsidR="00397B13" w:rsidRPr="00C81B0E" w:rsidRDefault="00397B13" w:rsidP="00587B62">
      <w:pPr>
        <w:tabs>
          <w:tab w:val="left" w:pos="360"/>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5.1.11.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720D284A" w14:textId="77777777" w:rsidR="00397B13" w:rsidRPr="00C81B0E" w:rsidRDefault="00397B13" w:rsidP="00587B62">
      <w:pPr>
        <w:tabs>
          <w:tab w:val="left" w:pos="360"/>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5.1.12. Durante a vigência deste termo é permitido o remanejamento de recursos constantes do plano de trabalho, de acordo com os critérios e prazos a se</w:t>
      </w:r>
      <w:r>
        <w:rPr>
          <w:rFonts w:ascii="Tahoma" w:hAnsi="Tahoma" w:cs="Tahoma"/>
          <w:sz w:val="20"/>
          <w:szCs w:val="20"/>
        </w:rPr>
        <w:t xml:space="preserve">rem definidos pela Portaria nº 140/ </w:t>
      </w:r>
      <w:r w:rsidRPr="00C81B0E">
        <w:rPr>
          <w:rFonts w:ascii="Tahoma" w:hAnsi="Tahoma" w:cs="Tahoma"/>
          <w:sz w:val="20"/>
          <w:szCs w:val="20"/>
        </w:rPr>
        <w:t>SMDHC/2019, desde que não altere o valor total da parceria.</w:t>
      </w:r>
    </w:p>
    <w:p w14:paraId="7DCF8515" w14:textId="72328838" w:rsidR="00397B13" w:rsidRPr="00C81B0E" w:rsidRDefault="00397B13" w:rsidP="00587B62">
      <w:pPr>
        <w:tabs>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5.1.13. Os recursos d</w:t>
      </w:r>
      <w:r w:rsidR="009C2884">
        <w:rPr>
          <w:rFonts w:ascii="Tahoma" w:hAnsi="Tahoma" w:cs="Tahoma"/>
          <w:sz w:val="20"/>
          <w:szCs w:val="20"/>
        </w:rPr>
        <w:t>esta</w:t>
      </w:r>
      <w:r w:rsidRPr="00C81B0E">
        <w:rPr>
          <w:rFonts w:ascii="Tahoma" w:hAnsi="Tahoma" w:cs="Tahoma"/>
          <w:sz w:val="20"/>
          <w:szCs w:val="20"/>
        </w:rPr>
        <w:t xml:space="preserve"> parceria gerido pela organizaç</w:t>
      </w:r>
      <w:r w:rsidR="009C2884">
        <w:rPr>
          <w:rFonts w:ascii="Tahoma" w:hAnsi="Tahoma" w:cs="Tahoma"/>
          <w:sz w:val="20"/>
          <w:szCs w:val="20"/>
        </w:rPr>
        <w:t>ão</w:t>
      </w:r>
      <w:r w:rsidRPr="00C81B0E">
        <w:rPr>
          <w:rFonts w:ascii="Tahoma" w:hAnsi="Tahoma" w:cs="Tahoma"/>
          <w:sz w:val="20"/>
          <w:szCs w:val="20"/>
        </w:rPr>
        <w:t xml:space="preserve"> da sociedade civil</w:t>
      </w:r>
      <w:r w:rsidR="009C2884">
        <w:rPr>
          <w:rFonts w:ascii="Tahoma" w:hAnsi="Tahoma" w:cs="Tahoma"/>
          <w:sz w:val="20"/>
          <w:szCs w:val="20"/>
        </w:rPr>
        <w:t xml:space="preserve"> parceria</w:t>
      </w:r>
      <w:r w:rsidRPr="00C81B0E">
        <w:rPr>
          <w:rFonts w:ascii="Tahoma" w:hAnsi="Tahoma" w:cs="Tahoma"/>
          <w:sz w:val="20"/>
          <w:szCs w:val="20"/>
        </w:rPr>
        <w:t xml:space="preserve"> não caracteriza receita própria, mantendo a natureza de verb</w:t>
      </w:r>
      <w:r w:rsidR="009C2884">
        <w:rPr>
          <w:rFonts w:ascii="Tahoma" w:hAnsi="Tahoma" w:cs="Tahoma"/>
          <w:sz w:val="20"/>
          <w:szCs w:val="20"/>
        </w:rPr>
        <w:t>a</w:t>
      </w:r>
      <w:r w:rsidRPr="00C81B0E">
        <w:rPr>
          <w:rFonts w:ascii="Tahoma" w:hAnsi="Tahoma" w:cs="Tahoma"/>
          <w:sz w:val="20"/>
          <w:szCs w:val="20"/>
        </w:rPr>
        <w:t xml:space="preserve"> pública.</w:t>
      </w:r>
    </w:p>
    <w:p w14:paraId="1D316D8B" w14:textId="77777777" w:rsidR="00397B13" w:rsidRPr="00C81B0E" w:rsidRDefault="00397B13" w:rsidP="00587B62">
      <w:pPr>
        <w:spacing w:line="360" w:lineRule="auto"/>
        <w:ind w:left="900" w:right="72"/>
        <w:jc w:val="both"/>
        <w:rPr>
          <w:rFonts w:ascii="Tahoma" w:hAnsi="Tahoma" w:cs="Tahoma"/>
          <w:sz w:val="20"/>
          <w:szCs w:val="20"/>
        </w:rPr>
      </w:pPr>
      <w:r w:rsidRPr="00C81B0E">
        <w:rPr>
          <w:rFonts w:ascii="Tahoma" w:hAnsi="Tahoma" w:cs="Tahoma"/>
          <w:sz w:val="20"/>
          <w:szCs w:val="20"/>
        </w:rPr>
        <w:t>5.1.13.1 Não é cabível a exigência de emissão de nota fiscal de prestação de serviços tendo a Municipalidade como tomadora nas parcerias celebradas com organizações da sociedade civil.</w:t>
      </w:r>
    </w:p>
    <w:p w14:paraId="0C442B2A"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 xml:space="preserve">5.2. </w:t>
      </w:r>
      <w:r w:rsidRPr="00C81B0E">
        <w:rPr>
          <w:rFonts w:ascii="Tahoma" w:hAnsi="Tahoma" w:cs="Tahoma"/>
          <w:b/>
          <w:bCs/>
          <w:sz w:val="20"/>
          <w:szCs w:val="20"/>
        </w:rPr>
        <w:t xml:space="preserve">DA PRESTAÇÃO DE CONTAS. A ORGANIZAÇÃO </w:t>
      </w:r>
      <w:r w:rsidRPr="00C81B0E">
        <w:rPr>
          <w:rFonts w:ascii="Tahoma" w:hAnsi="Tahoma" w:cs="Tahoma"/>
          <w:sz w:val="20"/>
          <w:szCs w:val="20"/>
        </w:rPr>
        <w:t>obriga-se à Prestação de Contas Parcial e Final de todos os recursos recebidos do Município.</w:t>
      </w:r>
    </w:p>
    <w:p w14:paraId="2E38B08B" w14:textId="77777777"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5.2.1. A prestação de contas e todos os atos que dela decorram dar-se-ão em conformidade com a Portaria nº</w:t>
      </w:r>
      <w:r>
        <w:rPr>
          <w:rFonts w:ascii="Tahoma" w:hAnsi="Tahoma" w:cs="Tahoma"/>
          <w:sz w:val="20"/>
          <w:szCs w:val="20"/>
        </w:rPr>
        <w:t xml:space="preserve"> 140</w:t>
      </w:r>
      <w:r w:rsidRPr="00C81B0E">
        <w:rPr>
          <w:rFonts w:ascii="Tahoma" w:hAnsi="Tahoma" w:cs="Tahoma"/>
          <w:sz w:val="20"/>
          <w:szCs w:val="20"/>
        </w:rPr>
        <w:t xml:space="preserve"> /SMDHC/2019, permitindo consulta por qualquer interessado.</w:t>
      </w:r>
    </w:p>
    <w:p w14:paraId="4FD98682" w14:textId="77777777"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lastRenderedPageBreak/>
        <w:t xml:space="preserve">5.2.2. A prestação de contas apresentada pela </w:t>
      </w:r>
      <w:r w:rsidRPr="00DE0D12">
        <w:rPr>
          <w:rFonts w:ascii="Tahoma" w:hAnsi="Tahoma" w:cs="Tahoma"/>
          <w:caps/>
          <w:sz w:val="20"/>
          <w:szCs w:val="20"/>
        </w:rPr>
        <w:t>organização</w:t>
      </w:r>
      <w:r w:rsidRPr="00C81B0E">
        <w:rPr>
          <w:rFonts w:ascii="Tahoma" w:hAnsi="Tahoma" w:cs="Tahoma"/>
          <w:sz w:val="20"/>
          <w:szCs w:val="20"/>
        </w:rPr>
        <w:t xml:space="preserve"> deverá conter elementos que permitam ao gestor da parceria avaliar o andamento ou concluir que o seu objeto foi executado conforme pactuado, com a adequada descrição das atividades realizadas e a comprovação do alcance das metas e dos resultados esperados.</w:t>
      </w:r>
    </w:p>
    <w:p w14:paraId="670A040A"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5.2.2.1.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14:paraId="0649D32C"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5.2.2.2. Serão glosados os valores relacionados a metas e resultados descumpridos sem justificativa suficiente.</w:t>
      </w:r>
    </w:p>
    <w:p w14:paraId="5936E2CD" w14:textId="5E360F73" w:rsidR="00397B13" w:rsidRPr="00C81B0E" w:rsidRDefault="00397B13" w:rsidP="00587B62">
      <w:pPr>
        <w:tabs>
          <w:tab w:val="left" w:pos="360"/>
        </w:tabs>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 xml:space="preserve">5.2.3. A prestação de contas deverá ser feita em observância ao disposto </w:t>
      </w:r>
      <w:r w:rsidR="009C2884">
        <w:rPr>
          <w:rFonts w:ascii="Tahoma" w:hAnsi="Tahoma" w:cs="Tahoma"/>
          <w:sz w:val="20"/>
          <w:szCs w:val="20"/>
        </w:rPr>
        <w:t xml:space="preserve">na Portaria </w:t>
      </w:r>
      <w:r w:rsidR="009C2884" w:rsidRPr="00C81B0E">
        <w:rPr>
          <w:rFonts w:ascii="Tahoma" w:hAnsi="Tahoma" w:cs="Tahoma"/>
          <w:sz w:val="20"/>
          <w:szCs w:val="20"/>
        </w:rPr>
        <w:t>nº</w:t>
      </w:r>
      <w:r w:rsidR="009C2884">
        <w:rPr>
          <w:rFonts w:ascii="Tahoma" w:hAnsi="Tahoma" w:cs="Tahoma"/>
          <w:sz w:val="20"/>
          <w:szCs w:val="20"/>
        </w:rPr>
        <w:t xml:space="preserve"> 140</w:t>
      </w:r>
      <w:r w:rsidR="009C2884" w:rsidRPr="00C81B0E">
        <w:rPr>
          <w:rFonts w:ascii="Tahoma" w:hAnsi="Tahoma" w:cs="Tahoma"/>
          <w:sz w:val="20"/>
          <w:szCs w:val="20"/>
        </w:rPr>
        <w:t xml:space="preserve"> /SMDHC/2019</w:t>
      </w:r>
      <w:r w:rsidR="009C2884">
        <w:rPr>
          <w:rFonts w:ascii="Tahoma" w:hAnsi="Tahoma" w:cs="Tahoma"/>
          <w:sz w:val="20"/>
          <w:szCs w:val="20"/>
        </w:rPr>
        <w:t xml:space="preserve"> e  </w:t>
      </w:r>
      <w:r w:rsidRPr="00C81B0E">
        <w:rPr>
          <w:rFonts w:ascii="Tahoma" w:hAnsi="Tahoma" w:cs="Tahoma"/>
          <w:sz w:val="20"/>
          <w:szCs w:val="20"/>
        </w:rPr>
        <w:t>no Decreto Municipal nº 57.575/2016, combinado com a Lei Federal nº 3.019/2014, competindo unicamente à SMDHC decidir sobre a regularidade, ou não, da aplicação dos recursos transferidos a organização da sociedade civil proponente;</w:t>
      </w:r>
    </w:p>
    <w:p w14:paraId="29A7A592" w14:textId="77777777" w:rsidR="00397B13" w:rsidRPr="00C81B0E" w:rsidRDefault="00397B13" w:rsidP="00587B62">
      <w:pPr>
        <w:pStyle w:val="Artigo"/>
        <w:spacing w:before="0" w:after="0" w:line="360" w:lineRule="auto"/>
        <w:ind w:left="360" w:firstLine="0"/>
        <w:rPr>
          <w:rFonts w:ascii="Tahoma" w:hAnsi="Tahoma" w:cs="Tahoma"/>
          <w:sz w:val="20"/>
          <w:szCs w:val="20"/>
          <w:lang w:eastAsia="en-US"/>
        </w:rPr>
      </w:pPr>
      <w:r w:rsidRPr="00C81B0E">
        <w:rPr>
          <w:rFonts w:ascii="Tahoma" w:hAnsi="Tahoma" w:cs="Tahoma"/>
          <w:sz w:val="20"/>
          <w:szCs w:val="20"/>
        </w:rPr>
        <w:t xml:space="preserve">5.2.5. A SMDHC realizará manifestação conclusiva sobre a prestação final de contas, </w:t>
      </w:r>
      <w:r w:rsidRPr="00C81B0E">
        <w:rPr>
          <w:rFonts w:ascii="Tahoma" w:hAnsi="Tahoma" w:cs="Tahoma"/>
          <w:sz w:val="20"/>
          <w:szCs w:val="20"/>
          <w:lang w:eastAsia="en-US"/>
        </w:rPr>
        <w:t xml:space="preserve">no prazo de até 150 dias, contado da data de seu recebimento ou do cumprimento de diligencia por ela determinada, </w:t>
      </w:r>
      <w:r w:rsidRPr="00C81B0E">
        <w:rPr>
          <w:rFonts w:ascii="Tahoma" w:hAnsi="Tahoma" w:cs="Tahoma"/>
          <w:sz w:val="20"/>
          <w:szCs w:val="20"/>
        </w:rPr>
        <w:t>dispondo sobre:</w:t>
      </w:r>
    </w:p>
    <w:p w14:paraId="1F879660"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5.2.5.1. Aprovação da prestação de contas;</w:t>
      </w:r>
    </w:p>
    <w:p w14:paraId="2FA0AD87" w14:textId="77777777" w:rsidR="00397B13" w:rsidRPr="00C81B0E" w:rsidRDefault="00397B13" w:rsidP="00587B62">
      <w:pPr>
        <w:tabs>
          <w:tab w:val="left" w:pos="1418"/>
        </w:tabs>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5.2.5.2. Aprovação da prestação de contas com ressalvas, mesmo que cumpridos os objetos e as metas da parceria, estiver evidenciada impropriedade ou qualquer outra falta de natureza formal de que não resulte dano ao erário.</w:t>
      </w:r>
    </w:p>
    <w:p w14:paraId="422DE6EA"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5.2.5.3. Rejeição da prestação de contas, com a imediata determinação das providências administrativas e judiciais cabíveis para devolução dos valores aos cofres públicos, inclusive a determinação de imediata instauração de tomada de contas especial.</w:t>
      </w:r>
    </w:p>
    <w:p w14:paraId="760074CC" w14:textId="77777777"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5.2.6. As contas serão rejeitadas quando:</w:t>
      </w:r>
    </w:p>
    <w:p w14:paraId="0A8DB57E"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5.2.6.1. Houver emissão no dever de prestar contas;</w:t>
      </w:r>
    </w:p>
    <w:p w14:paraId="79784E27"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5.2.6.2. Houver descumprimento injustificado dos objetivos e metas estabelecidos no plano de trabalho;</w:t>
      </w:r>
    </w:p>
    <w:p w14:paraId="175B34E4"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5.2.6.3. Ocorrer dano ao erário decorrente de ato de gestão ilegítimo ou antieconômico;</w:t>
      </w:r>
    </w:p>
    <w:p w14:paraId="2108D916"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5.2.6.4. Houver desfalque ou desvio de dinheiro, bens ou valores públicos.</w:t>
      </w:r>
    </w:p>
    <w:p w14:paraId="6B7CD4B1"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5.2.6.5. Não for executado o objeto da parceria;</w:t>
      </w:r>
    </w:p>
    <w:p w14:paraId="2EF870E1"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5.2.6.6. Os recursos forem aplicados em finalidades diversas das previstas na parceria.</w:t>
      </w:r>
    </w:p>
    <w:p w14:paraId="0C0F34D8" w14:textId="77777777"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5.2.7. Da decisão que rejeitar as contas prestadas caberá um único recurso à autoridade competente que deverá ser interposto no prazo de 10 dias corridos a contar da notificação da decisão.</w:t>
      </w:r>
    </w:p>
    <w:p w14:paraId="3E6AF26C" w14:textId="77777777"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 xml:space="preserve">5.2.8. Transcorrido o prazo recursal do item anterior, a rejeição da prestação de contas, se definitiva, deverá ser registrada em plataforma eletrônica de acesso ao público, quando houver, cabendo à autoridade administrativa, sob pena de responsabilidade solidária, adotar as </w:t>
      </w:r>
      <w:r w:rsidRPr="00C81B0E">
        <w:rPr>
          <w:rFonts w:ascii="Tahoma" w:hAnsi="Tahoma" w:cs="Tahoma"/>
          <w:sz w:val="20"/>
          <w:szCs w:val="20"/>
        </w:rPr>
        <w:lastRenderedPageBreak/>
        <w:t>providências para apuração dos fatos, identificação dos responsáveis, quantificação do dano e obtenção do ressarcimento.</w:t>
      </w:r>
    </w:p>
    <w:p w14:paraId="27E2FCAA"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5.2.8.1. O dano ao erário será previamente delimitado para embasar a rejeição das contas prestadas.</w:t>
      </w:r>
    </w:p>
    <w:p w14:paraId="4A03E105" w14:textId="77777777"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5.2.8.2. Os valores apurados serão acrescidos de correção monetária e juros, bem como inscritos no CADIN Municipal, por meio de despacho da autoridade administrativa competente.</w:t>
      </w:r>
    </w:p>
    <w:p w14:paraId="11DC5FCD" w14:textId="77777777"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lang w:eastAsia="en-US"/>
        </w:rPr>
        <w:t xml:space="preserve">5.2.9 </w:t>
      </w:r>
      <w:r w:rsidRPr="00C81B0E">
        <w:rPr>
          <w:rFonts w:ascii="Tahoma" w:hAnsi="Tahoma" w:cs="Tahoma"/>
          <w:sz w:val="20"/>
          <w:szCs w:val="20"/>
        </w:rPr>
        <w:t>O transcurso do prazo estabelecido no item 5.2.5 sem que as contas tenham sido apreciadas não significa impossibilidade de apreciação em data posterior ou vedação a que se adotem medidas saneadoras, punitivas ou destinadas a ressarcir danos que possam ter sido causados aos cofres públicos.</w:t>
      </w:r>
    </w:p>
    <w:p w14:paraId="4E53ECED" w14:textId="77777777" w:rsidR="00397B13" w:rsidRPr="00C81B0E" w:rsidRDefault="00397B13" w:rsidP="00587B62">
      <w:pPr>
        <w:spacing w:line="360" w:lineRule="auto"/>
        <w:jc w:val="both"/>
        <w:rPr>
          <w:rFonts w:ascii="Tahoma" w:hAnsi="Tahoma" w:cs="Tahoma"/>
          <w:sz w:val="20"/>
          <w:szCs w:val="20"/>
        </w:rPr>
      </w:pPr>
    </w:p>
    <w:p w14:paraId="04B51572"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SEXTA</w:t>
      </w:r>
    </w:p>
    <w:p w14:paraId="3204659F"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GESTOR</w:t>
      </w:r>
    </w:p>
    <w:p w14:paraId="6DBB48DE" w14:textId="77777777" w:rsidR="00397B13" w:rsidRPr="00C81B0E" w:rsidRDefault="00397B13" w:rsidP="00587B62">
      <w:pPr>
        <w:spacing w:line="360" w:lineRule="auto"/>
        <w:jc w:val="both"/>
        <w:rPr>
          <w:rFonts w:ascii="Tahoma" w:hAnsi="Tahoma" w:cs="Tahoma"/>
          <w:sz w:val="20"/>
          <w:szCs w:val="20"/>
        </w:rPr>
      </w:pPr>
    </w:p>
    <w:p w14:paraId="44E7711F" w14:textId="77777777" w:rsidR="00397B13" w:rsidRDefault="00397B13" w:rsidP="00587B62">
      <w:pPr>
        <w:pStyle w:val="Header"/>
        <w:spacing w:line="360" w:lineRule="auto"/>
        <w:ind w:right="283"/>
        <w:jc w:val="both"/>
        <w:rPr>
          <w:rFonts w:ascii="Tahoma" w:hAnsi="Tahoma" w:cs="Tahoma"/>
          <w:sz w:val="20"/>
          <w:szCs w:val="20"/>
        </w:rPr>
      </w:pPr>
      <w:r w:rsidRPr="00C81B0E">
        <w:rPr>
          <w:rFonts w:ascii="Tahoma" w:hAnsi="Tahoma" w:cs="Tahoma"/>
          <w:sz w:val="20"/>
          <w:szCs w:val="20"/>
        </w:rPr>
        <w:t>6.1. A gestão da parceria será exercida por intermédio de servidor designado por despacho do/a Secretário/a, a quem competirá:</w:t>
      </w:r>
    </w:p>
    <w:p w14:paraId="7DEB917E" w14:textId="77777777" w:rsidR="00397B13" w:rsidRPr="00C81B0E" w:rsidRDefault="00397B13" w:rsidP="00587B62">
      <w:pPr>
        <w:pStyle w:val="Header"/>
        <w:spacing w:line="360" w:lineRule="auto"/>
        <w:ind w:right="283"/>
        <w:jc w:val="both"/>
        <w:rPr>
          <w:rFonts w:ascii="Tahoma" w:hAnsi="Tahoma" w:cs="Tahoma"/>
          <w:sz w:val="20"/>
          <w:szCs w:val="20"/>
        </w:rPr>
      </w:pPr>
    </w:p>
    <w:p w14:paraId="513989CE" w14:textId="77777777" w:rsidR="00397B13" w:rsidRPr="00C81B0E" w:rsidRDefault="00397B13" w:rsidP="00587B62">
      <w:pPr>
        <w:pStyle w:val="Itemnvel1"/>
        <w:tabs>
          <w:tab w:val="clear" w:pos="567"/>
          <w:tab w:val="left" w:pos="360"/>
          <w:tab w:val="left" w:pos="851"/>
        </w:tabs>
        <w:ind w:left="360" w:firstLine="0"/>
        <w:rPr>
          <w:rFonts w:ascii="Tahoma" w:hAnsi="Tahoma" w:cs="Tahoma"/>
          <w:sz w:val="20"/>
          <w:szCs w:val="20"/>
        </w:rPr>
      </w:pPr>
      <w:r w:rsidRPr="00C81B0E">
        <w:rPr>
          <w:rFonts w:ascii="Tahoma" w:hAnsi="Tahoma" w:cs="Tahoma"/>
          <w:sz w:val="20"/>
          <w:szCs w:val="20"/>
        </w:rPr>
        <w:t>6.1.1. Acompanhar e fiscalizar a execução da parceria;</w:t>
      </w:r>
    </w:p>
    <w:p w14:paraId="27688791" w14:textId="77777777" w:rsidR="00397B13" w:rsidRPr="00C81B0E" w:rsidRDefault="00397B13" w:rsidP="00587B62">
      <w:pPr>
        <w:pStyle w:val="Itemnvel1"/>
        <w:tabs>
          <w:tab w:val="clear" w:pos="567"/>
          <w:tab w:val="left" w:pos="360"/>
          <w:tab w:val="left" w:pos="851"/>
        </w:tabs>
        <w:ind w:left="360" w:firstLine="0"/>
        <w:rPr>
          <w:rFonts w:ascii="Tahoma" w:hAnsi="Tahoma" w:cs="Tahoma"/>
          <w:sz w:val="20"/>
          <w:szCs w:val="20"/>
        </w:rPr>
      </w:pPr>
      <w:r w:rsidRPr="00C81B0E">
        <w:rPr>
          <w:rFonts w:ascii="Tahoma" w:hAnsi="Tahoma" w:cs="Tahoma"/>
          <w:sz w:val="20"/>
          <w:szCs w:val="20"/>
        </w:rPr>
        <w:t>6.1.2. Informar ao (à) Secretário (a) Municipal de Direitos Humanos e Cidadania a existência de fatos que comprometam ou possam comprometer atividades ou metas da parceria e de indícios de irregularidades na gestão dos recursos, bem como as providências adotadas ou que serão adotadas para sanar os problemas detectados;</w:t>
      </w:r>
    </w:p>
    <w:p w14:paraId="70259672" w14:textId="77777777" w:rsidR="00397B13" w:rsidRPr="00C81B0E" w:rsidRDefault="00397B13" w:rsidP="00587B62">
      <w:pPr>
        <w:pStyle w:val="Itemnvel1"/>
        <w:tabs>
          <w:tab w:val="clear" w:pos="567"/>
          <w:tab w:val="left" w:pos="360"/>
          <w:tab w:val="left" w:pos="851"/>
          <w:tab w:val="left" w:pos="1134"/>
        </w:tabs>
        <w:ind w:left="360" w:firstLine="0"/>
        <w:rPr>
          <w:rFonts w:ascii="Tahoma" w:hAnsi="Tahoma" w:cs="Tahoma"/>
          <w:sz w:val="20"/>
          <w:szCs w:val="20"/>
        </w:rPr>
      </w:pPr>
      <w:r w:rsidRPr="00C81B0E">
        <w:rPr>
          <w:rFonts w:ascii="Tahoma" w:hAnsi="Tahoma" w:cs="Tahoma"/>
          <w:sz w:val="20"/>
          <w:szCs w:val="20"/>
        </w:rPr>
        <w:t>6.1.3. Orientar a PARCEIRA quanto às diretrizes e normas correlatas à execução do projeto no que tange a sua viabilidade técnica, prestação de contas, monitoramento e avaliação</w:t>
      </w:r>
    </w:p>
    <w:p w14:paraId="6D098C45" w14:textId="77777777" w:rsidR="00397B13" w:rsidRPr="00C81B0E" w:rsidRDefault="00397B13" w:rsidP="00587B62">
      <w:pPr>
        <w:pStyle w:val="Itemnvel1"/>
        <w:tabs>
          <w:tab w:val="clear" w:pos="567"/>
          <w:tab w:val="left" w:pos="360"/>
          <w:tab w:val="left" w:pos="851"/>
          <w:tab w:val="left" w:pos="1134"/>
        </w:tabs>
        <w:ind w:left="360" w:firstLine="0"/>
        <w:rPr>
          <w:rFonts w:ascii="Tahoma" w:hAnsi="Tahoma" w:cs="Tahoma"/>
          <w:sz w:val="20"/>
          <w:szCs w:val="20"/>
        </w:rPr>
      </w:pPr>
      <w:r w:rsidRPr="00C81B0E">
        <w:rPr>
          <w:rFonts w:ascii="Tahoma" w:hAnsi="Tahoma" w:cs="Tahoma"/>
          <w:sz w:val="20"/>
          <w:szCs w:val="20"/>
        </w:rPr>
        <w:t>6.1.4. Emitir parecer técnico de análise da prestação de contas, levando em consideração o</w:t>
      </w:r>
      <w:r>
        <w:rPr>
          <w:rFonts w:ascii="Tahoma" w:hAnsi="Tahoma" w:cs="Tahoma"/>
          <w:sz w:val="20"/>
          <w:szCs w:val="20"/>
        </w:rPr>
        <w:t>s documentos apresentados pela PA</w:t>
      </w:r>
      <w:r w:rsidRPr="00C81B0E">
        <w:rPr>
          <w:rFonts w:ascii="Tahoma" w:hAnsi="Tahoma" w:cs="Tahoma"/>
          <w:sz w:val="20"/>
          <w:szCs w:val="20"/>
        </w:rPr>
        <w:t>RCEIRA e aqueles produzidos no âmbito do monito</w:t>
      </w:r>
      <w:r>
        <w:rPr>
          <w:rFonts w:ascii="Tahoma" w:hAnsi="Tahoma" w:cs="Tahoma"/>
          <w:sz w:val="20"/>
          <w:szCs w:val="20"/>
        </w:rPr>
        <w:t>ramento e avaliação da parceria.</w:t>
      </w:r>
    </w:p>
    <w:p w14:paraId="225732D2" w14:textId="77777777" w:rsidR="00397B13" w:rsidRPr="00C81B0E" w:rsidRDefault="00397B13" w:rsidP="00587B62">
      <w:pPr>
        <w:pStyle w:val="Header"/>
        <w:tabs>
          <w:tab w:val="left" w:pos="0"/>
        </w:tabs>
        <w:spacing w:line="360" w:lineRule="auto"/>
        <w:ind w:right="72"/>
        <w:jc w:val="both"/>
        <w:rPr>
          <w:rFonts w:ascii="Tahoma" w:hAnsi="Tahoma" w:cs="Tahoma"/>
          <w:sz w:val="20"/>
          <w:szCs w:val="20"/>
        </w:rPr>
      </w:pPr>
    </w:p>
    <w:p w14:paraId="06457098" w14:textId="77777777" w:rsidR="00397B13" w:rsidRPr="00C81B0E" w:rsidRDefault="00397B13" w:rsidP="00587B62">
      <w:pPr>
        <w:pStyle w:val="Header"/>
        <w:tabs>
          <w:tab w:val="left" w:pos="0"/>
        </w:tabs>
        <w:spacing w:line="360" w:lineRule="auto"/>
        <w:ind w:right="72"/>
        <w:jc w:val="both"/>
        <w:rPr>
          <w:rFonts w:ascii="Tahoma" w:hAnsi="Tahoma" w:cs="Tahoma"/>
          <w:sz w:val="20"/>
          <w:szCs w:val="20"/>
        </w:rPr>
      </w:pPr>
      <w:r w:rsidRPr="00C81B0E">
        <w:rPr>
          <w:rFonts w:ascii="Tahoma" w:hAnsi="Tahoma" w:cs="Tahoma"/>
          <w:sz w:val="20"/>
          <w:szCs w:val="20"/>
        </w:rPr>
        <w:t>6.2. O gestor da parceria deverá dar ciência:</w:t>
      </w:r>
    </w:p>
    <w:p w14:paraId="30FD2394" w14:textId="77777777" w:rsidR="00397B13" w:rsidRPr="00C81B0E" w:rsidRDefault="00397B13" w:rsidP="00587B62">
      <w:pPr>
        <w:pStyle w:val="Header"/>
        <w:tabs>
          <w:tab w:val="clear" w:pos="4252"/>
          <w:tab w:val="clear" w:pos="8504"/>
        </w:tabs>
        <w:spacing w:line="360" w:lineRule="auto"/>
        <w:ind w:left="360" w:right="72"/>
        <w:jc w:val="both"/>
        <w:rPr>
          <w:rFonts w:ascii="Tahoma" w:hAnsi="Tahoma" w:cs="Tahoma"/>
          <w:sz w:val="20"/>
          <w:szCs w:val="20"/>
        </w:rPr>
      </w:pPr>
      <w:r w:rsidRPr="00C81B0E">
        <w:rPr>
          <w:rFonts w:ascii="Tahoma" w:hAnsi="Tahoma" w:cs="Tahoma"/>
          <w:sz w:val="20"/>
          <w:szCs w:val="20"/>
        </w:rPr>
        <w:t>6.2.1. Aos resultados das análises de cada prestação de contas apresentada.</w:t>
      </w:r>
    </w:p>
    <w:p w14:paraId="7A4AAC9E" w14:textId="77777777" w:rsidR="00397B13" w:rsidRPr="00C81B0E" w:rsidRDefault="00397B13" w:rsidP="00587B62">
      <w:pPr>
        <w:pStyle w:val="Header"/>
        <w:tabs>
          <w:tab w:val="clear" w:pos="4252"/>
          <w:tab w:val="clear" w:pos="8504"/>
        </w:tabs>
        <w:spacing w:line="360" w:lineRule="auto"/>
        <w:ind w:left="360" w:right="72"/>
        <w:jc w:val="both"/>
        <w:rPr>
          <w:rFonts w:ascii="Tahoma" w:hAnsi="Tahoma" w:cs="Tahoma"/>
          <w:sz w:val="20"/>
          <w:szCs w:val="20"/>
        </w:rPr>
      </w:pPr>
      <w:r w:rsidRPr="00C81B0E">
        <w:rPr>
          <w:rFonts w:ascii="Tahoma" w:hAnsi="Tahoma" w:cs="Tahoma"/>
          <w:sz w:val="20"/>
          <w:szCs w:val="20"/>
        </w:rPr>
        <w:t xml:space="preserve">6.2.2. Aos relatórios técnicos de monitoramento e avaliação, independentemente de sua homologação pela comissão de monitoramento e avaliação. </w:t>
      </w:r>
    </w:p>
    <w:p w14:paraId="1DCD3105" w14:textId="77777777" w:rsidR="00397B13" w:rsidRPr="00C81B0E" w:rsidRDefault="00397B13" w:rsidP="00587B62">
      <w:pPr>
        <w:pStyle w:val="Header"/>
        <w:tabs>
          <w:tab w:val="left" w:pos="0"/>
        </w:tabs>
        <w:spacing w:line="360" w:lineRule="auto"/>
        <w:ind w:right="72"/>
        <w:jc w:val="both"/>
        <w:rPr>
          <w:rFonts w:ascii="Tahoma" w:hAnsi="Tahoma" w:cs="Tahoma"/>
          <w:sz w:val="20"/>
          <w:szCs w:val="20"/>
        </w:rPr>
      </w:pPr>
      <w:r w:rsidRPr="00C81B0E">
        <w:rPr>
          <w:rFonts w:ascii="Tahoma" w:hAnsi="Tahoma" w:cs="Tahoma"/>
          <w:sz w:val="20"/>
          <w:szCs w:val="20"/>
        </w:rPr>
        <w:t>6.3. Os pareceres técnicos conclusivos deverão, obrigatoriamente, mencionar:</w:t>
      </w:r>
    </w:p>
    <w:p w14:paraId="63DE5DF6" w14:textId="77777777"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t>6.3.1</w:t>
      </w:r>
      <w:r w:rsidRPr="00C81B0E">
        <w:rPr>
          <w:rFonts w:ascii="Tahoma" w:hAnsi="Tahoma" w:cs="Tahoma"/>
          <w:sz w:val="20"/>
          <w:szCs w:val="20"/>
        </w:rPr>
        <w:tab/>
        <w:t>. Os resultados já alcançados e seus benefícios;</w:t>
      </w:r>
    </w:p>
    <w:p w14:paraId="64C79BB4" w14:textId="77777777"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t>6.3.2</w:t>
      </w:r>
      <w:r w:rsidRPr="00C81B0E">
        <w:rPr>
          <w:rFonts w:ascii="Tahoma" w:hAnsi="Tahoma" w:cs="Tahoma"/>
          <w:sz w:val="20"/>
          <w:szCs w:val="20"/>
        </w:rPr>
        <w:tab/>
        <w:t>. Os impactos econômicos ou sociais;</w:t>
      </w:r>
    </w:p>
    <w:p w14:paraId="58AD3376" w14:textId="77777777"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t>6.3.3</w:t>
      </w:r>
      <w:r w:rsidRPr="00C81B0E">
        <w:rPr>
          <w:rFonts w:ascii="Tahoma" w:hAnsi="Tahoma" w:cs="Tahoma"/>
          <w:sz w:val="20"/>
          <w:szCs w:val="20"/>
        </w:rPr>
        <w:tab/>
        <w:t>. O grau de satisfação do público-alvo, considerado o processo de escuta ao cidadão usuário acerca do padrão de qualidade do atendimento do objeto da parceria, nos moldes do plano de trabalho;</w:t>
      </w:r>
    </w:p>
    <w:p w14:paraId="079C255D" w14:textId="77777777"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lastRenderedPageBreak/>
        <w:t>6.3.4</w:t>
      </w:r>
      <w:r w:rsidRPr="00C81B0E">
        <w:rPr>
          <w:rFonts w:ascii="Tahoma" w:hAnsi="Tahoma" w:cs="Tahoma"/>
          <w:sz w:val="20"/>
          <w:szCs w:val="20"/>
        </w:rPr>
        <w:tab/>
        <w:t>. A possibilidade de sustentabilidade das ações após a conclusão do objeto pactuado, se for o caso.</w:t>
      </w:r>
    </w:p>
    <w:p w14:paraId="0C521F0E" w14:textId="77777777" w:rsidR="00397B13" w:rsidRPr="00C81B0E" w:rsidRDefault="00397B13" w:rsidP="00587B62">
      <w:pPr>
        <w:spacing w:line="360" w:lineRule="auto"/>
        <w:jc w:val="both"/>
        <w:rPr>
          <w:rFonts w:ascii="Tahoma" w:hAnsi="Tahoma" w:cs="Tahoma"/>
          <w:sz w:val="20"/>
          <w:szCs w:val="20"/>
        </w:rPr>
      </w:pPr>
    </w:p>
    <w:p w14:paraId="457E0D64"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SÉTIMA</w:t>
      </w:r>
    </w:p>
    <w:p w14:paraId="0FD47CBD"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DA ALTERAÇÃO, DA DENÚNCIA E DA RESCISÃO</w:t>
      </w:r>
    </w:p>
    <w:p w14:paraId="65C2161B" w14:textId="77777777" w:rsidR="00397B13" w:rsidRPr="00C81B0E" w:rsidRDefault="00397B13" w:rsidP="00587B62">
      <w:pPr>
        <w:spacing w:line="360" w:lineRule="auto"/>
        <w:jc w:val="both"/>
        <w:rPr>
          <w:rFonts w:ascii="Tahoma" w:hAnsi="Tahoma" w:cs="Tahoma"/>
          <w:sz w:val="20"/>
          <w:szCs w:val="20"/>
        </w:rPr>
      </w:pPr>
    </w:p>
    <w:p w14:paraId="61D6F388" w14:textId="77777777" w:rsidR="00397B13" w:rsidRPr="00C81B0E" w:rsidRDefault="00397B13" w:rsidP="00587B62">
      <w:pPr>
        <w:pStyle w:val="Header"/>
        <w:tabs>
          <w:tab w:val="left" w:pos="2835"/>
        </w:tabs>
        <w:spacing w:line="360" w:lineRule="auto"/>
        <w:ind w:right="283"/>
        <w:jc w:val="both"/>
        <w:rPr>
          <w:rFonts w:ascii="Tahoma" w:hAnsi="Tahoma" w:cs="Tahoma"/>
          <w:sz w:val="20"/>
          <w:szCs w:val="20"/>
        </w:rPr>
      </w:pPr>
      <w:r w:rsidRPr="00C81B0E">
        <w:rPr>
          <w:rFonts w:ascii="Tahoma" w:hAnsi="Tahoma" w:cs="Tahoma"/>
          <w:sz w:val="20"/>
          <w:szCs w:val="20"/>
        </w:rPr>
        <w:t>7.1. A critério da SMDHC, admite-se a alteração da parceria para os itens previstos na Portaria n</w:t>
      </w:r>
      <w:r>
        <w:rPr>
          <w:rFonts w:ascii="Tahoma" w:hAnsi="Tahoma" w:cs="Tahoma"/>
          <w:sz w:val="20"/>
          <w:szCs w:val="20"/>
        </w:rPr>
        <w:t>º 140</w:t>
      </w:r>
      <w:r w:rsidRPr="00C81B0E">
        <w:rPr>
          <w:rFonts w:ascii="Tahoma" w:hAnsi="Tahoma" w:cs="Tahoma"/>
          <w:sz w:val="20"/>
          <w:szCs w:val="20"/>
        </w:rPr>
        <w:t>/SMDHC/2019, devendo a proposta ser acompanhada de revisão do plano de trabalho, desde que não seja transfigurado o objeto da parceria.</w:t>
      </w:r>
    </w:p>
    <w:p w14:paraId="0E498D90" w14:textId="77777777" w:rsidR="00397B13" w:rsidRPr="00C81B0E" w:rsidRDefault="00397B13" w:rsidP="00587B62">
      <w:pPr>
        <w:pStyle w:val="Normal1"/>
        <w:spacing w:line="360" w:lineRule="auto"/>
        <w:ind w:left="0" w:right="120" w:hanging="2"/>
        <w:jc w:val="both"/>
        <w:rPr>
          <w:rFonts w:ascii="Tahoma" w:hAnsi="Tahoma" w:cs="Tahoma"/>
          <w:sz w:val="20"/>
          <w:szCs w:val="20"/>
        </w:rPr>
      </w:pPr>
      <w:r w:rsidRPr="00C81B0E">
        <w:rPr>
          <w:rFonts w:ascii="Tahoma" w:hAnsi="Tahoma" w:cs="Tahoma"/>
          <w:sz w:val="20"/>
          <w:szCs w:val="20"/>
        </w:rPr>
        <w:t xml:space="preserve">7.2 As alterações da parceria, salvo aquelas passíveis de </w:t>
      </w:r>
      <w:proofErr w:type="spellStart"/>
      <w:r w:rsidRPr="00C81B0E">
        <w:rPr>
          <w:rFonts w:ascii="Tahoma" w:hAnsi="Tahoma" w:cs="Tahoma"/>
          <w:sz w:val="20"/>
          <w:szCs w:val="20"/>
        </w:rPr>
        <w:t>apostilamento</w:t>
      </w:r>
      <w:proofErr w:type="spellEnd"/>
      <w:r w:rsidRPr="00C81B0E">
        <w:rPr>
          <w:rFonts w:ascii="Tahoma" w:hAnsi="Tahoma" w:cs="Tahoma"/>
          <w:sz w:val="20"/>
          <w:szCs w:val="20"/>
        </w:rPr>
        <w:t>, passarão pela análise do conselho gestor do FMID, do Departamento de Parcerias e da Assessoria Jurídica, nesta ordem, com vistas a embasar a deliberação final pelo (a) Secretário (a) da SMDHC.</w:t>
      </w:r>
    </w:p>
    <w:p w14:paraId="36C88908" w14:textId="77777777" w:rsidR="00397B13" w:rsidRPr="00C81B0E" w:rsidRDefault="00397B13" w:rsidP="00587B62">
      <w:pPr>
        <w:pStyle w:val="Header"/>
        <w:tabs>
          <w:tab w:val="left" w:pos="426"/>
        </w:tabs>
        <w:spacing w:line="360" w:lineRule="auto"/>
        <w:ind w:right="283"/>
        <w:rPr>
          <w:rFonts w:ascii="Tahoma" w:hAnsi="Tahoma" w:cs="Tahoma"/>
          <w:sz w:val="20"/>
          <w:szCs w:val="20"/>
        </w:rPr>
      </w:pPr>
      <w:r w:rsidRPr="00C81B0E">
        <w:rPr>
          <w:rFonts w:ascii="Tahoma" w:hAnsi="Tahoma" w:cs="Tahoma"/>
          <w:sz w:val="20"/>
          <w:szCs w:val="20"/>
        </w:rPr>
        <w:t xml:space="preserve">7.3. </w:t>
      </w:r>
      <w:r w:rsidRPr="00C81B0E">
        <w:rPr>
          <w:rFonts w:ascii="Tahoma" w:hAnsi="Tahoma" w:cs="Tahoma"/>
          <w:sz w:val="20"/>
          <w:szCs w:val="20"/>
        </w:rPr>
        <w:tab/>
        <w:t xml:space="preserve">A prorrogação de vigência da parceria somente poderá ser solicitada pela </w:t>
      </w:r>
      <w:r w:rsidRPr="00DE0D12">
        <w:rPr>
          <w:rFonts w:ascii="Tahoma" w:hAnsi="Tahoma" w:cs="Tahoma"/>
          <w:caps/>
          <w:sz w:val="20"/>
          <w:szCs w:val="20"/>
        </w:rPr>
        <w:t>parceira</w:t>
      </w:r>
      <w:r w:rsidRPr="00C81B0E">
        <w:rPr>
          <w:rFonts w:ascii="Tahoma" w:hAnsi="Tahoma" w:cs="Tahoma"/>
          <w:sz w:val="20"/>
          <w:szCs w:val="20"/>
        </w:rPr>
        <w:t xml:space="preserve"> em decorrência de superveniência de fato excepcional ou imprevisível, estranho à vontade da organização, desde que tal fato altere fundamentalmente as condições de execução do projeto.  </w:t>
      </w:r>
    </w:p>
    <w:p w14:paraId="463DC8D4" w14:textId="77777777" w:rsidR="00397B13" w:rsidRPr="00C81B0E" w:rsidRDefault="00397B13" w:rsidP="00587B62">
      <w:pPr>
        <w:pStyle w:val="Footer"/>
        <w:spacing w:line="360" w:lineRule="auto"/>
        <w:jc w:val="both"/>
        <w:rPr>
          <w:rFonts w:ascii="Tahoma" w:hAnsi="Tahoma" w:cs="Tahoma"/>
          <w:sz w:val="20"/>
          <w:szCs w:val="20"/>
        </w:rPr>
      </w:pPr>
      <w:r w:rsidRPr="00C81B0E">
        <w:rPr>
          <w:rFonts w:ascii="Tahoma" w:hAnsi="Tahoma" w:cs="Tahoma"/>
          <w:sz w:val="20"/>
          <w:szCs w:val="20"/>
        </w:rPr>
        <w:t>7.4. A prorrogação de ofício da vigência deste termo deve ser feita pela SMDHC quando ela der causa a atraso na liberação de recursos financeiros, limitada ao exato período do atraso verificado.</w:t>
      </w:r>
    </w:p>
    <w:p w14:paraId="4B4E4D73"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7.5. Este Termo de Fomento poderá ser denunciado, por escrito, a qualquer tempo, observada a obrigatoriedade do cumprimento dos compromissos até então assumidos; rescindido de pleno direito, independentemente de interpelação judicial ou extrajudicial, por descumprimento das normas estabelecidas na legislação vigente, inadimplemento de quaisquer de suas cláusulas ou condições ou superveniência de norma legal ou de fato que o torne impraticável ou inexecutável ou, ainda, por consenso dos partícipes, nesta última hipótese, desde que mediante notificação expressa com antecedência mínima de 60 (sessenta) dias.</w:t>
      </w:r>
    </w:p>
    <w:p w14:paraId="15FE05DA"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7.6. Quando da conclusão, denúncia, rescisão ou extinção da colaboração, os saldos financeiros remanescentes, inclusive os provenientes das receitas obtidas das aplicações financeiras realizadas, serão devolvidos a Concedente, no prazo improrrogável de 30 (trinta) dias do evento, sob pena de serem tomadas providências administrativas, cíveis e criminais contra a ORGANIZAÇÃO e seus dirigentes pela Secretaria Municipal de Justiça.</w:t>
      </w:r>
    </w:p>
    <w:p w14:paraId="4D334433"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7.7. Constitui motivo para rescisão do fomento o inadimplemento de quaisquer das cláusulas pactuadas, particularmente quando constatada:</w:t>
      </w:r>
    </w:p>
    <w:p w14:paraId="42CC47B9"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7.7.1. A utilização dos recursos em desacordo com o Plano de Trabalho;</w:t>
      </w:r>
    </w:p>
    <w:p w14:paraId="31E84CF7"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 xml:space="preserve">7.7.2. A aplicação dos recursos no mercado financeiro em desacordo com a </w:t>
      </w:r>
      <w:r w:rsidRPr="00C81B0E">
        <w:rPr>
          <w:rFonts w:ascii="Tahoma" w:hAnsi="Tahoma" w:cs="Tahoma"/>
          <w:sz w:val="20"/>
          <w:szCs w:val="20"/>
        </w:rPr>
        <w:tab/>
        <w:t>regulamentação;</w:t>
      </w:r>
    </w:p>
    <w:p w14:paraId="37DD6185"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7.7.3. A falta de apresentação das prestações de contas, nos prazos estabelecidos.</w:t>
      </w:r>
    </w:p>
    <w:p w14:paraId="42F2F13A"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7.8. O Fomento poderá ser rescindido unilateralmente, de pleno direito, a critério da Administração, por irregularidades constatadas, referentes: à administração dos valores recebidos; à execução do Plano de Trabalho aprovado; ao cumprimento dos critérios estabelecidos na colaboração; e à manutenção da regularidade fiscal.</w:t>
      </w:r>
    </w:p>
    <w:p w14:paraId="7D1D039A" w14:textId="77777777" w:rsidR="00397B13" w:rsidRPr="00C81B0E" w:rsidRDefault="00397B13" w:rsidP="00587B62">
      <w:pPr>
        <w:spacing w:line="360" w:lineRule="auto"/>
        <w:jc w:val="both"/>
        <w:rPr>
          <w:rFonts w:ascii="Tahoma" w:hAnsi="Tahoma" w:cs="Tahoma"/>
          <w:sz w:val="20"/>
          <w:szCs w:val="20"/>
        </w:rPr>
      </w:pPr>
    </w:p>
    <w:p w14:paraId="5D201A5D"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OITAVA</w:t>
      </w:r>
    </w:p>
    <w:p w14:paraId="33A03F86"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ENCONTRO DE CONTAS</w:t>
      </w:r>
    </w:p>
    <w:p w14:paraId="25B1B413" w14:textId="77777777" w:rsidR="00397B13" w:rsidRPr="00C81B0E" w:rsidRDefault="00397B13" w:rsidP="00587B62">
      <w:pPr>
        <w:spacing w:line="360" w:lineRule="auto"/>
        <w:jc w:val="both"/>
        <w:rPr>
          <w:rFonts w:ascii="Tahoma" w:hAnsi="Tahoma" w:cs="Tahoma"/>
          <w:sz w:val="20"/>
          <w:szCs w:val="20"/>
        </w:rPr>
      </w:pPr>
    </w:p>
    <w:p w14:paraId="2D55FFD1"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8.1. Na hipótese de denúncia antecipada, responderá o partícipe pela falta, promovendo-se, para tanto, o devido Encontro de Contas, em que será apurada a necessidade de eventual devolução da verba repassada ou responsabilização por má gestão da verba pública, sem prejuízo da aplicação das demais disposições constantes deste Termo.</w:t>
      </w:r>
    </w:p>
    <w:p w14:paraId="5743B045" w14:textId="77777777" w:rsidR="00397B13" w:rsidRPr="00C81B0E" w:rsidRDefault="00397B13" w:rsidP="00587B62">
      <w:pPr>
        <w:spacing w:line="360" w:lineRule="auto"/>
        <w:jc w:val="both"/>
        <w:rPr>
          <w:rFonts w:ascii="Tahoma" w:hAnsi="Tahoma" w:cs="Tahoma"/>
          <w:sz w:val="20"/>
          <w:szCs w:val="20"/>
        </w:rPr>
      </w:pPr>
    </w:p>
    <w:p w14:paraId="5ACE1B82"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NONA</w:t>
      </w:r>
    </w:p>
    <w:p w14:paraId="30023F44"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PRAZO DE VIGÊNCIA</w:t>
      </w:r>
    </w:p>
    <w:p w14:paraId="6141E2E7" w14:textId="77777777" w:rsidR="00397B13" w:rsidRPr="00C81B0E" w:rsidRDefault="00397B13" w:rsidP="00587B62">
      <w:pPr>
        <w:spacing w:line="360" w:lineRule="auto"/>
        <w:jc w:val="both"/>
        <w:rPr>
          <w:rFonts w:ascii="Tahoma" w:hAnsi="Tahoma" w:cs="Tahoma"/>
          <w:sz w:val="20"/>
          <w:szCs w:val="20"/>
        </w:rPr>
      </w:pPr>
    </w:p>
    <w:p w14:paraId="37AA9188" w14:textId="77777777" w:rsidR="00397B13" w:rsidRPr="00C81B0E" w:rsidRDefault="00397B13" w:rsidP="00587B62">
      <w:pPr>
        <w:autoSpaceDE w:val="0"/>
        <w:autoSpaceDN w:val="0"/>
        <w:adjustRightInd w:val="0"/>
        <w:spacing w:line="360" w:lineRule="auto"/>
        <w:rPr>
          <w:rFonts w:ascii="Tahoma" w:hAnsi="Tahoma" w:cs="Tahoma"/>
          <w:sz w:val="20"/>
          <w:szCs w:val="20"/>
        </w:rPr>
      </w:pPr>
      <w:r w:rsidRPr="00C81B0E">
        <w:rPr>
          <w:rFonts w:ascii="Tahoma" w:hAnsi="Tahoma" w:cs="Tahoma"/>
          <w:sz w:val="20"/>
          <w:szCs w:val="20"/>
        </w:rPr>
        <w:t>9.1. O presente Termo de Fomento vigorará pelo período de____ meses, contados a partir da data de sua assinatura, não sendo permitida a sua renovação ou prorrogação.</w:t>
      </w:r>
    </w:p>
    <w:p w14:paraId="259DF18A" w14:textId="77777777" w:rsidR="00397B13" w:rsidRPr="00C81B0E" w:rsidRDefault="00397B13" w:rsidP="00587B62">
      <w:pPr>
        <w:spacing w:line="360" w:lineRule="auto"/>
        <w:jc w:val="both"/>
        <w:rPr>
          <w:rFonts w:ascii="Tahoma" w:hAnsi="Tahoma" w:cs="Tahoma"/>
          <w:sz w:val="20"/>
          <w:szCs w:val="20"/>
        </w:rPr>
      </w:pPr>
    </w:p>
    <w:p w14:paraId="3747FA86"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DÉCIMA</w:t>
      </w:r>
    </w:p>
    <w:p w14:paraId="5F62B3C8"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DAS PENALIDADES</w:t>
      </w:r>
    </w:p>
    <w:p w14:paraId="6897D5F9" w14:textId="77777777" w:rsidR="00397B13" w:rsidRPr="00C81B0E" w:rsidRDefault="00397B13" w:rsidP="00587B62">
      <w:pPr>
        <w:spacing w:line="360" w:lineRule="auto"/>
        <w:jc w:val="center"/>
        <w:rPr>
          <w:rFonts w:ascii="Tahoma" w:hAnsi="Tahoma" w:cs="Tahoma"/>
          <w:b/>
          <w:bCs/>
          <w:sz w:val="20"/>
          <w:szCs w:val="20"/>
        </w:rPr>
      </w:pPr>
    </w:p>
    <w:p w14:paraId="23F894E4"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10.1. O não cumprimento das cláusulas do fomento, bem como a inexecução total ou parcial do Plano de Trabalho aprovado configuram irregularidades passíveis das seguintes penalidades, aplicadas cumulativamente e/ou progressivamente, além de outras previstas pela SMDHC:</w:t>
      </w:r>
    </w:p>
    <w:p w14:paraId="1274A3BB"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10.1.1. Advertência;</w:t>
      </w:r>
    </w:p>
    <w:p w14:paraId="1FB9F98E" w14:textId="77777777" w:rsidR="00397B13" w:rsidRPr="00C81B0E" w:rsidRDefault="00397B13" w:rsidP="00587B62">
      <w:pPr>
        <w:spacing w:line="360" w:lineRule="auto"/>
        <w:jc w:val="both"/>
        <w:rPr>
          <w:rFonts w:ascii="Tahoma" w:hAnsi="Tahoma" w:cs="Tahoma"/>
          <w:color w:val="000000"/>
          <w:sz w:val="20"/>
          <w:szCs w:val="20"/>
        </w:rPr>
      </w:pPr>
      <w:r w:rsidRPr="00C81B0E">
        <w:rPr>
          <w:rFonts w:ascii="Tahoma" w:hAnsi="Tahoma" w:cs="Tahoma"/>
          <w:sz w:val="20"/>
          <w:szCs w:val="20"/>
        </w:rPr>
        <w:tab/>
        <w:t xml:space="preserve">10.1.2. </w:t>
      </w:r>
      <w:r w:rsidRPr="00C81B0E">
        <w:rPr>
          <w:rFonts w:ascii="Tahoma" w:hAnsi="Tahoma" w:cs="Tahoma"/>
          <w:color w:val="000000"/>
          <w:sz w:val="20"/>
          <w:szCs w:val="20"/>
        </w:rPr>
        <w:t xml:space="preserve">Suspensão temporária da participação em chamamento público e </w:t>
      </w:r>
      <w:r w:rsidRPr="00C81B0E">
        <w:rPr>
          <w:rFonts w:ascii="Tahoma" w:hAnsi="Tahoma" w:cs="Tahoma"/>
          <w:color w:val="000000"/>
          <w:sz w:val="20"/>
          <w:szCs w:val="20"/>
        </w:rPr>
        <w:tab/>
        <w:t xml:space="preserve">impedimento de celebrar parceria ou contrato com órgãos e entidades da esfera </w:t>
      </w:r>
      <w:r w:rsidRPr="00C81B0E">
        <w:rPr>
          <w:rFonts w:ascii="Tahoma" w:hAnsi="Tahoma" w:cs="Tahoma"/>
          <w:color w:val="000000"/>
          <w:sz w:val="20"/>
          <w:szCs w:val="20"/>
        </w:rPr>
        <w:tab/>
        <w:t>de governo da administração pública sancionadora, por até 2 (dois)</w:t>
      </w:r>
      <w:r w:rsidRPr="00C81B0E">
        <w:rPr>
          <w:rFonts w:ascii="Tahoma" w:hAnsi="Tahoma" w:cs="Tahoma"/>
          <w:color w:val="000000"/>
          <w:sz w:val="20"/>
          <w:szCs w:val="20"/>
        </w:rPr>
        <w:tab/>
        <w:t>anos;</w:t>
      </w:r>
    </w:p>
    <w:p w14:paraId="3CA76E0A" w14:textId="77777777" w:rsidR="00397B13" w:rsidRPr="00C81B0E" w:rsidRDefault="00397B13" w:rsidP="00587B62">
      <w:pPr>
        <w:spacing w:line="360" w:lineRule="auto"/>
        <w:ind w:left="708"/>
        <w:jc w:val="both"/>
        <w:rPr>
          <w:rFonts w:ascii="Tahoma" w:hAnsi="Tahoma" w:cs="Tahoma"/>
          <w:sz w:val="20"/>
          <w:szCs w:val="20"/>
        </w:rPr>
      </w:pPr>
      <w:r w:rsidRPr="00C81B0E">
        <w:rPr>
          <w:rFonts w:ascii="Tahoma" w:hAnsi="Tahoma" w:cs="Tahoma"/>
          <w:color w:val="000000"/>
          <w:sz w:val="20"/>
          <w:szCs w:val="20"/>
        </w:rPr>
        <w:t xml:space="preserve">10.1.3. Declaração de inidoneidade para participar de chamamento público ou </w:t>
      </w:r>
      <w:r w:rsidRPr="00C81B0E">
        <w:rPr>
          <w:rFonts w:ascii="Tahoma" w:hAnsi="Tahoma" w:cs="Tahoma"/>
          <w:color w:val="000000"/>
          <w:sz w:val="20"/>
          <w:szCs w:val="20"/>
        </w:rPr>
        <w:tab/>
        <w:t xml:space="preserve">celebrar parceria ou contrato com órgãos e entidades de todas as esferas de </w:t>
      </w:r>
      <w:r w:rsidRPr="00C81B0E">
        <w:rPr>
          <w:rFonts w:ascii="Tahoma" w:hAnsi="Tahoma" w:cs="Tahoma"/>
          <w:color w:val="000000"/>
          <w:sz w:val="20"/>
          <w:szCs w:val="20"/>
        </w:rPr>
        <w:tab/>
        <w:t>governo</w:t>
      </w:r>
      <w:r w:rsidRPr="00C81B0E">
        <w:rPr>
          <w:rFonts w:ascii="Tahoma" w:hAnsi="Tahoma" w:cs="Tahoma"/>
          <w:sz w:val="20"/>
          <w:szCs w:val="20"/>
        </w:rPr>
        <w:t xml:space="preserve"> enquanto perdurarem os motivos determinantes da punição ou até que seja promovida a reabilitação perante a SMDHC, que ocorrerá quando a organização ressarcir a administração pelos prejuízos;</w:t>
      </w:r>
    </w:p>
    <w:p w14:paraId="7E354AF9" w14:textId="77777777" w:rsidR="00397B13" w:rsidRPr="00C81B0E" w:rsidRDefault="00397B13" w:rsidP="00587B62">
      <w:pPr>
        <w:spacing w:line="360" w:lineRule="auto"/>
        <w:ind w:left="708"/>
        <w:jc w:val="both"/>
        <w:rPr>
          <w:rFonts w:ascii="Tahoma" w:hAnsi="Tahoma" w:cs="Tahoma"/>
          <w:color w:val="000000"/>
          <w:sz w:val="20"/>
          <w:szCs w:val="20"/>
        </w:rPr>
      </w:pPr>
      <w:r w:rsidRPr="00C81B0E">
        <w:rPr>
          <w:rFonts w:ascii="Tahoma" w:hAnsi="Tahoma" w:cs="Tahoma"/>
          <w:sz w:val="20"/>
          <w:szCs w:val="20"/>
        </w:rPr>
        <w:t xml:space="preserve">10.1.4. Inclusão de pendências no CADIN Municipal, conforme Lei Municipal </w:t>
      </w:r>
      <w:r>
        <w:rPr>
          <w:rFonts w:ascii="Tahoma" w:hAnsi="Tahoma" w:cs="Tahoma"/>
          <w:sz w:val="20"/>
          <w:szCs w:val="20"/>
        </w:rPr>
        <w:t>n</w:t>
      </w:r>
      <w:r w:rsidRPr="001453AC">
        <w:rPr>
          <w:rFonts w:ascii="Tahoma" w:hAnsi="Tahoma" w:cs="Tahoma"/>
          <w:sz w:val="20"/>
          <w:szCs w:val="20"/>
        </w:rPr>
        <w:t>º</w:t>
      </w:r>
      <w:r>
        <w:rPr>
          <w:rFonts w:ascii="Tahoma" w:hAnsi="Tahoma" w:cs="Tahoma"/>
          <w:sz w:val="20"/>
          <w:szCs w:val="20"/>
        </w:rPr>
        <w:t xml:space="preserve"> </w:t>
      </w:r>
      <w:r w:rsidRPr="00C81B0E">
        <w:rPr>
          <w:rFonts w:ascii="Tahoma" w:hAnsi="Tahoma" w:cs="Tahoma"/>
          <w:sz w:val="20"/>
          <w:szCs w:val="20"/>
        </w:rPr>
        <w:t xml:space="preserve">14.094/2005, facultada a defesa do interessado em 10 (dez) dias corridos contados da data de abertura de vista dos autos processuais. </w:t>
      </w:r>
    </w:p>
    <w:p w14:paraId="5D8A2E63" w14:textId="77777777" w:rsidR="00397B13" w:rsidRPr="00C81B0E" w:rsidRDefault="00397B13" w:rsidP="00587B62">
      <w:pPr>
        <w:spacing w:line="360" w:lineRule="auto"/>
        <w:jc w:val="both"/>
        <w:rPr>
          <w:rFonts w:ascii="Tahoma" w:hAnsi="Tahoma" w:cs="Tahoma"/>
          <w:sz w:val="20"/>
          <w:szCs w:val="20"/>
        </w:rPr>
      </w:pPr>
    </w:p>
    <w:p w14:paraId="19227697"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10.2. Sem prejuízo das penalidades previstas no termo de fomento, poderá a SMDHC, conforme o caso, determinar a suspensão do pagamento e rescisão do termo de fomento.</w:t>
      </w:r>
    </w:p>
    <w:p w14:paraId="5A2C448A" w14:textId="77777777"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 xml:space="preserve">10.3. </w:t>
      </w:r>
      <w:r w:rsidRPr="00C81B0E">
        <w:rPr>
          <w:rFonts w:ascii="Tahoma" w:hAnsi="Tahoma" w:cs="Tahoma"/>
          <w:sz w:val="20"/>
          <w:szCs w:val="20"/>
        </w:rPr>
        <w:tab/>
        <w:t xml:space="preserve">As sanções estabelecidas nos itens 10.1.2., 10.1.3 e 10.1.4 são de competência exclusiva do/a Secretário/a, facultada a defesa do interessado no respectivo processo, no prazo de  10 (dez) dias, </w:t>
      </w:r>
      <w:r w:rsidRPr="00C81B0E">
        <w:rPr>
          <w:rFonts w:ascii="Tahoma" w:hAnsi="Tahoma" w:cs="Tahoma"/>
          <w:sz w:val="20"/>
          <w:szCs w:val="20"/>
        </w:rPr>
        <w:lastRenderedPageBreak/>
        <w:t xml:space="preserve">contados da abertura de vista, podendo a reabilitação ser requerida após  2 (dois) anos de aplicação da penalidade. </w:t>
      </w:r>
    </w:p>
    <w:p w14:paraId="6F4E391F" w14:textId="77777777"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10.4.</w:t>
      </w:r>
      <w:r w:rsidRPr="00C81B0E">
        <w:rPr>
          <w:rFonts w:ascii="Tahoma" w:hAnsi="Tahoma" w:cs="Tahoma"/>
          <w:sz w:val="20"/>
          <w:szCs w:val="20"/>
        </w:rPr>
        <w:tab/>
        <w:t xml:space="preserve"> A sanção estabelecida no item 10.1.1. é de competência exclusiva do gestor da parceria, facultada a defesa do interessado no respectivo processo, no prazo de 10 (dez) dias, contados da abertura de vista.</w:t>
      </w:r>
    </w:p>
    <w:p w14:paraId="26F2560C" w14:textId="77777777"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10.5.</w:t>
      </w:r>
      <w:r w:rsidRPr="00C81B0E">
        <w:rPr>
          <w:rFonts w:ascii="Tahoma" w:hAnsi="Tahoma" w:cs="Tahoma"/>
          <w:sz w:val="20"/>
          <w:szCs w:val="20"/>
        </w:rPr>
        <w:tab/>
        <w:t xml:space="preserve"> Os órgãos técnicos deverão se manifestar sobre a defesa apresentada, em qualquer caso, e a área jurídica quando se tratar de possibilidade de aplicação das sanções previstas nos itens 10.1.2., 10.1.3. e 10.1.4.</w:t>
      </w:r>
    </w:p>
    <w:p w14:paraId="39DBC089" w14:textId="77777777"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 xml:space="preserve">10.6. A </w:t>
      </w:r>
      <w:r w:rsidRPr="00DE0D12">
        <w:rPr>
          <w:rFonts w:ascii="Tahoma" w:hAnsi="Tahoma" w:cs="Tahoma"/>
          <w:caps/>
          <w:sz w:val="20"/>
          <w:szCs w:val="20"/>
        </w:rPr>
        <w:t xml:space="preserve">organização </w:t>
      </w:r>
      <w:r w:rsidRPr="00C81B0E">
        <w:rPr>
          <w:rFonts w:ascii="Tahoma" w:hAnsi="Tahoma" w:cs="Tahoma"/>
          <w:sz w:val="20"/>
          <w:szCs w:val="20"/>
        </w:rPr>
        <w:t>deverá ser notificada e/ou intimada acerca da penalidade aplicada.</w:t>
      </w:r>
    </w:p>
    <w:p w14:paraId="3E7607C2" w14:textId="77777777"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 xml:space="preserve">10.7. A </w:t>
      </w:r>
      <w:r w:rsidRPr="00DE0D12">
        <w:rPr>
          <w:rFonts w:ascii="Tahoma" w:hAnsi="Tahoma" w:cs="Tahoma"/>
          <w:caps/>
          <w:sz w:val="20"/>
          <w:szCs w:val="20"/>
        </w:rPr>
        <w:t>organização</w:t>
      </w:r>
      <w:r w:rsidRPr="00C81B0E">
        <w:rPr>
          <w:rFonts w:ascii="Tahoma" w:hAnsi="Tahoma" w:cs="Tahoma"/>
          <w:sz w:val="20"/>
          <w:szCs w:val="20"/>
        </w:rPr>
        <w:t xml:space="preserve"> poderá recorrer na forma da Portaria nº</w:t>
      </w:r>
      <w:r>
        <w:rPr>
          <w:rFonts w:ascii="Tahoma" w:hAnsi="Tahoma" w:cs="Tahoma"/>
          <w:sz w:val="20"/>
          <w:szCs w:val="20"/>
        </w:rPr>
        <w:t xml:space="preserve"> 140</w:t>
      </w:r>
      <w:r w:rsidRPr="00C81B0E">
        <w:rPr>
          <w:rFonts w:ascii="Tahoma" w:hAnsi="Tahoma" w:cs="Tahoma"/>
          <w:sz w:val="20"/>
          <w:szCs w:val="20"/>
        </w:rPr>
        <w:t>/SMDHC/2019.</w:t>
      </w:r>
    </w:p>
    <w:p w14:paraId="51147BF6" w14:textId="77777777" w:rsidR="00397B13"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10.8.</w:t>
      </w:r>
      <w:r w:rsidRPr="00C81B0E">
        <w:rPr>
          <w:rFonts w:ascii="Tahoma" w:hAnsi="Tahoma" w:cs="Tahoma"/>
          <w:sz w:val="20"/>
          <w:szCs w:val="20"/>
        </w:rPr>
        <w:tab/>
        <w:t xml:space="preserve"> As notificações e intimações de que trata este artigo serão encaminhadas à organização preferencialmente via correspondência eletrônica, sem prejuízo de outras formas de comunicação, assegurando-se a ciência do interessado para fins de exercício do direito ao contraditório e a ampla defesa.</w:t>
      </w:r>
    </w:p>
    <w:p w14:paraId="19E46815" w14:textId="77777777" w:rsidR="00397B13" w:rsidRPr="00C81B0E" w:rsidRDefault="00397B13" w:rsidP="00587B62">
      <w:pPr>
        <w:pStyle w:val="Header"/>
        <w:spacing w:line="360" w:lineRule="auto"/>
        <w:ind w:right="50"/>
        <w:jc w:val="both"/>
        <w:rPr>
          <w:rFonts w:ascii="Tahoma" w:hAnsi="Tahoma" w:cs="Tahoma"/>
          <w:sz w:val="20"/>
          <w:szCs w:val="20"/>
        </w:rPr>
      </w:pPr>
    </w:p>
    <w:p w14:paraId="6A79ADB1" w14:textId="77777777" w:rsidR="00397B13" w:rsidRPr="00C81B0E" w:rsidRDefault="00397B13" w:rsidP="00587B62">
      <w:pPr>
        <w:spacing w:line="360" w:lineRule="auto"/>
        <w:rPr>
          <w:rFonts w:ascii="Tahoma" w:hAnsi="Tahoma" w:cs="Tahoma"/>
          <w:b/>
          <w:bCs/>
          <w:sz w:val="20"/>
          <w:szCs w:val="20"/>
        </w:rPr>
      </w:pPr>
    </w:p>
    <w:p w14:paraId="590944C1"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DÉCIMA PRIMEIRA</w:t>
      </w:r>
    </w:p>
    <w:p w14:paraId="539F77B4"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DA PUBLICIDADE</w:t>
      </w:r>
    </w:p>
    <w:p w14:paraId="27C01B32" w14:textId="77777777" w:rsidR="00397B13" w:rsidRPr="00C81B0E" w:rsidRDefault="00397B13" w:rsidP="00587B62">
      <w:pPr>
        <w:spacing w:line="360" w:lineRule="auto"/>
        <w:jc w:val="both"/>
        <w:rPr>
          <w:rFonts w:ascii="Tahoma" w:hAnsi="Tahoma" w:cs="Tahoma"/>
          <w:sz w:val="20"/>
          <w:szCs w:val="20"/>
        </w:rPr>
      </w:pPr>
    </w:p>
    <w:p w14:paraId="0FE008BC"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11.1. Fica vedada a qualquer dos partícipes a divulgação das ações envolvidas no presente com finalidade egoística ou incompatível com a vislumbrada neste Termo.</w:t>
      </w:r>
    </w:p>
    <w:p w14:paraId="20BBD749"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11.2. Toda e qualquer divulgação será feita em respeito aos interesses da coletividade, ficando vedada a utilização de nomes, símbolos ou imagens, que, de alguma forma, descaracterizem o Interesse Público e se confundam com promoção de natureza pessoal de agentes públicos ou dos dirigentes da Parceira.</w:t>
      </w:r>
    </w:p>
    <w:p w14:paraId="613ECDD4"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11.3. Toda e qualquer veiculação, divulgação ou referência ao projeto deverá trazer, obrigatoriamente, e de forma clara e visível, a atividade de fomento desempenhado pela Administração Pública da Cidade de São Paulo.</w:t>
      </w:r>
    </w:p>
    <w:p w14:paraId="416B34B4"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11.4. Tanto a concedente como a ORGANIZAÇÃO estão autorizados a apresentar o projeto em congressos, seminários e eventos públicos de interesse social e educacional, divulgar textos e imagens, em material impresso ou na web, sempre citando a parceria SMDHC e a Parceira.</w:t>
      </w:r>
    </w:p>
    <w:p w14:paraId="48D1AC71"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11.5. Todo material produzido será de propriedade de SMDHC.</w:t>
      </w:r>
    </w:p>
    <w:p w14:paraId="2ED136BB"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11.6. O extrato do termo de fomento e de seus termos aditivos deverão ser publicados no Diário Oficial da Cidade e no site da SMDHC, no prazo máximo de 30 (trinta) dias, a contar da assinatura.</w:t>
      </w:r>
    </w:p>
    <w:p w14:paraId="2B2D68F2" w14:textId="77777777"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11.7. Promover as divulgações conforme subitens 3.2.11 e 3.3.19 deste termo.</w:t>
      </w:r>
    </w:p>
    <w:p w14:paraId="081FCA8F" w14:textId="77777777" w:rsidR="00397B13" w:rsidRPr="00C81B0E" w:rsidRDefault="00397B13" w:rsidP="00587B62">
      <w:pPr>
        <w:spacing w:line="360" w:lineRule="auto"/>
        <w:jc w:val="both"/>
        <w:rPr>
          <w:rFonts w:ascii="Tahoma" w:hAnsi="Tahoma" w:cs="Tahoma"/>
          <w:sz w:val="20"/>
          <w:szCs w:val="20"/>
        </w:rPr>
      </w:pPr>
    </w:p>
    <w:p w14:paraId="46AA7DBB"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DÉCIMA SEGUNDA</w:t>
      </w:r>
    </w:p>
    <w:p w14:paraId="15A6481A" w14:textId="77777777"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FORO</w:t>
      </w:r>
    </w:p>
    <w:p w14:paraId="2728C6C4" w14:textId="77777777" w:rsidR="00397B13" w:rsidRPr="0081706E" w:rsidRDefault="00397B13" w:rsidP="00587B62">
      <w:pPr>
        <w:pStyle w:val="citacao"/>
        <w:spacing w:line="360" w:lineRule="auto"/>
        <w:jc w:val="both"/>
        <w:rPr>
          <w:rFonts w:ascii="Tahoma" w:hAnsi="Tahoma" w:cs="Tahoma"/>
          <w:sz w:val="20"/>
          <w:szCs w:val="20"/>
        </w:rPr>
      </w:pPr>
      <w:r w:rsidRPr="0081706E">
        <w:rPr>
          <w:rFonts w:ascii="Tahoma" w:hAnsi="Tahoma" w:cs="Tahoma"/>
          <w:sz w:val="20"/>
          <w:szCs w:val="20"/>
        </w:rPr>
        <w:lastRenderedPageBreak/>
        <w:t>12.1 Fica convencionado que quaisquer conflitos serão, preliminarmente, resolvidos pelos partícipes de forma amigável, com prévia tentativa de solução administrativa, sendo facultada a mediação do conflito, com a participação do órgão encarregado do assessoramento jurídico integrante da estrutura da administração pública (Art. 32, I, da Lei 13.178/2015 - Lei de Mediação).</w:t>
      </w:r>
      <w:r w:rsidRPr="0081706E">
        <w:rPr>
          <w:rFonts w:ascii="Tahoma" w:hAnsi="Tahoma" w:cs="Tahoma"/>
          <w:sz w:val="20"/>
          <w:szCs w:val="20"/>
        </w:rPr>
        <w:br/>
        <w:t>12.2. Não havendo a solução extrajudicial do conflito, os partícipes elegem o Foro da Fazenda Pública da Comarca de São Paulo para dirimir quaisquer pendências decorrentes do presente termo, renunciando a qualquer outro.</w:t>
      </w:r>
    </w:p>
    <w:p w14:paraId="625E2551" w14:textId="77777777" w:rsidR="00397B13" w:rsidRPr="0081706E" w:rsidRDefault="00397B13" w:rsidP="00587B62">
      <w:pPr>
        <w:spacing w:line="360" w:lineRule="auto"/>
        <w:jc w:val="both"/>
        <w:rPr>
          <w:rFonts w:ascii="Tahoma" w:hAnsi="Tahoma" w:cs="Tahoma"/>
          <w:sz w:val="20"/>
          <w:szCs w:val="20"/>
        </w:rPr>
      </w:pPr>
      <w:r w:rsidRPr="0081706E">
        <w:rPr>
          <w:rFonts w:ascii="Tahoma" w:hAnsi="Tahoma" w:cs="Tahoma"/>
          <w:sz w:val="20"/>
          <w:szCs w:val="20"/>
        </w:rPr>
        <w:t>E, assim, por estarem plenamente de acordo, os partícipes obrigam-se ao total e irrenunciável cumprimento dos termos do presente instrumento, o qual, lido e achado conforme, foi lavrado em 03 (três) vias de igual teor e forma, para um só efeito, que vão assinadas pelas partícipes abaixo nomeadas e identificadas, para que produza seus efeitos legais e jurídicos, em Juízo ou fora dele.</w:t>
      </w:r>
    </w:p>
    <w:p w14:paraId="50CA85A4" w14:textId="77777777" w:rsidR="00397B13" w:rsidRPr="0081706E" w:rsidRDefault="00397B13" w:rsidP="00587B62">
      <w:pPr>
        <w:spacing w:line="360" w:lineRule="auto"/>
        <w:jc w:val="both"/>
        <w:rPr>
          <w:rFonts w:ascii="Tahoma" w:hAnsi="Tahoma" w:cs="Tahoma"/>
          <w:sz w:val="20"/>
          <w:szCs w:val="20"/>
        </w:rPr>
      </w:pPr>
    </w:p>
    <w:p w14:paraId="0475D007" w14:textId="77777777" w:rsidR="00397B13" w:rsidRPr="00C81B0E" w:rsidRDefault="00397B13" w:rsidP="00587B62">
      <w:pPr>
        <w:spacing w:line="360" w:lineRule="auto"/>
        <w:jc w:val="both"/>
        <w:rPr>
          <w:rFonts w:ascii="Tahoma" w:hAnsi="Tahoma" w:cs="Tahoma"/>
          <w:sz w:val="20"/>
          <w:szCs w:val="20"/>
        </w:rPr>
      </w:pPr>
    </w:p>
    <w:p w14:paraId="36BA6227" w14:textId="77777777" w:rsidR="00397B13" w:rsidRPr="00C81B0E" w:rsidRDefault="00397B13" w:rsidP="00587B62">
      <w:pPr>
        <w:spacing w:line="360" w:lineRule="auto"/>
        <w:jc w:val="right"/>
        <w:rPr>
          <w:rFonts w:ascii="Tahoma" w:hAnsi="Tahoma" w:cs="Tahoma"/>
          <w:sz w:val="20"/>
          <w:szCs w:val="20"/>
        </w:rPr>
      </w:pPr>
      <w:r w:rsidRPr="00C81B0E">
        <w:rPr>
          <w:rFonts w:ascii="Tahoma" w:hAnsi="Tahoma" w:cs="Tahoma"/>
          <w:sz w:val="20"/>
          <w:szCs w:val="20"/>
        </w:rPr>
        <w:t>São Paulo, ___ de ______________ de 20__</w:t>
      </w:r>
    </w:p>
    <w:p w14:paraId="27544231" w14:textId="77777777" w:rsidR="00397B13" w:rsidRPr="00C81B0E" w:rsidRDefault="00397B13" w:rsidP="00587B62">
      <w:pPr>
        <w:spacing w:line="360" w:lineRule="auto"/>
        <w:jc w:val="right"/>
        <w:rPr>
          <w:rFonts w:ascii="Tahoma" w:hAnsi="Tahoma" w:cs="Tahoma"/>
          <w:sz w:val="20"/>
          <w:szCs w:val="20"/>
        </w:rPr>
      </w:pPr>
    </w:p>
    <w:p w14:paraId="667C2B57" w14:textId="77777777" w:rsidR="00397B13" w:rsidRPr="00C81B0E" w:rsidRDefault="00397B13" w:rsidP="00587B62">
      <w:pPr>
        <w:spacing w:line="360" w:lineRule="auto"/>
        <w:jc w:val="right"/>
        <w:rPr>
          <w:rFonts w:ascii="Tahoma" w:hAnsi="Tahoma" w:cs="Tahoma"/>
          <w:sz w:val="20"/>
          <w:szCs w:val="20"/>
        </w:rPr>
      </w:pPr>
    </w:p>
    <w:p w14:paraId="449784C4" w14:textId="77777777" w:rsidR="00397B13" w:rsidRPr="00C81B0E" w:rsidRDefault="00397B13" w:rsidP="00587B62">
      <w:pPr>
        <w:spacing w:line="360" w:lineRule="auto"/>
        <w:jc w:val="right"/>
        <w:rPr>
          <w:rFonts w:ascii="Tahoma" w:hAnsi="Tahoma" w:cs="Tahoma"/>
          <w:b/>
          <w:bCs/>
          <w:i/>
          <w:iCs/>
          <w:sz w:val="20"/>
          <w:szCs w:val="20"/>
        </w:rPr>
      </w:pPr>
      <w:r w:rsidRPr="00C81B0E">
        <w:rPr>
          <w:rFonts w:ascii="Tahoma" w:hAnsi="Tahoma" w:cs="Tahoma"/>
          <w:b/>
          <w:bCs/>
          <w:i/>
          <w:iCs/>
          <w:sz w:val="20"/>
          <w:szCs w:val="20"/>
        </w:rPr>
        <w:t>Secret</w:t>
      </w:r>
      <w:r>
        <w:rPr>
          <w:rFonts w:ascii="Tahoma" w:hAnsi="Tahoma" w:cs="Tahoma"/>
          <w:b/>
          <w:bCs/>
          <w:i/>
          <w:iCs/>
          <w:sz w:val="20"/>
          <w:szCs w:val="20"/>
        </w:rPr>
        <w:t>a</w:t>
      </w:r>
      <w:r w:rsidRPr="00C81B0E">
        <w:rPr>
          <w:rFonts w:ascii="Tahoma" w:hAnsi="Tahoma" w:cs="Tahoma"/>
          <w:b/>
          <w:bCs/>
          <w:i/>
          <w:iCs/>
          <w:sz w:val="20"/>
          <w:szCs w:val="20"/>
        </w:rPr>
        <w:t>ria Municipal de Direitos Humanos e Cidadania</w:t>
      </w:r>
    </w:p>
    <w:p w14:paraId="03CD3D15" w14:textId="77777777" w:rsidR="00397B13" w:rsidRPr="00C81B0E" w:rsidRDefault="00397B13" w:rsidP="00587B62">
      <w:pPr>
        <w:spacing w:line="360" w:lineRule="auto"/>
        <w:jc w:val="right"/>
        <w:rPr>
          <w:rFonts w:ascii="Tahoma" w:hAnsi="Tahoma" w:cs="Tahoma"/>
          <w:sz w:val="20"/>
          <w:szCs w:val="20"/>
        </w:rPr>
      </w:pPr>
    </w:p>
    <w:p w14:paraId="73ACF4FD" w14:textId="77777777" w:rsidR="00397B13" w:rsidRPr="00C81B0E" w:rsidRDefault="00397B13" w:rsidP="00587B62">
      <w:pPr>
        <w:spacing w:line="360" w:lineRule="auto"/>
        <w:rPr>
          <w:rFonts w:ascii="Tahoma" w:hAnsi="Tahoma" w:cs="Tahoma"/>
          <w:sz w:val="20"/>
          <w:szCs w:val="20"/>
        </w:rPr>
      </w:pPr>
    </w:p>
    <w:p w14:paraId="4D3F8E1D" w14:textId="77777777" w:rsidR="00397B13" w:rsidRPr="00C81B0E" w:rsidRDefault="00397B13" w:rsidP="00587B62">
      <w:pPr>
        <w:spacing w:line="360" w:lineRule="auto"/>
        <w:jc w:val="right"/>
        <w:rPr>
          <w:rFonts w:ascii="Tahoma" w:hAnsi="Tahoma" w:cs="Tahoma"/>
          <w:b/>
          <w:bCs/>
          <w:i/>
          <w:iCs/>
          <w:sz w:val="20"/>
          <w:szCs w:val="20"/>
        </w:rPr>
      </w:pPr>
      <w:r w:rsidRPr="00C81B0E">
        <w:rPr>
          <w:rFonts w:ascii="Tahoma" w:hAnsi="Tahoma" w:cs="Tahoma"/>
          <w:b/>
          <w:bCs/>
          <w:i/>
          <w:iCs/>
          <w:sz w:val="20"/>
          <w:szCs w:val="20"/>
        </w:rPr>
        <w:t xml:space="preserve">Presidente da </w:t>
      </w:r>
      <w:r w:rsidRPr="00DE0D12">
        <w:rPr>
          <w:rFonts w:ascii="Tahoma" w:hAnsi="Tahoma" w:cs="Tahoma"/>
          <w:b/>
          <w:bCs/>
          <w:i/>
          <w:iCs/>
          <w:caps/>
          <w:sz w:val="20"/>
          <w:szCs w:val="20"/>
        </w:rPr>
        <w:t>Organizaçã</w:t>
      </w:r>
      <w:r>
        <w:rPr>
          <w:rFonts w:ascii="Tahoma" w:hAnsi="Tahoma" w:cs="Tahoma"/>
          <w:b/>
          <w:bCs/>
          <w:i/>
          <w:iCs/>
          <w:sz w:val="20"/>
          <w:szCs w:val="20"/>
        </w:rPr>
        <w:t>O</w:t>
      </w:r>
    </w:p>
    <w:p w14:paraId="1A3BC049" w14:textId="77777777" w:rsidR="00397B13" w:rsidRPr="00C81B0E" w:rsidRDefault="00397B13" w:rsidP="00587B62">
      <w:pPr>
        <w:spacing w:line="360" w:lineRule="auto"/>
        <w:rPr>
          <w:rFonts w:ascii="Tahoma" w:hAnsi="Tahoma" w:cs="Tahoma"/>
          <w:b/>
          <w:bCs/>
          <w:i/>
          <w:iCs/>
          <w:sz w:val="20"/>
          <w:szCs w:val="20"/>
        </w:rPr>
      </w:pPr>
    </w:p>
    <w:p w14:paraId="014C6A85" w14:textId="77777777" w:rsidR="00397B13" w:rsidRPr="00C81B0E" w:rsidRDefault="00397B13" w:rsidP="00587B62">
      <w:pPr>
        <w:spacing w:line="360" w:lineRule="auto"/>
        <w:jc w:val="center"/>
        <w:rPr>
          <w:rFonts w:ascii="Tahoma" w:hAnsi="Tahoma" w:cs="Tahoma"/>
          <w:b/>
          <w:bCs/>
          <w:i/>
          <w:iCs/>
          <w:sz w:val="20"/>
          <w:szCs w:val="20"/>
        </w:rPr>
      </w:pPr>
    </w:p>
    <w:p w14:paraId="6B9F140E" w14:textId="77777777" w:rsidR="00397B13" w:rsidRPr="00C81B0E" w:rsidRDefault="00397B13" w:rsidP="00587B62">
      <w:pPr>
        <w:spacing w:line="360" w:lineRule="auto"/>
        <w:jc w:val="center"/>
        <w:rPr>
          <w:rFonts w:ascii="Tahoma" w:hAnsi="Tahoma" w:cs="Tahoma"/>
          <w:b/>
          <w:bCs/>
          <w:i/>
          <w:iCs/>
          <w:sz w:val="20"/>
          <w:szCs w:val="20"/>
        </w:rPr>
      </w:pPr>
    </w:p>
    <w:p w14:paraId="50D14F94" w14:textId="77777777" w:rsidR="00397B13" w:rsidRPr="00C81B0E" w:rsidRDefault="00397B13" w:rsidP="00587B62">
      <w:pPr>
        <w:spacing w:line="360" w:lineRule="auto"/>
        <w:jc w:val="center"/>
        <w:rPr>
          <w:rFonts w:ascii="Tahoma" w:hAnsi="Tahoma" w:cs="Tahoma"/>
          <w:b/>
          <w:bCs/>
          <w:i/>
          <w:iCs/>
          <w:sz w:val="20"/>
          <w:szCs w:val="20"/>
        </w:rPr>
      </w:pPr>
      <w:r w:rsidRPr="00C81B0E">
        <w:rPr>
          <w:rFonts w:ascii="Tahoma" w:hAnsi="Tahoma" w:cs="Tahoma"/>
          <w:b/>
          <w:bCs/>
          <w:i/>
          <w:iCs/>
          <w:sz w:val="20"/>
          <w:szCs w:val="20"/>
        </w:rPr>
        <w:t>ANEXO ÚNICO</w:t>
      </w:r>
    </w:p>
    <w:p w14:paraId="08E6B4C4" w14:textId="77777777" w:rsidR="00397B13" w:rsidRPr="00C81B0E" w:rsidRDefault="00397B13" w:rsidP="00587B62">
      <w:pPr>
        <w:spacing w:line="360" w:lineRule="auto"/>
        <w:jc w:val="center"/>
        <w:rPr>
          <w:rFonts w:ascii="Tahoma" w:hAnsi="Tahoma" w:cs="Tahoma"/>
          <w:b/>
          <w:bCs/>
          <w:i/>
          <w:iCs/>
          <w:sz w:val="20"/>
          <w:szCs w:val="20"/>
        </w:rPr>
      </w:pPr>
      <w:r w:rsidRPr="00C81B0E">
        <w:rPr>
          <w:rFonts w:ascii="Tahoma" w:hAnsi="Tahoma" w:cs="Tahoma"/>
          <w:b/>
          <w:bCs/>
          <w:i/>
          <w:iCs/>
          <w:sz w:val="20"/>
          <w:szCs w:val="20"/>
        </w:rPr>
        <w:t>PLANO DE TRABALHO</w:t>
      </w:r>
    </w:p>
    <w:p w14:paraId="15B16812" w14:textId="77777777" w:rsidR="00397B13" w:rsidRPr="00C81B0E" w:rsidRDefault="00397B13" w:rsidP="00587B62">
      <w:pPr>
        <w:spacing w:line="360" w:lineRule="auto"/>
        <w:jc w:val="right"/>
        <w:rPr>
          <w:rFonts w:ascii="Tahoma" w:hAnsi="Tahoma" w:cs="Tahoma"/>
          <w:b/>
          <w:bCs/>
          <w:i/>
          <w:iCs/>
          <w:sz w:val="20"/>
          <w:szCs w:val="20"/>
        </w:rPr>
      </w:pPr>
    </w:p>
    <w:p w14:paraId="51F23C1A" w14:textId="77777777" w:rsidR="00397B13" w:rsidRPr="00C81B0E" w:rsidRDefault="00397B13" w:rsidP="00587B62">
      <w:pPr>
        <w:spacing w:line="360" w:lineRule="auto"/>
        <w:jc w:val="right"/>
        <w:rPr>
          <w:rFonts w:ascii="Tahoma" w:hAnsi="Tahoma" w:cs="Tahoma"/>
          <w:b/>
          <w:bCs/>
          <w:i/>
          <w:iCs/>
          <w:sz w:val="20"/>
          <w:szCs w:val="20"/>
        </w:rPr>
      </w:pPr>
    </w:p>
    <w:p w14:paraId="54F888D0" w14:textId="77777777" w:rsidR="00397B13" w:rsidRPr="00C81B0E" w:rsidRDefault="00397B13" w:rsidP="00587B62">
      <w:pPr>
        <w:spacing w:line="360" w:lineRule="auto"/>
        <w:jc w:val="right"/>
        <w:rPr>
          <w:rFonts w:ascii="Tahoma" w:hAnsi="Tahoma" w:cs="Tahoma"/>
          <w:b/>
          <w:bCs/>
          <w:i/>
          <w:iCs/>
          <w:sz w:val="20"/>
          <w:szCs w:val="20"/>
        </w:rPr>
      </w:pPr>
    </w:p>
    <w:p w14:paraId="5DA56575" w14:textId="77777777" w:rsidR="00397B13" w:rsidRPr="00C81B0E" w:rsidRDefault="00397B13" w:rsidP="00587B62">
      <w:pPr>
        <w:spacing w:line="360" w:lineRule="auto"/>
        <w:jc w:val="right"/>
        <w:rPr>
          <w:rFonts w:ascii="Tahoma" w:hAnsi="Tahoma" w:cs="Tahoma"/>
          <w:b/>
          <w:bCs/>
          <w:sz w:val="20"/>
          <w:szCs w:val="20"/>
        </w:rPr>
      </w:pPr>
    </w:p>
    <w:p w14:paraId="2D3227CD" w14:textId="77777777" w:rsidR="00397B13" w:rsidRPr="00C81B0E" w:rsidRDefault="00397B13" w:rsidP="00587B62">
      <w:pPr>
        <w:spacing w:line="360" w:lineRule="auto"/>
        <w:rPr>
          <w:rFonts w:ascii="Tahoma" w:hAnsi="Tahoma" w:cs="Tahoma"/>
          <w:sz w:val="20"/>
          <w:szCs w:val="20"/>
        </w:rPr>
      </w:pPr>
    </w:p>
    <w:p w14:paraId="782DA555" w14:textId="77777777" w:rsidR="00397B13" w:rsidRDefault="00397B13" w:rsidP="008D0780">
      <w:pPr>
        <w:spacing w:line="360" w:lineRule="auto"/>
        <w:ind w:hanging="2"/>
        <w:rPr>
          <w:rFonts w:ascii="Tahoma" w:hAnsi="Tahoma" w:cs="Tahoma"/>
          <w:b/>
          <w:bCs/>
          <w:sz w:val="20"/>
          <w:szCs w:val="20"/>
        </w:rPr>
      </w:pPr>
    </w:p>
    <w:p w14:paraId="0A2CA11F" w14:textId="77777777" w:rsidR="00397B13" w:rsidRDefault="00397B13" w:rsidP="008D0780">
      <w:pPr>
        <w:spacing w:line="360" w:lineRule="auto"/>
        <w:ind w:hanging="2"/>
        <w:rPr>
          <w:rFonts w:ascii="Tahoma" w:hAnsi="Tahoma" w:cs="Tahoma"/>
          <w:b/>
          <w:bCs/>
          <w:sz w:val="20"/>
          <w:szCs w:val="20"/>
        </w:rPr>
      </w:pPr>
    </w:p>
    <w:p w14:paraId="6D2DE3D2" w14:textId="77777777" w:rsidR="00397B13" w:rsidRDefault="00397B13" w:rsidP="008D0780">
      <w:pPr>
        <w:spacing w:line="360" w:lineRule="auto"/>
        <w:ind w:hanging="2"/>
        <w:rPr>
          <w:rFonts w:ascii="Tahoma" w:hAnsi="Tahoma" w:cs="Tahoma"/>
          <w:b/>
          <w:bCs/>
          <w:sz w:val="20"/>
          <w:szCs w:val="20"/>
        </w:rPr>
      </w:pPr>
    </w:p>
    <w:p w14:paraId="1489ED06" w14:textId="77777777" w:rsidR="00397B13" w:rsidRDefault="00397B13" w:rsidP="003A556A">
      <w:pPr>
        <w:shd w:val="clear" w:color="auto" w:fill="FFFFFF"/>
        <w:tabs>
          <w:tab w:val="left" w:pos="284"/>
          <w:tab w:val="left" w:pos="851"/>
        </w:tabs>
        <w:jc w:val="center"/>
        <w:rPr>
          <w:rFonts w:ascii="Verdana" w:hAnsi="Verdana" w:cs="Verdana"/>
          <w:b/>
          <w:bCs/>
          <w:sz w:val="20"/>
          <w:szCs w:val="20"/>
        </w:rPr>
      </w:pPr>
    </w:p>
    <w:sectPr w:rsidR="00397B13" w:rsidSect="008D410A">
      <w:headerReference w:type="default" r:id="rId8"/>
      <w:footerReference w:type="default" r:id="rId9"/>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6437B" w14:textId="77777777" w:rsidR="009C2884" w:rsidRDefault="009C2884">
      <w:r>
        <w:separator/>
      </w:r>
    </w:p>
  </w:endnote>
  <w:endnote w:type="continuationSeparator" w:id="0">
    <w:p w14:paraId="504CEA96" w14:textId="77777777" w:rsidR="009C2884" w:rsidRDefault="009C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BE11B" w14:textId="77777777" w:rsidR="009C2884" w:rsidRDefault="009C2884" w:rsidP="002B73B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346">
      <w:rPr>
        <w:rStyle w:val="PageNumber"/>
        <w:noProof/>
      </w:rPr>
      <w:t>1</w:t>
    </w:r>
    <w:r>
      <w:rPr>
        <w:rStyle w:val="PageNumber"/>
      </w:rPr>
      <w:fldChar w:fldCharType="end"/>
    </w:r>
  </w:p>
  <w:p w14:paraId="70E794A2" w14:textId="77777777" w:rsidR="009C2884" w:rsidRDefault="009C2884" w:rsidP="002B7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6AADE" w14:textId="77777777" w:rsidR="009C2884" w:rsidRDefault="009C2884">
      <w:r>
        <w:separator/>
      </w:r>
    </w:p>
  </w:footnote>
  <w:footnote w:type="continuationSeparator" w:id="0">
    <w:p w14:paraId="3C89D627" w14:textId="77777777" w:rsidR="009C2884" w:rsidRDefault="009C28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9851C" w14:textId="77777777" w:rsidR="009C2884" w:rsidRDefault="009C2884" w:rsidP="00D921F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D65338"/>
    <w:lvl w:ilvl="0">
      <w:numFmt w:val="bullet"/>
      <w:lvlText w:val="*"/>
      <w:lvlJc w:val="left"/>
    </w:lvl>
  </w:abstractNum>
  <w:abstractNum w:abstractNumId="1">
    <w:nsid w:val="034D48E5"/>
    <w:multiLevelType w:val="hybridMultilevel"/>
    <w:tmpl w:val="3A3C9CC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
    <w:nsid w:val="050122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7A4DFA"/>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297CFB"/>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A045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CC1AC9"/>
    <w:multiLevelType w:val="hybridMultilevel"/>
    <w:tmpl w:val="7960C24A"/>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7">
    <w:nsid w:val="14B17C72"/>
    <w:multiLevelType w:val="hybridMultilevel"/>
    <w:tmpl w:val="DCCAAAA8"/>
    <w:lvl w:ilvl="0" w:tplc="E59E9C90">
      <w:start w:val="2"/>
      <w:numFmt w:val="bullet"/>
      <w:lvlText w:val="–"/>
      <w:lvlJc w:val="left"/>
      <w:pPr>
        <w:ind w:left="720" w:hanging="360"/>
      </w:pPr>
      <w:rPr>
        <w:rFonts w:ascii="Arial" w:eastAsia="Times New Roman" w:hAnsi="Aria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A363A48"/>
    <w:multiLevelType w:val="hybridMultilevel"/>
    <w:tmpl w:val="675836C2"/>
    <w:lvl w:ilvl="0" w:tplc="04160019">
      <w:start w:val="1"/>
      <w:numFmt w:val="lowerLetter"/>
      <w:lvlText w:val="%1."/>
      <w:lvlJc w:val="left"/>
      <w:pPr>
        <w:tabs>
          <w:tab w:val="num" w:pos="718"/>
        </w:tabs>
        <w:ind w:left="718" w:hanging="360"/>
      </w:p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9">
    <w:nsid w:val="25A86A52"/>
    <w:multiLevelType w:val="multilevel"/>
    <w:tmpl w:val="0F8475FC"/>
    <w:lvl w:ilvl="0">
      <w:start w:val="1"/>
      <w:numFmt w:val="decimal"/>
      <w:pStyle w:val="Heading2"/>
      <w:lvlText w:val="%1"/>
      <w:lvlJc w:val="left"/>
      <w:pPr>
        <w:ind w:left="425" w:hanging="425"/>
      </w:pPr>
      <w:rPr>
        <w:rFonts w:hint="default"/>
      </w:rPr>
    </w:lvl>
    <w:lvl w:ilvl="1">
      <w:start w:val="1"/>
      <w:numFmt w:val="decimal"/>
      <w:pStyle w:val="CommentText"/>
      <w:lvlText w:val="%1.%2"/>
      <w:lvlJc w:val="left"/>
      <w:pPr>
        <w:ind w:left="425" w:hanging="425"/>
      </w:pPr>
      <w:rPr>
        <w:rFonts w:hint="default"/>
        <w:b/>
        <w:bCs/>
        <w:color w:val="auto"/>
      </w:rPr>
    </w:lvl>
    <w:lvl w:ilvl="2">
      <w:start w:val="1"/>
      <w:numFmt w:val="lowerLetter"/>
      <w:lvlText w:val="%3)"/>
      <w:lvlJc w:val="left"/>
      <w:pPr>
        <w:ind w:left="709" w:hanging="425"/>
      </w:pPr>
      <w:rPr>
        <w:rFonts w:hint="default"/>
        <w:b/>
        <w:bCs/>
      </w:rPr>
    </w:lvl>
    <w:lvl w:ilvl="3">
      <w:start w:val="1"/>
      <w:numFmt w:val="decimal"/>
      <w:lvlText w:val="%1.%2.%4"/>
      <w:lvlJc w:val="left"/>
      <w:pPr>
        <w:ind w:left="851" w:hanging="425"/>
      </w:pPr>
      <w:rPr>
        <w:rFonts w:hint="default"/>
        <w:b/>
        <w:bCs/>
      </w:rPr>
    </w:lvl>
    <w:lvl w:ilvl="4">
      <w:start w:val="1"/>
      <w:numFmt w:val="lowerLetter"/>
      <w:pStyle w:val="BalloonText"/>
      <w:lvlText w:val="%5)"/>
      <w:lvlJc w:val="left"/>
      <w:pPr>
        <w:ind w:left="4395" w:hanging="425"/>
      </w:pPr>
      <w:rPr>
        <w:rFonts w:hint="default"/>
        <w:b/>
        <w:bCs/>
      </w:rPr>
    </w:lvl>
    <w:lvl w:ilvl="5">
      <w:start w:val="1"/>
      <w:numFmt w:val="decimal"/>
      <w:pStyle w:val="CommentSubject"/>
      <w:lvlText w:val="%1.%2.%4.%6"/>
      <w:lvlJc w:val="left"/>
      <w:pPr>
        <w:ind w:left="1135" w:hanging="425"/>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effect w:val="none"/>
        <w:vertAlign w:val="baseline"/>
      </w:rPr>
    </w:lvl>
    <w:lvl w:ilvl="6">
      <w:start w:val="1"/>
      <w:numFmt w:val="lowerLetter"/>
      <w:lvlText w:val="%7)"/>
      <w:lvlJc w:val="left"/>
      <w:pPr>
        <w:ind w:left="1277" w:hanging="425"/>
      </w:pPr>
      <w:rPr>
        <w:rFonts w:hint="default"/>
        <w:b/>
        <w:bCs/>
      </w:rPr>
    </w:lvl>
    <w:lvl w:ilvl="7">
      <w:start w:val="1"/>
      <w:numFmt w:val="decimal"/>
      <w:lvlText w:val="%1.%2.%4.%6.%8"/>
      <w:lvlJc w:val="left"/>
      <w:pPr>
        <w:ind w:left="1419" w:hanging="425"/>
      </w:pPr>
      <w:rPr>
        <w:rFonts w:hint="default"/>
        <w:b/>
        <w:bCs/>
      </w:rPr>
    </w:lvl>
    <w:lvl w:ilvl="8">
      <w:start w:val="1"/>
      <w:numFmt w:val="lowerLetter"/>
      <w:pStyle w:val="NormalWeb"/>
      <w:lvlText w:val="%9)"/>
      <w:lvlJc w:val="left"/>
      <w:pPr>
        <w:ind w:left="1561" w:hanging="425"/>
      </w:pPr>
      <w:rPr>
        <w:rFonts w:hint="default"/>
        <w:b/>
        <w:bCs/>
      </w:rPr>
    </w:lvl>
  </w:abstractNum>
  <w:abstractNum w:abstractNumId="10">
    <w:nsid w:val="2DBA02C8"/>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nsid w:val="300B4F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C41232"/>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56036"/>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nsid w:val="49F576CD"/>
    <w:multiLevelType w:val="multilevel"/>
    <w:tmpl w:val="BEE4E71E"/>
    <w:lvl w:ilvl="0">
      <w:start w:val="6"/>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DDD6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625B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BD5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8B4947"/>
    <w:multiLevelType w:val="hybridMultilevel"/>
    <w:tmpl w:val="FF0E3F16"/>
    <w:lvl w:ilvl="0" w:tplc="1E6094A4">
      <w:start w:val="1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9">
    <w:nsid w:val="55B55800"/>
    <w:multiLevelType w:val="hybridMultilevel"/>
    <w:tmpl w:val="243ED3A0"/>
    <w:lvl w:ilvl="0" w:tplc="ED2C63AC">
      <w:start w:val="1"/>
      <w:numFmt w:val="lowerLetter"/>
      <w:lvlText w:val="%1)"/>
      <w:lvlJc w:val="left"/>
      <w:pPr>
        <w:ind w:left="1582" w:hanging="360"/>
      </w:pPr>
      <w:rPr>
        <w:rFonts w:hint="default"/>
      </w:rPr>
    </w:lvl>
    <w:lvl w:ilvl="1" w:tplc="04160019">
      <w:start w:val="1"/>
      <w:numFmt w:val="lowerLetter"/>
      <w:lvlText w:val="%2."/>
      <w:lvlJc w:val="left"/>
      <w:pPr>
        <w:ind w:left="2302" w:hanging="360"/>
      </w:pPr>
    </w:lvl>
    <w:lvl w:ilvl="2" w:tplc="0416001B">
      <w:start w:val="1"/>
      <w:numFmt w:val="lowerRoman"/>
      <w:lvlText w:val="%3."/>
      <w:lvlJc w:val="right"/>
      <w:pPr>
        <w:ind w:left="3022" w:hanging="180"/>
      </w:pPr>
    </w:lvl>
    <w:lvl w:ilvl="3" w:tplc="0416000F">
      <w:start w:val="1"/>
      <w:numFmt w:val="decimal"/>
      <w:lvlText w:val="%4."/>
      <w:lvlJc w:val="left"/>
      <w:pPr>
        <w:ind w:left="3742" w:hanging="360"/>
      </w:pPr>
    </w:lvl>
    <w:lvl w:ilvl="4" w:tplc="04160019">
      <w:start w:val="1"/>
      <w:numFmt w:val="lowerLetter"/>
      <w:lvlText w:val="%5."/>
      <w:lvlJc w:val="left"/>
      <w:pPr>
        <w:ind w:left="4462" w:hanging="360"/>
      </w:pPr>
    </w:lvl>
    <w:lvl w:ilvl="5" w:tplc="0416001B">
      <w:start w:val="1"/>
      <w:numFmt w:val="lowerRoman"/>
      <w:lvlText w:val="%6."/>
      <w:lvlJc w:val="right"/>
      <w:pPr>
        <w:ind w:left="5182" w:hanging="180"/>
      </w:pPr>
    </w:lvl>
    <w:lvl w:ilvl="6" w:tplc="0416000F">
      <w:start w:val="1"/>
      <w:numFmt w:val="decimal"/>
      <w:lvlText w:val="%7."/>
      <w:lvlJc w:val="left"/>
      <w:pPr>
        <w:ind w:left="5902" w:hanging="360"/>
      </w:pPr>
    </w:lvl>
    <w:lvl w:ilvl="7" w:tplc="04160019">
      <w:start w:val="1"/>
      <w:numFmt w:val="lowerLetter"/>
      <w:lvlText w:val="%8."/>
      <w:lvlJc w:val="left"/>
      <w:pPr>
        <w:ind w:left="6622" w:hanging="360"/>
      </w:pPr>
    </w:lvl>
    <w:lvl w:ilvl="8" w:tplc="0416001B">
      <w:start w:val="1"/>
      <w:numFmt w:val="lowerRoman"/>
      <w:lvlText w:val="%9."/>
      <w:lvlJc w:val="right"/>
      <w:pPr>
        <w:ind w:left="7342" w:hanging="180"/>
      </w:pPr>
    </w:lvl>
  </w:abstractNum>
  <w:abstractNum w:abstractNumId="20">
    <w:nsid w:val="5B965CDF"/>
    <w:multiLevelType w:val="hybridMultilevel"/>
    <w:tmpl w:val="410CBAB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5CE21C5A"/>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D740E8"/>
    <w:multiLevelType w:val="hybridMultilevel"/>
    <w:tmpl w:val="833C26D8"/>
    <w:lvl w:ilvl="0" w:tplc="98A46412">
      <w:start w:val="1"/>
      <w:numFmt w:val="upperLetter"/>
      <w:lvlText w:val="%1)"/>
      <w:lvlJc w:val="left"/>
      <w:pPr>
        <w:tabs>
          <w:tab w:val="num" w:pos="720"/>
        </w:tabs>
        <w:ind w:left="720" w:hanging="360"/>
      </w:pPr>
      <w:rPr>
        <w:rFonts w:hint="default"/>
        <w:b w:val="0"/>
        <w:bCs w:val="0"/>
      </w:rPr>
    </w:lvl>
    <w:lvl w:ilvl="1" w:tplc="CB7498DA">
      <w:start w:val="2"/>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E6065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681611"/>
    <w:multiLevelType w:val="hybridMultilevel"/>
    <w:tmpl w:val="B23E819A"/>
    <w:lvl w:ilvl="0" w:tplc="04090015">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0D8037D"/>
    <w:multiLevelType w:val="hybridMultilevel"/>
    <w:tmpl w:val="BA4A1836"/>
    <w:lvl w:ilvl="0" w:tplc="2028180C">
      <w:start w:val="1"/>
      <w:numFmt w:val="decimal"/>
      <w:lvlText w:val="%1."/>
      <w:lvlJc w:val="left"/>
      <w:pPr>
        <w:ind w:left="360" w:hanging="360"/>
      </w:pPr>
      <w:rPr>
        <w:b/>
        <w:bCs/>
      </w:rPr>
    </w:lvl>
    <w:lvl w:ilvl="1" w:tplc="04160017">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tabs>
          <w:tab w:val="num" w:pos="3022"/>
        </w:tabs>
        <w:ind w:left="3022" w:hanging="360"/>
      </w:pPr>
      <w:rPr>
        <w:b/>
        <w:bCs/>
      </w:r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26">
    <w:nsid w:val="62A11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581ACF"/>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7157EF"/>
    <w:multiLevelType w:val="hybridMultilevel"/>
    <w:tmpl w:val="99387D9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09E2130"/>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70F06576"/>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BF6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1F7C5C"/>
    <w:multiLevelType w:val="hybridMultilevel"/>
    <w:tmpl w:val="BDAE3F56"/>
    <w:lvl w:ilvl="0" w:tplc="FA98578A">
      <w:start w:val="2"/>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B6E73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8"/>
  </w:num>
  <w:num w:numId="4">
    <w:abstractNumId w:val="22"/>
  </w:num>
  <w:num w:numId="5">
    <w:abstractNumId w:val="29"/>
  </w:num>
  <w:num w:numId="6">
    <w:abstractNumId w:val="14"/>
  </w:num>
  <w:num w:numId="7">
    <w:abstractNumId w:val="18"/>
  </w:num>
  <w:num w:numId="8">
    <w:abstractNumId w:val="6"/>
  </w:num>
  <w:num w:numId="9">
    <w:abstractNumId w:val="13"/>
  </w:num>
  <w:num w:numId="10">
    <w:abstractNumId w:val="10"/>
  </w:num>
  <w:num w:numId="11">
    <w:abstractNumId w:val="20"/>
  </w:num>
  <w:num w:numId="12">
    <w:abstractNumId w:val="7"/>
  </w:num>
  <w:num w:numId="13">
    <w:abstractNumId w:val="30"/>
  </w:num>
  <w:num w:numId="14">
    <w:abstractNumId w:val="23"/>
  </w:num>
  <w:num w:numId="15">
    <w:abstractNumId w:val="16"/>
  </w:num>
  <w:num w:numId="16">
    <w:abstractNumId w:val="17"/>
  </w:num>
  <w:num w:numId="17">
    <w:abstractNumId w:val="26"/>
  </w:num>
  <w:num w:numId="18">
    <w:abstractNumId w:val="27"/>
  </w:num>
  <w:num w:numId="19">
    <w:abstractNumId w:val="12"/>
  </w:num>
  <w:num w:numId="20">
    <w:abstractNumId w:val="11"/>
  </w:num>
  <w:num w:numId="21">
    <w:abstractNumId w:val="31"/>
  </w:num>
  <w:num w:numId="22">
    <w:abstractNumId w:val="3"/>
  </w:num>
  <w:num w:numId="23">
    <w:abstractNumId w:val="4"/>
  </w:num>
  <w:num w:numId="24">
    <w:abstractNumId w:val="21"/>
  </w:num>
  <w:num w:numId="25">
    <w:abstractNumId w:val="33"/>
  </w:num>
  <w:num w:numId="26">
    <w:abstractNumId w:val="15"/>
  </w:num>
  <w:num w:numId="27">
    <w:abstractNumId w:val="2"/>
  </w:num>
  <w:num w:numId="28">
    <w:abstractNumId w:val="5"/>
  </w:num>
  <w:num w:numId="29">
    <w:abstractNumId w:val="1"/>
  </w:num>
  <w:num w:numId="30">
    <w:abstractNumId w:val="25"/>
  </w:num>
  <w:num w:numId="31">
    <w:abstractNumId w:val="19"/>
  </w:num>
  <w:num w:numId="32">
    <w:abstractNumId w:val="24"/>
  </w:num>
  <w:num w:numId="33">
    <w:abstractNumId w:val="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10A"/>
    <w:rsid w:val="0000143B"/>
    <w:rsid w:val="0000445C"/>
    <w:rsid w:val="00014D7A"/>
    <w:rsid w:val="000160F8"/>
    <w:rsid w:val="00020F72"/>
    <w:rsid w:val="000211FC"/>
    <w:rsid w:val="00021578"/>
    <w:rsid w:val="00023514"/>
    <w:rsid w:val="00024AB5"/>
    <w:rsid w:val="000270F7"/>
    <w:rsid w:val="00027A3B"/>
    <w:rsid w:val="00027E6D"/>
    <w:rsid w:val="00030362"/>
    <w:rsid w:val="00030513"/>
    <w:rsid w:val="000312C7"/>
    <w:rsid w:val="000314F3"/>
    <w:rsid w:val="00031A9E"/>
    <w:rsid w:val="00032982"/>
    <w:rsid w:val="0003459D"/>
    <w:rsid w:val="00037833"/>
    <w:rsid w:val="00040ACF"/>
    <w:rsid w:val="00042389"/>
    <w:rsid w:val="00044460"/>
    <w:rsid w:val="0004761B"/>
    <w:rsid w:val="00050AF5"/>
    <w:rsid w:val="0005442D"/>
    <w:rsid w:val="000549D6"/>
    <w:rsid w:val="00054A79"/>
    <w:rsid w:val="00054C54"/>
    <w:rsid w:val="000567C7"/>
    <w:rsid w:val="00057620"/>
    <w:rsid w:val="00061873"/>
    <w:rsid w:val="00062D65"/>
    <w:rsid w:val="00064684"/>
    <w:rsid w:val="00064792"/>
    <w:rsid w:val="00064878"/>
    <w:rsid w:val="000648EA"/>
    <w:rsid w:val="0006499C"/>
    <w:rsid w:val="00071B4A"/>
    <w:rsid w:val="0007277D"/>
    <w:rsid w:val="00074825"/>
    <w:rsid w:val="0007521D"/>
    <w:rsid w:val="00083317"/>
    <w:rsid w:val="000839EA"/>
    <w:rsid w:val="00084925"/>
    <w:rsid w:val="00085994"/>
    <w:rsid w:val="0008649C"/>
    <w:rsid w:val="00087E81"/>
    <w:rsid w:val="00091B6E"/>
    <w:rsid w:val="000927FF"/>
    <w:rsid w:val="000948E5"/>
    <w:rsid w:val="00095C73"/>
    <w:rsid w:val="000A053D"/>
    <w:rsid w:val="000A3261"/>
    <w:rsid w:val="000A4776"/>
    <w:rsid w:val="000A4885"/>
    <w:rsid w:val="000A711E"/>
    <w:rsid w:val="000A751A"/>
    <w:rsid w:val="000B1045"/>
    <w:rsid w:val="000B12AD"/>
    <w:rsid w:val="000B1437"/>
    <w:rsid w:val="000B27DE"/>
    <w:rsid w:val="000B2A4B"/>
    <w:rsid w:val="000B5C88"/>
    <w:rsid w:val="000B7944"/>
    <w:rsid w:val="000C2B71"/>
    <w:rsid w:val="000C2CC3"/>
    <w:rsid w:val="000C2D22"/>
    <w:rsid w:val="000C3C7E"/>
    <w:rsid w:val="000C49D7"/>
    <w:rsid w:val="000C5525"/>
    <w:rsid w:val="000C5938"/>
    <w:rsid w:val="000C5C5B"/>
    <w:rsid w:val="000C5D87"/>
    <w:rsid w:val="000C6801"/>
    <w:rsid w:val="000D014F"/>
    <w:rsid w:val="000D10CE"/>
    <w:rsid w:val="000D2A1C"/>
    <w:rsid w:val="000D44AE"/>
    <w:rsid w:val="000D5C44"/>
    <w:rsid w:val="000D5D04"/>
    <w:rsid w:val="000D688B"/>
    <w:rsid w:val="000D75E5"/>
    <w:rsid w:val="000D7782"/>
    <w:rsid w:val="000D7F3F"/>
    <w:rsid w:val="000E6489"/>
    <w:rsid w:val="000E6BA7"/>
    <w:rsid w:val="000E7B6E"/>
    <w:rsid w:val="000F1826"/>
    <w:rsid w:val="000F26D5"/>
    <w:rsid w:val="000F2A8A"/>
    <w:rsid w:val="000F34F8"/>
    <w:rsid w:val="000F5507"/>
    <w:rsid w:val="00102262"/>
    <w:rsid w:val="001039F9"/>
    <w:rsid w:val="00104375"/>
    <w:rsid w:val="00106812"/>
    <w:rsid w:val="00106F04"/>
    <w:rsid w:val="0010726D"/>
    <w:rsid w:val="001074DF"/>
    <w:rsid w:val="00107D0B"/>
    <w:rsid w:val="0011033F"/>
    <w:rsid w:val="00113304"/>
    <w:rsid w:val="001157BF"/>
    <w:rsid w:val="00115F38"/>
    <w:rsid w:val="001228BB"/>
    <w:rsid w:val="001238DD"/>
    <w:rsid w:val="00123EEB"/>
    <w:rsid w:val="00124927"/>
    <w:rsid w:val="001266FF"/>
    <w:rsid w:val="00127A82"/>
    <w:rsid w:val="0013320A"/>
    <w:rsid w:val="00135180"/>
    <w:rsid w:val="00135AEE"/>
    <w:rsid w:val="00137CF4"/>
    <w:rsid w:val="00140590"/>
    <w:rsid w:val="00140D29"/>
    <w:rsid w:val="00141101"/>
    <w:rsid w:val="001417D0"/>
    <w:rsid w:val="00145012"/>
    <w:rsid w:val="001453AC"/>
    <w:rsid w:val="00150CC8"/>
    <w:rsid w:val="0015309E"/>
    <w:rsid w:val="001531F4"/>
    <w:rsid w:val="0015403B"/>
    <w:rsid w:val="0015487C"/>
    <w:rsid w:val="00156814"/>
    <w:rsid w:val="00160C99"/>
    <w:rsid w:val="001640E5"/>
    <w:rsid w:val="00166228"/>
    <w:rsid w:val="001759CE"/>
    <w:rsid w:val="00175DB0"/>
    <w:rsid w:val="00180060"/>
    <w:rsid w:val="0018678B"/>
    <w:rsid w:val="0018747D"/>
    <w:rsid w:val="0019485F"/>
    <w:rsid w:val="001959C5"/>
    <w:rsid w:val="00196024"/>
    <w:rsid w:val="001969F1"/>
    <w:rsid w:val="001A0375"/>
    <w:rsid w:val="001A512B"/>
    <w:rsid w:val="001A5375"/>
    <w:rsid w:val="001A5F48"/>
    <w:rsid w:val="001B1FC5"/>
    <w:rsid w:val="001B2D58"/>
    <w:rsid w:val="001B6A64"/>
    <w:rsid w:val="001B7567"/>
    <w:rsid w:val="001C1667"/>
    <w:rsid w:val="001C19AF"/>
    <w:rsid w:val="001C2BA0"/>
    <w:rsid w:val="001C3351"/>
    <w:rsid w:val="001C410A"/>
    <w:rsid w:val="001C5514"/>
    <w:rsid w:val="001C5AE4"/>
    <w:rsid w:val="001C5C2D"/>
    <w:rsid w:val="001C7071"/>
    <w:rsid w:val="001C7AB5"/>
    <w:rsid w:val="001C7EB8"/>
    <w:rsid w:val="001D00B6"/>
    <w:rsid w:val="001D2D68"/>
    <w:rsid w:val="001D4ECB"/>
    <w:rsid w:val="001D684D"/>
    <w:rsid w:val="001D6E37"/>
    <w:rsid w:val="001E163F"/>
    <w:rsid w:val="001E2159"/>
    <w:rsid w:val="001E36BD"/>
    <w:rsid w:val="001E44B3"/>
    <w:rsid w:val="001E5C8E"/>
    <w:rsid w:val="001E7FC0"/>
    <w:rsid w:val="001F19D1"/>
    <w:rsid w:val="001F1D35"/>
    <w:rsid w:val="001F2F0F"/>
    <w:rsid w:val="001F3887"/>
    <w:rsid w:val="001F6DFB"/>
    <w:rsid w:val="00200452"/>
    <w:rsid w:val="00200649"/>
    <w:rsid w:val="002011C8"/>
    <w:rsid w:val="0020160A"/>
    <w:rsid w:val="002059CD"/>
    <w:rsid w:val="0020628C"/>
    <w:rsid w:val="0020644D"/>
    <w:rsid w:val="002071FE"/>
    <w:rsid w:val="00207DE7"/>
    <w:rsid w:val="0021211A"/>
    <w:rsid w:val="00217E1E"/>
    <w:rsid w:val="00220A76"/>
    <w:rsid w:val="0022101B"/>
    <w:rsid w:val="002246C7"/>
    <w:rsid w:val="00224CC7"/>
    <w:rsid w:val="00224F58"/>
    <w:rsid w:val="00227D67"/>
    <w:rsid w:val="002307CD"/>
    <w:rsid w:val="002328C0"/>
    <w:rsid w:val="00235CFE"/>
    <w:rsid w:val="00236361"/>
    <w:rsid w:val="002369FC"/>
    <w:rsid w:val="00237F76"/>
    <w:rsid w:val="002408DC"/>
    <w:rsid w:val="002461E4"/>
    <w:rsid w:val="0024651A"/>
    <w:rsid w:val="00251838"/>
    <w:rsid w:val="0025317E"/>
    <w:rsid w:val="00254B2A"/>
    <w:rsid w:val="002552BD"/>
    <w:rsid w:val="0025555B"/>
    <w:rsid w:val="002564F9"/>
    <w:rsid w:val="00256D9F"/>
    <w:rsid w:val="00257048"/>
    <w:rsid w:val="002570EF"/>
    <w:rsid w:val="00261333"/>
    <w:rsid w:val="002616DC"/>
    <w:rsid w:val="0026586F"/>
    <w:rsid w:val="00265FD6"/>
    <w:rsid w:val="00266F71"/>
    <w:rsid w:val="00267903"/>
    <w:rsid w:val="00267A3F"/>
    <w:rsid w:val="00270E3D"/>
    <w:rsid w:val="00271C3D"/>
    <w:rsid w:val="00276FFD"/>
    <w:rsid w:val="00281DFA"/>
    <w:rsid w:val="00282B28"/>
    <w:rsid w:val="00283509"/>
    <w:rsid w:val="00285442"/>
    <w:rsid w:val="00285D45"/>
    <w:rsid w:val="00286403"/>
    <w:rsid w:val="002873BD"/>
    <w:rsid w:val="00293E01"/>
    <w:rsid w:val="002941E7"/>
    <w:rsid w:val="002968E2"/>
    <w:rsid w:val="00297AE2"/>
    <w:rsid w:val="00297FF8"/>
    <w:rsid w:val="002A07AE"/>
    <w:rsid w:val="002A11F6"/>
    <w:rsid w:val="002A46CB"/>
    <w:rsid w:val="002A54D5"/>
    <w:rsid w:val="002A5F7D"/>
    <w:rsid w:val="002A601C"/>
    <w:rsid w:val="002A68BD"/>
    <w:rsid w:val="002A6B67"/>
    <w:rsid w:val="002A7734"/>
    <w:rsid w:val="002B27C7"/>
    <w:rsid w:val="002B480F"/>
    <w:rsid w:val="002B5AB1"/>
    <w:rsid w:val="002B73BE"/>
    <w:rsid w:val="002B78DA"/>
    <w:rsid w:val="002C4D5F"/>
    <w:rsid w:val="002C54F6"/>
    <w:rsid w:val="002C59A4"/>
    <w:rsid w:val="002C5F53"/>
    <w:rsid w:val="002C7072"/>
    <w:rsid w:val="002D0634"/>
    <w:rsid w:val="002D2002"/>
    <w:rsid w:val="002D2648"/>
    <w:rsid w:val="002D63E0"/>
    <w:rsid w:val="002D772D"/>
    <w:rsid w:val="002E0A4D"/>
    <w:rsid w:val="002E19D1"/>
    <w:rsid w:val="002E304C"/>
    <w:rsid w:val="002E65F4"/>
    <w:rsid w:val="002E687D"/>
    <w:rsid w:val="002E6AFC"/>
    <w:rsid w:val="002F042C"/>
    <w:rsid w:val="002F0CF2"/>
    <w:rsid w:val="002F133C"/>
    <w:rsid w:val="002F162C"/>
    <w:rsid w:val="002F20B9"/>
    <w:rsid w:val="002F3580"/>
    <w:rsid w:val="002F64CD"/>
    <w:rsid w:val="00300027"/>
    <w:rsid w:val="0030118B"/>
    <w:rsid w:val="0030162E"/>
    <w:rsid w:val="00301A8A"/>
    <w:rsid w:val="003075B9"/>
    <w:rsid w:val="00314334"/>
    <w:rsid w:val="0031474A"/>
    <w:rsid w:val="00314868"/>
    <w:rsid w:val="003164A9"/>
    <w:rsid w:val="003218D5"/>
    <w:rsid w:val="003230C0"/>
    <w:rsid w:val="00323EF9"/>
    <w:rsid w:val="0032586B"/>
    <w:rsid w:val="00332081"/>
    <w:rsid w:val="00336A77"/>
    <w:rsid w:val="00341445"/>
    <w:rsid w:val="00346E00"/>
    <w:rsid w:val="003478F6"/>
    <w:rsid w:val="00347C92"/>
    <w:rsid w:val="00351131"/>
    <w:rsid w:val="0035117E"/>
    <w:rsid w:val="00353EB1"/>
    <w:rsid w:val="00354142"/>
    <w:rsid w:val="00354511"/>
    <w:rsid w:val="00355BCB"/>
    <w:rsid w:val="003573F7"/>
    <w:rsid w:val="003612FB"/>
    <w:rsid w:val="00362762"/>
    <w:rsid w:val="00363B09"/>
    <w:rsid w:val="00364EF1"/>
    <w:rsid w:val="003651BF"/>
    <w:rsid w:val="00365313"/>
    <w:rsid w:val="00367383"/>
    <w:rsid w:val="0037089F"/>
    <w:rsid w:val="00373C4F"/>
    <w:rsid w:val="00373CD5"/>
    <w:rsid w:val="00374DF1"/>
    <w:rsid w:val="003754FB"/>
    <w:rsid w:val="00376567"/>
    <w:rsid w:val="00376D74"/>
    <w:rsid w:val="00376E8B"/>
    <w:rsid w:val="0037711F"/>
    <w:rsid w:val="00382BFA"/>
    <w:rsid w:val="0038302B"/>
    <w:rsid w:val="00383351"/>
    <w:rsid w:val="003840EA"/>
    <w:rsid w:val="00385122"/>
    <w:rsid w:val="00385716"/>
    <w:rsid w:val="0038707B"/>
    <w:rsid w:val="00391C3E"/>
    <w:rsid w:val="00391E99"/>
    <w:rsid w:val="00392625"/>
    <w:rsid w:val="0039280D"/>
    <w:rsid w:val="00392E8C"/>
    <w:rsid w:val="0039410B"/>
    <w:rsid w:val="0039421C"/>
    <w:rsid w:val="00397B13"/>
    <w:rsid w:val="003A019D"/>
    <w:rsid w:val="003A0AA0"/>
    <w:rsid w:val="003A25A8"/>
    <w:rsid w:val="003A2870"/>
    <w:rsid w:val="003A2F24"/>
    <w:rsid w:val="003A515E"/>
    <w:rsid w:val="003A556A"/>
    <w:rsid w:val="003A7B14"/>
    <w:rsid w:val="003A7E1C"/>
    <w:rsid w:val="003B21DB"/>
    <w:rsid w:val="003B21E3"/>
    <w:rsid w:val="003B247E"/>
    <w:rsid w:val="003B3E4A"/>
    <w:rsid w:val="003B5468"/>
    <w:rsid w:val="003B5E0B"/>
    <w:rsid w:val="003C08BC"/>
    <w:rsid w:val="003C216B"/>
    <w:rsid w:val="003C32BA"/>
    <w:rsid w:val="003C359A"/>
    <w:rsid w:val="003C3ED0"/>
    <w:rsid w:val="003C684A"/>
    <w:rsid w:val="003C6A09"/>
    <w:rsid w:val="003C78DE"/>
    <w:rsid w:val="003D0A62"/>
    <w:rsid w:val="003D2657"/>
    <w:rsid w:val="003D292E"/>
    <w:rsid w:val="003D39DB"/>
    <w:rsid w:val="003D49CE"/>
    <w:rsid w:val="003D5E6C"/>
    <w:rsid w:val="003E1BC7"/>
    <w:rsid w:val="003E47F1"/>
    <w:rsid w:val="003E4F0F"/>
    <w:rsid w:val="003F1082"/>
    <w:rsid w:val="003F1F1C"/>
    <w:rsid w:val="003F2A97"/>
    <w:rsid w:val="003F417C"/>
    <w:rsid w:val="003F5336"/>
    <w:rsid w:val="003F6238"/>
    <w:rsid w:val="003F6990"/>
    <w:rsid w:val="004008B1"/>
    <w:rsid w:val="00400EBA"/>
    <w:rsid w:val="0040182F"/>
    <w:rsid w:val="004020EB"/>
    <w:rsid w:val="0040307F"/>
    <w:rsid w:val="0040344F"/>
    <w:rsid w:val="00404FFA"/>
    <w:rsid w:val="00406792"/>
    <w:rsid w:val="004104E1"/>
    <w:rsid w:val="00411B04"/>
    <w:rsid w:val="0041251E"/>
    <w:rsid w:val="0041289E"/>
    <w:rsid w:val="00417BE0"/>
    <w:rsid w:val="00417F82"/>
    <w:rsid w:val="00420DDE"/>
    <w:rsid w:val="00420FB0"/>
    <w:rsid w:val="004229D5"/>
    <w:rsid w:val="004230A8"/>
    <w:rsid w:val="004250B3"/>
    <w:rsid w:val="004256D5"/>
    <w:rsid w:val="00427E75"/>
    <w:rsid w:val="0043061B"/>
    <w:rsid w:val="004314D6"/>
    <w:rsid w:val="00435837"/>
    <w:rsid w:val="00444908"/>
    <w:rsid w:val="00444F3C"/>
    <w:rsid w:val="004454E8"/>
    <w:rsid w:val="00447501"/>
    <w:rsid w:val="004502AC"/>
    <w:rsid w:val="0045039B"/>
    <w:rsid w:val="00450729"/>
    <w:rsid w:val="00450937"/>
    <w:rsid w:val="00453B84"/>
    <w:rsid w:val="00455F83"/>
    <w:rsid w:val="004562F2"/>
    <w:rsid w:val="00457CEC"/>
    <w:rsid w:val="004612C9"/>
    <w:rsid w:val="004616F2"/>
    <w:rsid w:val="00463BF5"/>
    <w:rsid w:val="004647F2"/>
    <w:rsid w:val="00464CDF"/>
    <w:rsid w:val="00464D10"/>
    <w:rsid w:val="00470233"/>
    <w:rsid w:val="00471A23"/>
    <w:rsid w:val="004732F7"/>
    <w:rsid w:val="004753B5"/>
    <w:rsid w:val="00476B7A"/>
    <w:rsid w:val="0048001C"/>
    <w:rsid w:val="00480A78"/>
    <w:rsid w:val="00483B0F"/>
    <w:rsid w:val="00485C02"/>
    <w:rsid w:val="00487B42"/>
    <w:rsid w:val="00491DC4"/>
    <w:rsid w:val="004923B3"/>
    <w:rsid w:val="00492A52"/>
    <w:rsid w:val="00493790"/>
    <w:rsid w:val="00494A41"/>
    <w:rsid w:val="00495642"/>
    <w:rsid w:val="004958C7"/>
    <w:rsid w:val="004A10F2"/>
    <w:rsid w:val="004A2044"/>
    <w:rsid w:val="004A2FEE"/>
    <w:rsid w:val="004A5F4B"/>
    <w:rsid w:val="004A60AF"/>
    <w:rsid w:val="004A643B"/>
    <w:rsid w:val="004A6E0A"/>
    <w:rsid w:val="004B4EE6"/>
    <w:rsid w:val="004C2254"/>
    <w:rsid w:val="004C5A7E"/>
    <w:rsid w:val="004D04C3"/>
    <w:rsid w:val="004D0EB9"/>
    <w:rsid w:val="004D16D8"/>
    <w:rsid w:val="004D223F"/>
    <w:rsid w:val="004D267C"/>
    <w:rsid w:val="004D2682"/>
    <w:rsid w:val="004E06DA"/>
    <w:rsid w:val="004E1003"/>
    <w:rsid w:val="004E113A"/>
    <w:rsid w:val="004E13B8"/>
    <w:rsid w:val="004E25F1"/>
    <w:rsid w:val="004E3036"/>
    <w:rsid w:val="004E48DE"/>
    <w:rsid w:val="004E53F2"/>
    <w:rsid w:val="004E7BAA"/>
    <w:rsid w:val="004E7F73"/>
    <w:rsid w:val="004F09BE"/>
    <w:rsid w:val="004F3A1D"/>
    <w:rsid w:val="004F40A5"/>
    <w:rsid w:val="004F5861"/>
    <w:rsid w:val="004F5FE8"/>
    <w:rsid w:val="004F62E0"/>
    <w:rsid w:val="004F6FDA"/>
    <w:rsid w:val="0050007F"/>
    <w:rsid w:val="00502540"/>
    <w:rsid w:val="00502875"/>
    <w:rsid w:val="0050330E"/>
    <w:rsid w:val="0050344B"/>
    <w:rsid w:val="00505E8D"/>
    <w:rsid w:val="0051083A"/>
    <w:rsid w:val="00511E34"/>
    <w:rsid w:val="00513052"/>
    <w:rsid w:val="00514390"/>
    <w:rsid w:val="005208BA"/>
    <w:rsid w:val="00526B58"/>
    <w:rsid w:val="0053117D"/>
    <w:rsid w:val="005328DF"/>
    <w:rsid w:val="00537345"/>
    <w:rsid w:val="0054231C"/>
    <w:rsid w:val="0054496B"/>
    <w:rsid w:val="005462FD"/>
    <w:rsid w:val="00547F76"/>
    <w:rsid w:val="0056119D"/>
    <w:rsid w:val="00564E15"/>
    <w:rsid w:val="005654C1"/>
    <w:rsid w:val="00565823"/>
    <w:rsid w:val="005662B2"/>
    <w:rsid w:val="00566A5F"/>
    <w:rsid w:val="005713FA"/>
    <w:rsid w:val="00571B72"/>
    <w:rsid w:val="0057256E"/>
    <w:rsid w:val="0057329A"/>
    <w:rsid w:val="005770CE"/>
    <w:rsid w:val="00580A6B"/>
    <w:rsid w:val="005812DB"/>
    <w:rsid w:val="00584CAF"/>
    <w:rsid w:val="005858B6"/>
    <w:rsid w:val="00586121"/>
    <w:rsid w:val="0058671D"/>
    <w:rsid w:val="00586BB2"/>
    <w:rsid w:val="00587B62"/>
    <w:rsid w:val="0059072E"/>
    <w:rsid w:val="00591D96"/>
    <w:rsid w:val="00597FDD"/>
    <w:rsid w:val="005A6CE4"/>
    <w:rsid w:val="005B0C22"/>
    <w:rsid w:val="005B1FA0"/>
    <w:rsid w:val="005B6713"/>
    <w:rsid w:val="005C3C72"/>
    <w:rsid w:val="005C43BB"/>
    <w:rsid w:val="005C50AF"/>
    <w:rsid w:val="005C66AC"/>
    <w:rsid w:val="005D2159"/>
    <w:rsid w:val="005D2CB3"/>
    <w:rsid w:val="005D315A"/>
    <w:rsid w:val="005E129E"/>
    <w:rsid w:val="005E2BDD"/>
    <w:rsid w:val="005E444A"/>
    <w:rsid w:val="005E5095"/>
    <w:rsid w:val="005E7166"/>
    <w:rsid w:val="005E7BE7"/>
    <w:rsid w:val="005E7D6B"/>
    <w:rsid w:val="005E7EA9"/>
    <w:rsid w:val="005F0607"/>
    <w:rsid w:val="005F0C89"/>
    <w:rsid w:val="005F0E0E"/>
    <w:rsid w:val="005F1EE4"/>
    <w:rsid w:val="005F2BF3"/>
    <w:rsid w:val="005F2CB1"/>
    <w:rsid w:val="005F5622"/>
    <w:rsid w:val="005F6B80"/>
    <w:rsid w:val="00602443"/>
    <w:rsid w:val="00603D12"/>
    <w:rsid w:val="006062AF"/>
    <w:rsid w:val="0060699A"/>
    <w:rsid w:val="00606DCF"/>
    <w:rsid w:val="00607F02"/>
    <w:rsid w:val="006102AF"/>
    <w:rsid w:val="00610C94"/>
    <w:rsid w:val="00611771"/>
    <w:rsid w:val="00613B83"/>
    <w:rsid w:val="00614C12"/>
    <w:rsid w:val="00616438"/>
    <w:rsid w:val="00623256"/>
    <w:rsid w:val="006234A4"/>
    <w:rsid w:val="00623B4B"/>
    <w:rsid w:val="00627F10"/>
    <w:rsid w:val="006331D7"/>
    <w:rsid w:val="006333E5"/>
    <w:rsid w:val="00645CA3"/>
    <w:rsid w:val="00645F23"/>
    <w:rsid w:val="006471F6"/>
    <w:rsid w:val="0065140F"/>
    <w:rsid w:val="0065262E"/>
    <w:rsid w:val="006529C1"/>
    <w:rsid w:val="006544FB"/>
    <w:rsid w:val="006552B1"/>
    <w:rsid w:val="00655DE4"/>
    <w:rsid w:val="00657954"/>
    <w:rsid w:val="00657CF9"/>
    <w:rsid w:val="00661033"/>
    <w:rsid w:val="00661D65"/>
    <w:rsid w:val="0066270F"/>
    <w:rsid w:val="00663565"/>
    <w:rsid w:val="00664BAF"/>
    <w:rsid w:val="00666684"/>
    <w:rsid w:val="00666707"/>
    <w:rsid w:val="00672204"/>
    <w:rsid w:val="0067500E"/>
    <w:rsid w:val="00677CDD"/>
    <w:rsid w:val="0068079B"/>
    <w:rsid w:val="00682E57"/>
    <w:rsid w:val="00684D1A"/>
    <w:rsid w:val="006861D7"/>
    <w:rsid w:val="00690816"/>
    <w:rsid w:val="00694297"/>
    <w:rsid w:val="006949F4"/>
    <w:rsid w:val="00694CE0"/>
    <w:rsid w:val="00695B3B"/>
    <w:rsid w:val="00695C65"/>
    <w:rsid w:val="00696740"/>
    <w:rsid w:val="00696EAD"/>
    <w:rsid w:val="006A2B8A"/>
    <w:rsid w:val="006A52DB"/>
    <w:rsid w:val="006A5779"/>
    <w:rsid w:val="006A6723"/>
    <w:rsid w:val="006B26A0"/>
    <w:rsid w:val="006B2DB4"/>
    <w:rsid w:val="006B53C0"/>
    <w:rsid w:val="006B6B3F"/>
    <w:rsid w:val="006B7BB3"/>
    <w:rsid w:val="006C1946"/>
    <w:rsid w:val="006C21C0"/>
    <w:rsid w:val="006C3500"/>
    <w:rsid w:val="006C3E72"/>
    <w:rsid w:val="006C3FB3"/>
    <w:rsid w:val="006C43E5"/>
    <w:rsid w:val="006C49F8"/>
    <w:rsid w:val="006C52ED"/>
    <w:rsid w:val="006C57C6"/>
    <w:rsid w:val="006C7C30"/>
    <w:rsid w:val="006D25B5"/>
    <w:rsid w:val="006D2C17"/>
    <w:rsid w:val="006D3B8F"/>
    <w:rsid w:val="006D47FC"/>
    <w:rsid w:val="006D6F31"/>
    <w:rsid w:val="006D740E"/>
    <w:rsid w:val="006D76AC"/>
    <w:rsid w:val="006D7E1C"/>
    <w:rsid w:val="006E0605"/>
    <w:rsid w:val="006E1224"/>
    <w:rsid w:val="006E1746"/>
    <w:rsid w:val="006E23F5"/>
    <w:rsid w:val="006E494F"/>
    <w:rsid w:val="006E63CD"/>
    <w:rsid w:val="006E70C2"/>
    <w:rsid w:val="006F1C25"/>
    <w:rsid w:val="006F2EA4"/>
    <w:rsid w:val="006F4B7A"/>
    <w:rsid w:val="006F67C6"/>
    <w:rsid w:val="006F780D"/>
    <w:rsid w:val="00701207"/>
    <w:rsid w:val="00701E55"/>
    <w:rsid w:val="0070411F"/>
    <w:rsid w:val="00704290"/>
    <w:rsid w:val="0070708E"/>
    <w:rsid w:val="00711694"/>
    <w:rsid w:val="00711872"/>
    <w:rsid w:val="00713734"/>
    <w:rsid w:val="0071641F"/>
    <w:rsid w:val="0072040D"/>
    <w:rsid w:val="0072104F"/>
    <w:rsid w:val="0072303A"/>
    <w:rsid w:val="00724C7F"/>
    <w:rsid w:val="007254B1"/>
    <w:rsid w:val="0072588D"/>
    <w:rsid w:val="0072657A"/>
    <w:rsid w:val="00726B51"/>
    <w:rsid w:val="00726C58"/>
    <w:rsid w:val="00727450"/>
    <w:rsid w:val="0073149A"/>
    <w:rsid w:val="00732EBD"/>
    <w:rsid w:val="00733394"/>
    <w:rsid w:val="00734058"/>
    <w:rsid w:val="007378A6"/>
    <w:rsid w:val="00740A94"/>
    <w:rsid w:val="007418DF"/>
    <w:rsid w:val="007460AF"/>
    <w:rsid w:val="00753C6B"/>
    <w:rsid w:val="007556CE"/>
    <w:rsid w:val="00756A57"/>
    <w:rsid w:val="0075708F"/>
    <w:rsid w:val="0075725A"/>
    <w:rsid w:val="00757C2D"/>
    <w:rsid w:val="00762B26"/>
    <w:rsid w:val="007631EC"/>
    <w:rsid w:val="007647A7"/>
    <w:rsid w:val="00764CB2"/>
    <w:rsid w:val="0076521F"/>
    <w:rsid w:val="00766CDE"/>
    <w:rsid w:val="00770D2F"/>
    <w:rsid w:val="00771F38"/>
    <w:rsid w:val="0077563D"/>
    <w:rsid w:val="0077710C"/>
    <w:rsid w:val="00780486"/>
    <w:rsid w:val="0078100D"/>
    <w:rsid w:val="00781D10"/>
    <w:rsid w:val="0078211C"/>
    <w:rsid w:val="00782F85"/>
    <w:rsid w:val="0078368D"/>
    <w:rsid w:val="00783F42"/>
    <w:rsid w:val="0078414E"/>
    <w:rsid w:val="007842AB"/>
    <w:rsid w:val="00785D02"/>
    <w:rsid w:val="00785D75"/>
    <w:rsid w:val="00786165"/>
    <w:rsid w:val="00786EFE"/>
    <w:rsid w:val="00791D43"/>
    <w:rsid w:val="0079272F"/>
    <w:rsid w:val="00794E85"/>
    <w:rsid w:val="00795634"/>
    <w:rsid w:val="00795871"/>
    <w:rsid w:val="007967A5"/>
    <w:rsid w:val="007A0D24"/>
    <w:rsid w:val="007A5019"/>
    <w:rsid w:val="007A7BDF"/>
    <w:rsid w:val="007B40BE"/>
    <w:rsid w:val="007B5330"/>
    <w:rsid w:val="007C0004"/>
    <w:rsid w:val="007C2EBF"/>
    <w:rsid w:val="007C4320"/>
    <w:rsid w:val="007C45E0"/>
    <w:rsid w:val="007C4D00"/>
    <w:rsid w:val="007C7E58"/>
    <w:rsid w:val="007D224D"/>
    <w:rsid w:val="007E070C"/>
    <w:rsid w:val="007E3509"/>
    <w:rsid w:val="007E7D4F"/>
    <w:rsid w:val="007F01D2"/>
    <w:rsid w:val="007F1077"/>
    <w:rsid w:val="007F128E"/>
    <w:rsid w:val="007F1BFC"/>
    <w:rsid w:val="007F1D92"/>
    <w:rsid w:val="007F3DE1"/>
    <w:rsid w:val="007F4682"/>
    <w:rsid w:val="007F481A"/>
    <w:rsid w:val="007F6511"/>
    <w:rsid w:val="007F6524"/>
    <w:rsid w:val="007F765D"/>
    <w:rsid w:val="007F776F"/>
    <w:rsid w:val="008003D5"/>
    <w:rsid w:val="00803AC0"/>
    <w:rsid w:val="00803DAA"/>
    <w:rsid w:val="0080521A"/>
    <w:rsid w:val="00805AF9"/>
    <w:rsid w:val="008066EA"/>
    <w:rsid w:val="00810B32"/>
    <w:rsid w:val="00811373"/>
    <w:rsid w:val="00813CE9"/>
    <w:rsid w:val="0081419E"/>
    <w:rsid w:val="00815FFF"/>
    <w:rsid w:val="0081706E"/>
    <w:rsid w:val="008210AD"/>
    <w:rsid w:val="0082518C"/>
    <w:rsid w:val="00825CBE"/>
    <w:rsid w:val="008267E4"/>
    <w:rsid w:val="00827F60"/>
    <w:rsid w:val="008303E8"/>
    <w:rsid w:val="00831560"/>
    <w:rsid w:val="00831B33"/>
    <w:rsid w:val="008323CF"/>
    <w:rsid w:val="008340F6"/>
    <w:rsid w:val="00835955"/>
    <w:rsid w:val="00837CE6"/>
    <w:rsid w:val="00840383"/>
    <w:rsid w:val="008416C8"/>
    <w:rsid w:val="008418C9"/>
    <w:rsid w:val="0084394D"/>
    <w:rsid w:val="008439D8"/>
    <w:rsid w:val="0084421D"/>
    <w:rsid w:val="008459B4"/>
    <w:rsid w:val="008477AA"/>
    <w:rsid w:val="00850494"/>
    <w:rsid w:val="00851A76"/>
    <w:rsid w:val="00851E4D"/>
    <w:rsid w:val="00853795"/>
    <w:rsid w:val="00856CD5"/>
    <w:rsid w:val="00857A56"/>
    <w:rsid w:val="00860A07"/>
    <w:rsid w:val="00860A67"/>
    <w:rsid w:val="00864293"/>
    <w:rsid w:val="0086602F"/>
    <w:rsid w:val="008673B8"/>
    <w:rsid w:val="0086761C"/>
    <w:rsid w:val="0087433D"/>
    <w:rsid w:val="00875C57"/>
    <w:rsid w:val="008765CA"/>
    <w:rsid w:val="0087679F"/>
    <w:rsid w:val="00877EFC"/>
    <w:rsid w:val="00880E7E"/>
    <w:rsid w:val="0088717B"/>
    <w:rsid w:val="00887328"/>
    <w:rsid w:val="008873D1"/>
    <w:rsid w:val="00887916"/>
    <w:rsid w:val="008918D9"/>
    <w:rsid w:val="0089214E"/>
    <w:rsid w:val="008923BE"/>
    <w:rsid w:val="00893BEE"/>
    <w:rsid w:val="00893E59"/>
    <w:rsid w:val="008971FC"/>
    <w:rsid w:val="00897CD6"/>
    <w:rsid w:val="008A1409"/>
    <w:rsid w:val="008A608A"/>
    <w:rsid w:val="008A6AE7"/>
    <w:rsid w:val="008A7287"/>
    <w:rsid w:val="008B25E5"/>
    <w:rsid w:val="008B2D4A"/>
    <w:rsid w:val="008B33BD"/>
    <w:rsid w:val="008B34B7"/>
    <w:rsid w:val="008B51A7"/>
    <w:rsid w:val="008B5A9F"/>
    <w:rsid w:val="008B5ADC"/>
    <w:rsid w:val="008C6B3B"/>
    <w:rsid w:val="008C6C0A"/>
    <w:rsid w:val="008D0780"/>
    <w:rsid w:val="008D07F5"/>
    <w:rsid w:val="008D0F81"/>
    <w:rsid w:val="008D1D97"/>
    <w:rsid w:val="008D38C1"/>
    <w:rsid w:val="008D410A"/>
    <w:rsid w:val="008D4653"/>
    <w:rsid w:val="008D5338"/>
    <w:rsid w:val="008D7311"/>
    <w:rsid w:val="008E0807"/>
    <w:rsid w:val="008E0973"/>
    <w:rsid w:val="008E09BC"/>
    <w:rsid w:val="008E0FA0"/>
    <w:rsid w:val="008E36CE"/>
    <w:rsid w:val="008E4DFE"/>
    <w:rsid w:val="008F0760"/>
    <w:rsid w:val="008F1B2A"/>
    <w:rsid w:val="008F35A5"/>
    <w:rsid w:val="008F38A0"/>
    <w:rsid w:val="008F4C3D"/>
    <w:rsid w:val="0090334A"/>
    <w:rsid w:val="00903BDB"/>
    <w:rsid w:val="0090568A"/>
    <w:rsid w:val="00905A6B"/>
    <w:rsid w:val="00906B38"/>
    <w:rsid w:val="00911183"/>
    <w:rsid w:val="00912904"/>
    <w:rsid w:val="00912EE5"/>
    <w:rsid w:val="0091320B"/>
    <w:rsid w:val="00914735"/>
    <w:rsid w:val="00916708"/>
    <w:rsid w:val="00917605"/>
    <w:rsid w:val="00917901"/>
    <w:rsid w:val="00921A5F"/>
    <w:rsid w:val="00923B33"/>
    <w:rsid w:val="0092457A"/>
    <w:rsid w:val="009246AA"/>
    <w:rsid w:val="00925D96"/>
    <w:rsid w:val="00926BB6"/>
    <w:rsid w:val="0092723C"/>
    <w:rsid w:val="0092740D"/>
    <w:rsid w:val="009325D8"/>
    <w:rsid w:val="00932C76"/>
    <w:rsid w:val="009333D4"/>
    <w:rsid w:val="00936773"/>
    <w:rsid w:val="00936DA4"/>
    <w:rsid w:val="009406A7"/>
    <w:rsid w:val="00941C58"/>
    <w:rsid w:val="00941EBF"/>
    <w:rsid w:val="00942C21"/>
    <w:rsid w:val="009441A0"/>
    <w:rsid w:val="0095363D"/>
    <w:rsid w:val="00955F7F"/>
    <w:rsid w:val="0096047A"/>
    <w:rsid w:val="00966751"/>
    <w:rsid w:val="00966B8D"/>
    <w:rsid w:val="00967D45"/>
    <w:rsid w:val="00972540"/>
    <w:rsid w:val="009746F4"/>
    <w:rsid w:val="009751D6"/>
    <w:rsid w:val="00975D6A"/>
    <w:rsid w:val="009773D5"/>
    <w:rsid w:val="00977B0D"/>
    <w:rsid w:val="00980C96"/>
    <w:rsid w:val="009825A0"/>
    <w:rsid w:val="00983CAB"/>
    <w:rsid w:val="00987470"/>
    <w:rsid w:val="00990346"/>
    <w:rsid w:val="009904CE"/>
    <w:rsid w:val="009914F1"/>
    <w:rsid w:val="009940C1"/>
    <w:rsid w:val="00996A8A"/>
    <w:rsid w:val="009A0767"/>
    <w:rsid w:val="009A20D0"/>
    <w:rsid w:val="009A3944"/>
    <w:rsid w:val="009A39C1"/>
    <w:rsid w:val="009A4CE3"/>
    <w:rsid w:val="009A4E40"/>
    <w:rsid w:val="009B3991"/>
    <w:rsid w:val="009B5C45"/>
    <w:rsid w:val="009B5D84"/>
    <w:rsid w:val="009B7350"/>
    <w:rsid w:val="009C0348"/>
    <w:rsid w:val="009C0750"/>
    <w:rsid w:val="009C086C"/>
    <w:rsid w:val="009C2884"/>
    <w:rsid w:val="009C28BC"/>
    <w:rsid w:val="009C395B"/>
    <w:rsid w:val="009C5499"/>
    <w:rsid w:val="009C5A32"/>
    <w:rsid w:val="009C5BC1"/>
    <w:rsid w:val="009C6BBF"/>
    <w:rsid w:val="009C79A7"/>
    <w:rsid w:val="009C7A0C"/>
    <w:rsid w:val="009C7FC6"/>
    <w:rsid w:val="009D0573"/>
    <w:rsid w:val="009D0854"/>
    <w:rsid w:val="009D14DB"/>
    <w:rsid w:val="009D2674"/>
    <w:rsid w:val="009D5DC5"/>
    <w:rsid w:val="009D6E1D"/>
    <w:rsid w:val="009E0329"/>
    <w:rsid w:val="009E3948"/>
    <w:rsid w:val="009F0914"/>
    <w:rsid w:val="009F25FE"/>
    <w:rsid w:val="009F4E51"/>
    <w:rsid w:val="009F4F73"/>
    <w:rsid w:val="009F5AF8"/>
    <w:rsid w:val="009F6258"/>
    <w:rsid w:val="00A02984"/>
    <w:rsid w:val="00A1224F"/>
    <w:rsid w:val="00A20F49"/>
    <w:rsid w:val="00A2248A"/>
    <w:rsid w:val="00A2427A"/>
    <w:rsid w:val="00A24A8D"/>
    <w:rsid w:val="00A276D2"/>
    <w:rsid w:val="00A2780C"/>
    <w:rsid w:val="00A30296"/>
    <w:rsid w:val="00A32E54"/>
    <w:rsid w:val="00A3404C"/>
    <w:rsid w:val="00A342A0"/>
    <w:rsid w:val="00A34D24"/>
    <w:rsid w:val="00A35E3D"/>
    <w:rsid w:val="00A40107"/>
    <w:rsid w:val="00A40203"/>
    <w:rsid w:val="00A40532"/>
    <w:rsid w:val="00A4102D"/>
    <w:rsid w:val="00A41861"/>
    <w:rsid w:val="00A43628"/>
    <w:rsid w:val="00A45522"/>
    <w:rsid w:val="00A5122B"/>
    <w:rsid w:val="00A5381D"/>
    <w:rsid w:val="00A5476D"/>
    <w:rsid w:val="00A550FB"/>
    <w:rsid w:val="00A555D3"/>
    <w:rsid w:val="00A5748B"/>
    <w:rsid w:val="00A6036B"/>
    <w:rsid w:val="00A61B68"/>
    <w:rsid w:val="00A644AD"/>
    <w:rsid w:val="00A65B1D"/>
    <w:rsid w:val="00A671E9"/>
    <w:rsid w:val="00A67751"/>
    <w:rsid w:val="00A67C1F"/>
    <w:rsid w:val="00A7004D"/>
    <w:rsid w:val="00A70A66"/>
    <w:rsid w:val="00A70EF0"/>
    <w:rsid w:val="00A747D3"/>
    <w:rsid w:val="00A80313"/>
    <w:rsid w:val="00A828A0"/>
    <w:rsid w:val="00A87CCA"/>
    <w:rsid w:val="00A92A71"/>
    <w:rsid w:val="00A92EBB"/>
    <w:rsid w:val="00A939C4"/>
    <w:rsid w:val="00A96BBA"/>
    <w:rsid w:val="00AA2F5E"/>
    <w:rsid w:val="00AA2F75"/>
    <w:rsid w:val="00AA5A9D"/>
    <w:rsid w:val="00AA651E"/>
    <w:rsid w:val="00AA6E80"/>
    <w:rsid w:val="00AA7436"/>
    <w:rsid w:val="00AB017F"/>
    <w:rsid w:val="00AB040C"/>
    <w:rsid w:val="00AB2EF2"/>
    <w:rsid w:val="00AB3BAA"/>
    <w:rsid w:val="00AC0AE5"/>
    <w:rsid w:val="00AC5220"/>
    <w:rsid w:val="00AC6421"/>
    <w:rsid w:val="00AC7297"/>
    <w:rsid w:val="00AC7599"/>
    <w:rsid w:val="00AC7A69"/>
    <w:rsid w:val="00AD1DDA"/>
    <w:rsid w:val="00AD3A1C"/>
    <w:rsid w:val="00AD4503"/>
    <w:rsid w:val="00AD4F74"/>
    <w:rsid w:val="00AE22D5"/>
    <w:rsid w:val="00AE452E"/>
    <w:rsid w:val="00AE66E5"/>
    <w:rsid w:val="00AF056E"/>
    <w:rsid w:val="00AF07E1"/>
    <w:rsid w:val="00AF0D52"/>
    <w:rsid w:val="00AF4427"/>
    <w:rsid w:val="00AF46D5"/>
    <w:rsid w:val="00AF5D57"/>
    <w:rsid w:val="00AF6A70"/>
    <w:rsid w:val="00AF7354"/>
    <w:rsid w:val="00AF78D1"/>
    <w:rsid w:val="00B01A0B"/>
    <w:rsid w:val="00B03725"/>
    <w:rsid w:val="00B0389F"/>
    <w:rsid w:val="00B038E3"/>
    <w:rsid w:val="00B03E65"/>
    <w:rsid w:val="00B04F2C"/>
    <w:rsid w:val="00B061C8"/>
    <w:rsid w:val="00B10EA6"/>
    <w:rsid w:val="00B10FD4"/>
    <w:rsid w:val="00B12D83"/>
    <w:rsid w:val="00B139E2"/>
    <w:rsid w:val="00B143C3"/>
    <w:rsid w:val="00B14620"/>
    <w:rsid w:val="00B15268"/>
    <w:rsid w:val="00B1727D"/>
    <w:rsid w:val="00B20B73"/>
    <w:rsid w:val="00B21744"/>
    <w:rsid w:val="00B21C9F"/>
    <w:rsid w:val="00B22FC9"/>
    <w:rsid w:val="00B250D2"/>
    <w:rsid w:val="00B26113"/>
    <w:rsid w:val="00B2620C"/>
    <w:rsid w:val="00B27741"/>
    <w:rsid w:val="00B27EA0"/>
    <w:rsid w:val="00B3041A"/>
    <w:rsid w:val="00B344CC"/>
    <w:rsid w:val="00B360DA"/>
    <w:rsid w:val="00B36C41"/>
    <w:rsid w:val="00B3742F"/>
    <w:rsid w:val="00B405CE"/>
    <w:rsid w:val="00B40D9B"/>
    <w:rsid w:val="00B42075"/>
    <w:rsid w:val="00B428B6"/>
    <w:rsid w:val="00B54CD1"/>
    <w:rsid w:val="00B54CFE"/>
    <w:rsid w:val="00B567FE"/>
    <w:rsid w:val="00B61468"/>
    <w:rsid w:val="00B618BE"/>
    <w:rsid w:val="00B62612"/>
    <w:rsid w:val="00B63798"/>
    <w:rsid w:val="00B63B4F"/>
    <w:rsid w:val="00B64750"/>
    <w:rsid w:val="00B64FD0"/>
    <w:rsid w:val="00B66767"/>
    <w:rsid w:val="00B6705A"/>
    <w:rsid w:val="00B71C32"/>
    <w:rsid w:val="00B777EC"/>
    <w:rsid w:val="00B77DDC"/>
    <w:rsid w:val="00B8157B"/>
    <w:rsid w:val="00B8188E"/>
    <w:rsid w:val="00B8542D"/>
    <w:rsid w:val="00B85676"/>
    <w:rsid w:val="00B87EA1"/>
    <w:rsid w:val="00B90FED"/>
    <w:rsid w:val="00B91AF6"/>
    <w:rsid w:val="00B926D3"/>
    <w:rsid w:val="00B929E5"/>
    <w:rsid w:val="00B93E2F"/>
    <w:rsid w:val="00B94D52"/>
    <w:rsid w:val="00B96AEB"/>
    <w:rsid w:val="00B97921"/>
    <w:rsid w:val="00BA1D66"/>
    <w:rsid w:val="00BA2BD1"/>
    <w:rsid w:val="00BA2BFE"/>
    <w:rsid w:val="00BA2FC2"/>
    <w:rsid w:val="00BA58BB"/>
    <w:rsid w:val="00BB032C"/>
    <w:rsid w:val="00BB1360"/>
    <w:rsid w:val="00BB159D"/>
    <w:rsid w:val="00BB174F"/>
    <w:rsid w:val="00BB2B98"/>
    <w:rsid w:val="00BB3EC3"/>
    <w:rsid w:val="00BB5EF0"/>
    <w:rsid w:val="00BB7B0E"/>
    <w:rsid w:val="00BC0FBA"/>
    <w:rsid w:val="00BC1A67"/>
    <w:rsid w:val="00BC3BDE"/>
    <w:rsid w:val="00BC521E"/>
    <w:rsid w:val="00BC58C4"/>
    <w:rsid w:val="00BC75AA"/>
    <w:rsid w:val="00BC7D47"/>
    <w:rsid w:val="00BD5888"/>
    <w:rsid w:val="00BD5C4F"/>
    <w:rsid w:val="00BD6319"/>
    <w:rsid w:val="00BD7830"/>
    <w:rsid w:val="00BE047F"/>
    <w:rsid w:val="00BE2304"/>
    <w:rsid w:val="00BE53C0"/>
    <w:rsid w:val="00BE789A"/>
    <w:rsid w:val="00BF1F22"/>
    <w:rsid w:val="00BF2324"/>
    <w:rsid w:val="00BF2C6F"/>
    <w:rsid w:val="00BF32D7"/>
    <w:rsid w:val="00BF3CF9"/>
    <w:rsid w:val="00BF403C"/>
    <w:rsid w:val="00BF4B7F"/>
    <w:rsid w:val="00BF54F4"/>
    <w:rsid w:val="00BF617F"/>
    <w:rsid w:val="00BF700B"/>
    <w:rsid w:val="00C0036C"/>
    <w:rsid w:val="00C03A6A"/>
    <w:rsid w:val="00C050F2"/>
    <w:rsid w:val="00C10058"/>
    <w:rsid w:val="00C11092"/>
    <w:rsid w:val="00C13FBD"/>
    <w:rsid w:val="00C14572"/>
    <w:rsid w:val="00C148F6"/>
    <w:rsid w:val="00C15FC5"/>
    <w:rsid w:val="00C16284"/>
    <w:rsid w:val="00C21955"/>
    <w:rsid w:val="00C21C6B"/>
    <w:rsid w:val="00C223FD"/>
    <w:rsid w:val="00C24305"/>
    <w:rsid w:val="00C2450D"/>
    <w:rsid w:val="00C24BF3"/>
    <w:rsid w:val="00C26921"/>
    <w:rsid w:val="00C27480"/>
    <w:rsid w:val="00C32752"/>
    <w:rsid w:val="00C3278A"/>
    <w:rsid w:val="00C34BFD"/>
    <w:rsid w:val="00C40AD0"/>
    <w:rsid w:val="00C4234C"/>
    <w:rsid w:val="00C42725"/>
    <w:rsid w:val="00C42A95"/>
    <w:rsid w:val="00C45B4D"/>
    <w:rsid w:val="00C45C3D"/>
    <w:rsid w:val="00C50089"/>
    <w:rsid w:val="00C50569"/>
    <w:rsid w:val="00C5190D"/>
    <w:rsid w:val="00C52050"/>
    <w:rsid w:val="00C52880"/>
    <w:rsid w:val="00C52F3A"/>
    <w:rsid w:val="00C54695"/>
    <w:rsid w:val="00C55B6E"/>
    <w:rsid w:val="00C627B0"/>
    <w:rsid w:val="00C63CF2"/>
    <w:rsid w:val="00C65ACE"/>
    <w:rsid w:val="00C65EE6"/>
    <w:rsid w:val="00C715D3"/>
    <w:rsid w:val="00C72794"/>
    <w:rsid w:val="00C76FB3"/>
    <w:rsid w:val="00C77449"/>
    <w:rsid w:val="00C803AA"/>
    <w:rsid w:val="00C81B0E"/>
    <w:rsid w:val="00C86146"/>
    <w:rsid w:val="00C876A6"/>
    <w:rsid w:val="00C87ACE"/>
    <w:rsid w:val="00C908F8"/>
    <w:rsid w:val="00C90C36"/>
    <w:rsid w:val="00C9265D"/>
    <w:rsid w:val="00C92B17"/>
    <w:rsid w:val="00C94ABE"/>
    <w:rsid w:val="00C95149"/>
    <w:rsid w:val="00C9712A"/>
    <w:rsid w:val="00C975C8"/>
    <w:rsid w:val="00CA1DE0"/>
    <w:rsid w:val="00CA25AC"/>
    <w:rsid w:val="00CA2885"/>
    <w:rsid w:val="00CA57C3"/>
    <w:rsid w:val="00CA5F2A"/>
    <w:rsid w:val="00CA618A"/>
    <w:rsid w:val="00CA61D7"/>
    <w:rsid w:val="00CA6B87"/>
    <w:rsid w:val="00CB272F"/>
    <w:rsid w:val="00CB2AAD"/>
    <w:rsid w:val="00CB3F20"/>
    <w:rsid w:val="00CB453E"/>
    <w:rsid w:val="00CB49C1"/>
    <w:rsid w:val="00CB6688"/>
    <w:rsid w:val="00CC0A86"/>
    <w:rsid w:val="00CC3C83"/>
    <w:rsid w:val="00CC5153"/>
    <w:rsid w:val="00CC5D19"/>
    <w:rsid w:val="00CC6036"/>
    <w:rsid w:val="00CC68BE"/>
    <w:rsid w:val="00CC74EF"/>
    <w:rsid w:val="00CC785B"/>
    <w:rsid w:val="00CD16A7"/>
    <w:rsid w:val="00CD36A2"/>
    <w:rsid w:val="00CD3CD3"/>
    <w:rsid w:val="00CD4EAA"/>
    <w:rsid w:val="00CD6B78"/>
    <w:rsid w:val="00CD7150"/>
    <w:rsid w:val="00CD7C3F"/>
    <w:rsid w:val="00CE0181"/>
    <w:rsid w:val="00CE2D23"/>
    <w:rsid w:val="00CE463E"/>
    <w:rsid w:val="00CE5FB6"/>
    <w:rsid w:val="00CE7970"/>
    <w:rsid w:val="00CF4EBC"/>
    <w:rsid w:val="00D01481"/>
    <w:rsid w:val="00D0167C"/>
    <w:rsid w:val="00D0209D"/>
    <w:rsid w:val="00D0282A"/>
    <w:rsid w:val="00D02C7F"/>
    <w:rsid w:val="00D053FA"/>
    <w:rsid w:val="00D12123"/>
    <w:rsid w:val="00D13EEA"/>
    <w:rsid w:val="00D145A6"/>
    <w:rsid w:val="00D14E68"/>
    <w:rsid w:val="00D175E6"/>
    <w:rsid w:val="00D17B8E"/>
    <w:rsid w:val="00D201C6"/>
    <w:rsid w:val="00D20487"/>
    <w:rsid w:val="00D2374A"/>
    <w:rsid w:val="00D243FB"/>
    <w:rsid w:val="00D25B69"/>
    <w:rsid w:val="00D26816"/>
    <w:rsid w:val="00D273C1"/>
    <w:rsid w:val="00D333A8"/>
    <w:rsid w:val="00D333D9"/>
    <w:rsid w:val="00D337CE"/>
    <w:rsid w:val="00D34C8C"/>
    <w:rsid w:val="00D34ED4"/>
    <w:rsid w:val="00D35D5F"/>
    <w:rsid w:val="00D37047"/>
    <w:rsid w:val="00D375B2"/>
    <w:rsid w:val="00D40B66"/>
    <w:rsid w:val="00D41C9B"/>
    <w:rsid w:val="00D458D7"/>
    <w:rsid w:val="00D5069D"/>
    <w:rsid w:val="00D509D4"/>
    <w:rsid w:val="00D516E0"/>
    <w:rsid w:val="00D52731"/>
    <w:rsid w:val="00D530D3"/>
    <w:rsid w:val="00D54D97"/>
    <w:rsid w:val="00D5583B"/>
    <w:rsid w:val="00D56807"/>
    <w:rsid w:val="00D625B0"/>
    <w:rsid w:val="00D62C9D"/>
    <w:rsid w:val="00D648E7"/>
    <w:rsid w:val="00D65C49"/>
    <w:rsid w:val="00D66970"/>
    <w:rsid w:val="00D6735C"/>
    <w:rsid w:val="00D6753B"/>
    <w:rsid w:val="00D67AEE"/>
    <w:rsid w:val="00D700B8"/>
    <w:rsid w:val="00D719E0"/>
    <w:rsid w:val="00D7395B"/>
    <w:rsid w:val="00D7568E"/>
    <w:rsid w:val="00D76DDD"/>
    <w:rsid w:val="00D8003D"/>
    <w:rsid w:val="00D82C01"/>
    <w:rsid w:val="00D85647"/>
    <w:rsid w:val="00D85771"/>
    <w:rsid w:val="00D921F2"/>
    <w:rsid w:val="00D92B6B"/>
    <w:rsid w:val="00D940FA"/>
    <w:rsid w:val="00D97B9E"/>
    <w:rsid w:val="00DA033F"/>
    <w:rsid w:val="00DA132B"/>
    <w:rsid w:val="00DA1CDF"/>
    <w:rsid w:val="00DA4A2B"/>
    <w:rsid w:val="00DA527A"/>
    <w:rsid w:val="00DA5AE7"/>
    <w:rsid w:val="00DB04CE"/>
    <w:rsid w:val="00DB454C"/>
    <w:rsid w:val="00DB5CBE"/>
    <w:rsid w:val="00DB6FC7"/>
    <w:rsid w:val="00DB71A6"/>
    <w:rsid w:val="00DC17E7"/>
    <w:rsid w:val="00DC26F3"/>
    <w:rsid w:val="00DC6C67"/>
    <w:rsid w:val="00DC6D19"/>
    <w:rsid w:val="00DD180A"/>
    <w:rsid w:val="00DD1EFD"/>
    <w:rsid w:val="00DD2924"/>
    <w:rsid w:val="00DD3A8D"/>
    <w:rsid w:val="00DD413F"/>
    <w:rsid w:val="00DD5F98"/>
    <w:rsid w:val="00DD715F"/>
    <w:rsid w:val="00DE0BA1"/>
    <w:rsid w:val="00DE0D12"/>
    <w:rsid w:val="00DE1532"/>
    <w:rsid w:val="00DE30CA"/>
    <w:rsid w:val="00DE68DD"/>
    <w:rsid w:val="00DE7339"/>
    <w:rsid w:val="00DE7941"/>
    <w:rsid w:val="00DE7BBD"/>
    <w:rsid w:val="00DE7C1C"/>
    <w:rsid w:val="00DF195B"/>
    <w:rsid w:val="00DF4440"/>
    <w:rsid w:val="00DF523E"/>
    <w:rsid w:val="00DF67C8"/>
    <w:rsid w:val="00DF775E"/>
    <w:rsid w:val="00DF79A0"/>
    <w:rsid w:val="00E01A7D"/>
    <w:rsid w:val="00E06475"/>
    <w:rsid w:val="00E07613"/>
    <w:rsid w:val="00E10160"/>
    <w:rsid w:val="00E11C11"/>
    <w:rsid w:val="00E13D9A"/>
    <w:rsid w:val="00E14545"/>
    <w:rsid w:val="00E14B67"/>
    <w:rsid w:val="00E16772"/>
    <w:rsid w:val="00E16B1A"/>
    <w:rsid w:val="00E20B73"/>
    <w:rsid w:val="00E24E87"/>
    <w:rsid w:val="00E34EC1"/>
    <w:rsid w:val="00E36235"/>
    <w:rsid w:val="00E406AB"/>
    <w:rsid w:val="00E42BDA"/>
    <w:rsid w:val="00E44076"/>
    <w:rsid w:val="00E46C34"/>
    <w:rsid w:val="00E46CFB"/>
    <w:rsid w:val="00E509A3"/>
    <w:rsid w:val="00E50AAC"/>
    <w:rsid w:val="00E512D8"/>
    <w:rsid w:val="00E51C3A"/>
    <w:rsid w:val="00E51D2B"/>
    <w:rsid w:val="00E546B4"/>
    <w:rsid w:val="00E575C2"/>
    <w:rsid w:val="00E600C2"/>
    <w:rsid w:val="00E645F5"/>
    <w:rsid w:val="00E714A2"/>
    <w:rsid w:val="00E732CE"/>
    <w:rsid w:val="00E73465"/>
    <w:rsid w:val="00E8304E"/>
    <w:rsid w:val="00E83365"/>
    <w:rsid w:val="00E845FA"/>
    <w:rsid w:val="00E84FF1"/>
    <w:rsid w:val="00E862E4"/>
    <w:rsid w:val="00E86CE1"/>
    <w:rsid w:val="00E90E40"/>
    <w:rsid w:val="00E92887"/>
    <w:rsid w:val="00E92984"/>
    <w:rsid w:val="00E934A2"/>
    <w:rsid w:val="00E937D0"/>
    <w:rsid w:val="00E943A4"/>
    <w:rsid w:val="00E96943"/>
    <w:rsid w:val="00E97576"/>
    <w:rsid w:val="00EA03F2"/>
    <w:rsid w:val="00EA39A4"/>
    <w:rsid w:val="00EA6487"/>
    <w:rsid w:val="00EA6784"/>
    <w:rsid w:val="00EA6789"/>
    <w:rsid w:val="00EA702E"/>
    <w:rsid w:val="00EB1DAD"/>
    <w:rsid w:val="00EB43B2"/>
    <w:rsid w:val="00EB5595"/>
    <w:rsid w:val="00EB6992"/>
    <w:rsid w:val="00EB6D7D"/>
    <w:rsid w:val="00EB7491"/>
    <w:rsid w:val="00EC0B76"/>
    <w:rsid w:val="00EC1154"/>
    <w:rsid w:val="00EC2E1B"/>
    <w:rsid w:val="00EC3252"/>
    <w:rsid w:val="00EC4139"/>
    <w:rsid w:val="00EC4F98"/>
    <w:rsid w:val="00EC6817"/>
    <w:rsid w:val="00EC6B4D"/>
    <w:rsid w:val="00EC74D7"/>
    <w:rsid w:val="00ED106D"/>
    <w:rsid w:val="00ED2BD4"/>
    <w:rsid w:val="00ED341A"/>
    <w:rsid w:val="00ED3A96"/>
    <w:rsid w:val="00ED5283"/>
    <w:rsid w:val="00EE06D6"/>
    <w:rsid w:val="00EE0C9F"/>
    <w:rsid w:val="00EE0D68"/>
    <w:rsid w:val="00EE25DD"/>
    <w:rsid w:val="00EE3C11"/>
    <w:rsid w:val="00EE45A0"/>
    <w:rsid w:val="00EE6578"/>
    <w:rsid w:val="00EE7433"/>
    <w:rsid w:val="00EF00FE"/>
    <w:rsid w:val="00EF268D"/>
    <w:rsid w:val="00EF3392"/>
    <w:rsid w:val="00EF3E54"/>
    <w:rsid w:val="00EF770A"/>
    <w:rsid w:val="00F01586"/>
    <w:rsid w:val="00F0446B"/>
    <w:rsid w:val="00F04B51"/>
    <w:rsid w:val="00F04BEB"/>
    <w:rsid w:val="00F05619"/>
    <w:rsid w:val="00F06E11"/>
    <w:rsid w:val="00F1558B"/>
    <w:rsid w:val="00F166F2"/>
    <w:rsid w:val="00F227B4"/>
    <w:rsid w:val="00F2441A"/>
    <w:rsid w:val="00F2504D"/>
    <w:rsid w:val="00F321A7"/>
    <w:rsid w:val="00F322D3"/>
    <w:rsid w:val="00F35DB0"/>
    <w:rsid w:val="00F364DF"/>
    <w:rsid w:val="00F42393"/>
    <w:rsid w:val="00F4366D"/>
    <w:rsid w:val="00F43F5E"/>
    <w:rsid w:val="00F4446F"/>
    <w:rsid w:val="00F4461F"/>
    <w:rsid w:val="00F450FB"/>
    <w:rsid w:val="00F45E70"/>
    <w:rsid w:val="00F4605C"/>
    <w:rsid w:val="00F46CF7"/>
    <w:rsid w:val="00F47D00"/>
    <w:rsid w:val="00F521B0"/>
    <w:rsid w:val="00F5245B"/>
    <w:rsid w:val="00F528A0"/>
    <w:rsid w:val="00F57531"/>
    <w:rsid w:val="00F576CF"/>
    <w:rsid w:val="00F611B3"/>
    <w:rsid w:val="00F611C0"/>
    <w:rsid w:val="00F61C49"/>
    <w:rsid w:val="00F61EA2"/>
    <w:rsid w:val="00F623A7"/>
    <w:rsid w:val="00F65329"/>
    <w:rsid w:val="00F670A1"/>
    <w:rsid w:val="00F67ABB"/>
    <w:rsid w:val="00F707DF"/>
    <w:rsid w:val="00F73BF8"/>
    <w:rsid w:val="00F76517"/>
    <w:rsid w:val="00F77BAA"/>
    <w:rsid w:val="00F77E49"/>
    <w:rsid w:val="00F8433E"/>
    <w:rsid w:val="00F87F67"/>
    <w:rsid w:val="00F9301D"/>
    <w:rsid w:val="00F935D5"/>
    <w:rsid w:val="00F93D6E"/>
    <w:rsid w:val="00FA0B84"/>
    <w:rsid w:val="00FA0BE5"/>
    <w:rsid w:val="00FA17C9"/>
    <w:rsid w:val="00FA20A4"/>
    <w:rsid w:val="00FA406B"/>
    <w:rsid w:val="00FA7F32"/>
    <w:rsid w:val="00FB056F"/>
    <w:rsid w:val="00FB05F7"/>
    <w:rsid w:val="00FB09A4"/>
    <w:rsid w:val="00FB1329"/>
    <w:rsid w:val="00FB153B"/>
    <w:rsid w:val="00FB161B"/>
    <w:rsid w:val="00FB38D8"/>
    <w:rsid w:val="00FB64E3"/>
    <w:rsid w:val="00FB6BEC"/>
    <w:rsid w:val="00FC2821"/>
    <w:rsid w:val="00FC487A"/>
    <w:rsid w:val="00FC48D2"/>
    <w:rsid w:val="00FC5B98"/>
    <w:rsid w:val="00FC5C97"/>
    <w:rsid w:val="00FC76C2"/>
    <w:rsid w:val="00FD0004"/>
    <w:rsid w:val="00FD3F79"/>
    <w:rsid w:val="00FE0562"/>
    <w:rsid w:val="00FE188D"/>
    <w:rsid w:val="00FE1CDC"/>
    <w:rsid w:val="00FE1F86"/>
    <w:rsid w:val="00FE41C8"/>
    <w:rsid w:val="00FE5916"/>
    <w:rsid w:val="00FE688C"/>
    <w:rsid w:val="00FE7D3C"/>
    <w:rsid w:val="00FF1BFD"/>
    <w:rsid w:val="00FF3B15"/>
    <w:rsid w:val="00FF3FDB"/>
    <w:rsid w:val="00FF456C"/>
    <w:rsid w:val="00FF6015"/>
    <w:rsid w:val="00FF606F"/>
    <w:rsid w:val="00FF6A4C"/>
    <w:rsid w:val="00FF742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E6C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7F"/>
    <w:rPr>
      <w:sz w:val="24"/>
      <w:szCs w:val="24"/>
    </w:rPr>
  </w:style>
  <w:style w:type="paragraph" w:styleId="Heading1">
    <w:name w:val="heading 1"/>
    <w:basedOn w:val="Normal"/>
    <w:next w:val="Normal"/>
    <w:link w:val="Heading1Char"/>
    <w:uiPriority w:val="99"/>
    <w:qFormat/>
    <w:rsid w:val="002B73BE"/>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B73B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2B73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3BE"/>
    <w:rPr>
      <w:rFonts w:ascii="Arial" w:hAnsi="Arial" w:cs="Arial"/>
      <w:b/>
      <w:bCs/>
      <w:kern w:val="32"/>
      <w:sz w:val="32"/>
      <w:szCs w:val="32"/>
      <w:lang w:val="pt-BR" w:eastAsia="pt-BR"/>
    </w:rPr>
  </w:style>
  <w:style w:type="character" w:customStyle="1" w:styleId="Heading2Char">
    <w:name w:val="Heading 2 Char"/>
    <w:basedOn w:val="DefaultParagraphFont"/>
    <w:link w:val="Heading2"/>
    <w:uiPriority w:val="99"/>
    <w:semiHidden/>
    <w:locked/>
    <w:rsid w:val="002B73BE"/>
    <w:rPr>
      <w:b/>
      <w:bCs/>
      <w:sz w:val="36"/>
      <w:szCs w:val="36"/>
      <w:lang w:val="pt-BR" w:eastAsia="pt-BR"/>
    </w:rPr>
  </w:style>
  <w:style w:type="character" w:customStyle="1" w:styleId="Heading3Char">
    <w:name w:val="Heading 3 Char"/>
    <w:basedOn w:val="DefaultParagraphFont"/>
    <w:link w:val="Heading3"/>
    <w:uiPriority w:val="99"/>
    <w:semiHidden/>
    <w:locked/>
    <w:rsid w:val="002B73BE"/>
    <w:rPr>
      <w:rFonts w:ascii="Arial" w:hAnsi="Arial" w:cs="Arial"/>
      <w:b/>
      <w:bCs/>
      <w:sz w:val="26"/>
      <w:szCs w:val="26"/>
      <w:lang w:val="pt-BR" w:eastAsia="pt-BR"/>
    </w:rPr>
  </w:style>
  <w:style w:type="character" w:customStyle="1" w:styleId="gmail-il">
    <w:name w:val="gmail-il"/>
    <w:basedOn w:val="DefaultParagraphFont"/>
    <w:uiPriority w:val="99"/>
    <w:rsid w:val="008D410A"/>
  </w:style>
  <w:style w:type="character" w:customStyle="1" w:styleId="gmail-m8373976118591168265gmail-m-8255879717951528678textexposedshow0">
    <w:name w:val="gmail-m_8373976118591168265gmail-m_-8255879717951528678textexposedshow0"/>
    <w:basedOn w:val="DefaultParagraphFont"/>
    <w:uiPriority w:val="99"/>
    <w:rsid w:val="008D410A"/>
  </w:style>
  <w:style w:type="character" w:customStyle="1" w:styleId="gmail-m-7040142575783955783apple-converted-space">
    <w:name w:val="gmail-m_-7040142575783955783apple-converted-space"/>
    <w:basedOn w:val="DefaultParagraphFont"/>
    <w:uiPriority w:val="99"/>
    <w:rsid w:val="00DD5F98"/>
  </w:style>
  <w:style w:type="character" w:customStyle="1" w:styleId="gmail-m-7040142575783955783textexposedshow">
    <w:name w:val="gmail-m_-7040142575783955783textexposedshow"/>
    <w:basedOn w:val="DefaultParagraphFont"/>
    <w:uiPriority w:val="99"/>
    <w:rsid w:val="00DD5F98"/>
  </w:style>
  <w:style w:type="character" w:styleId="Strong">
    <w:name w:val="Strong"/>
    <w:basedOn w:val="DefaultParagraphFont"/>
    <w:uiPriority w:val="99"/>
    <w:qFormat/>
    <w:rsid w:val="002B73BE"/>
    <w:rPr>
      <w:b/>
      <w:bCs/>
    </w:rPr>
  </w:style>
  <w:style w:type="character" w:styleId="Hyperlink">
    <w:name w:val="Hyperlink"/>
    <w:basedOn w:val="DefaultParagraphFont"/>
    <w:uiPriority w:val="99"/>
    <w:rsid w:val="002B73BE"/>
    <w:rPr>
      <w:color w:val="0000FF"/>
      <w:u w:val="single"/>
    </w:rPr>
  </w:style>
  <w:style w:type="paragraph" w:styleId="CommentText">
    <w:name w:val="annotation text"/>
    <w:basedOn w:val="Normal"/>
    <w:link w:val="CommentTextChar"/>
    <w:uiPriority w:val="99"/>
    <w:semiHidden/>
    <w:rsid w:val="002B73BE"/>
    <w:rPr>
      <w:sz w:val="20"/>
      <w:szCs w:val="20"/>
    </w:rPr>
  </w:style>
  <w:style w:type="character" w:customStyle="1" w:styleId="CommentTextChar">
    <w:name w:val="Comment Text Char"/>
    <w:basedOn w:val="DefaultParagraphFont"/>
    <w:link w:val="CommentText"/>
    <w:uiPriority w:val="99"/>
    <w:locked/>
    <w:rsid w:val="002B73BE"/>
    <w:rPr>
      <w:lang w:val="pt-BR" w:eastAsia="pt-BR"/>
    </w:rPr>
  </w:style>
  <w:style w:type="paragraph" w:styleId="CommentSubject">
    <w:name w:val="annotation subject"/>
    <w:basedOn w:val="CommentText"/>
    <w:next w:val="CommentText"/>
    <w:link w:val="CommentSubjectChar"/>
    <w:uiPriority w:val="99"/>
    <w:semiHidden/>
    <w:rsid w:val="002B73BE"/>
    <w:rPr>
      <w:b/>
      <w:bCs/>
    </w:rPr>
  </w:style>
  <w:style w:type="character" w:customStyle="1" w:styleId="CommentSubjectChar">
    <w:name w:val="Comment Subject Char"/>
    <w:basedOn w:val="CommentTextChar"/>
    <w:link w:val="CommentSubject"/>
    <w:uiPriority w:val="99"/>
    <w:locked/>
    <w:rsid w:val="002B73BE"/>
    <w:rPr>
      <w:b/>
      <w:bCs/>
      <w:lang w:val="pt-BR" w:eastAsia="pt-BR"/>
    </w:rPr>
  </w:style>
  <w:style w:type="paragraph" w:styleId="BalloonText">
    <w:name w:val="Balloon Text"/>
    <w:basedOn w:val="Normal"/>
    <w:link w:val="BalloonTextChar"/>
    <w:uiPriority w:val="99"/>
    <w:semiHidden/>
    <w:rsid w:val="002B73BE"/>
    <w:rPr>
      <w:rFonts w:ascii="Tahoma" w:hAnsi="Tahoma" w:cs="Tahoma"/>
      <w:sz w:val="16"/>
      <w:szCs w:val="16"/>
    </w:rPr>
  </w:style>
  <w:style w:type="character" w:customStyle="1" w:styleId="BalloonTextChar">
    <w:name w:val="Balloon Text Char"/>
    <w:basedOn w:val="DefaultParagraphFont"/>
    <w:link w:val="BalloonText"/>
    <w:uiPriority w:val="99"/>
    <w:locked/>
    <w:rsid w:val="002B73BE"/>
    <w:rPr>
      <w:rFonts w:ascii="Tahoma" w:hAnsi="Tahoma" w:cs="Tahoma"/>
      <w:sz w:val="16"/>
      <w:szCs w:val="16"/>
      <w:lang w:val="pt-BR" w:eastAsia="pt-BR"/>
    </w:rPr>
  </w:style>
  <w:style w:type="paragraph" w:styleId="NormalWeb">
    <w:name w:val="Normal (Web)"/>
    <w:basedOn w:val="Normal"/>
    <w:uiPriority w:val="99"/>
    <w:rsid w:val="002B73BE"/>
    <w:pPr>
      <w:spacing w:before="100" w:beforeAutospacing="1" w:after="100" w:afterAutospacing="1"/>
    </w:pPr>
  </w:style>
  <w:style w:type="paragraph" w:styleId="Footer">
    <w:name w:val="footer"/>
    <w:basedOn w:val="Normal"/>
    <w:link w:val="FooterChar"/>
    <w:uiPriority w:val="99"/>
    <w:rsid w:val="002B73BE"/>
    <w:pPr>
      <w:tabs>
        <w:tab w:val="center" w:pos="4252"/>
        <w:tab w:val="right" w:pos="8504"/>
      </w:tabs>
    </w:pPr>
  </w:style>
  <w:style w:type="character" w:customStyle="1" w:styleId="FooterChar">
    <w:name w:val="Footer Char"/>
    <w:basedOn w:val="DefaultParagraphFont"/>
    <w:link w:val="Footer"/>
    <w:uiPriority w:val="99"/>
    <w:locked/>
    <w:rsid w:val="002B73BE"/>
    <w:rPr>
      <w:sz w:val="24"/>
      <w:szCs w:val="24"/>
      <w:lang w:val="pt-BR" w:eastAsia="pt-BR"/>
    </w:rPr>
  </w:style>
  <w:style w:type="character" w:styleId="PageNumber">
    <w:name w:val="page number"/>
    <w:basedOn w:val="DefaultParagraphFont"/>
    <w:uiPriority w:val="99"/>
    <w:rsid w:val="002B73BE"/>
  </w:style>
  <w:style w:type="paragraph" w:styleId="Header">
    <w:name w:val="header"/>
    <w:basedOn w:val="Normal"/>
    <w:link w:val="HeaderChar"/>
    <w:uiPriority w:val="99"/>
    <w:rsid w:val="002B73BE"/>
    <w:pPr>
      <w:tabs>
        <w:tab w:val="center" w:pos="4252"/>
        <w:tab w:val="right" w:pos="8504"/>
      </w:tabs>
    </w:pPr>
  </w:style>
  <w:style w:type="character" w:customStyle="1" w:styleId="HeaderChar">
    <w:name w:val="Header Char"/>
    <w:basedOn w:val="DefaultParagraphFont"/>
    <w:link w:val="Header"/>
    <w:uiPriority w:val="99"/>
    <w:locked/>
    <w:rsid w:val="002B73BE"/>
    <w:rPr>
      <w:sz w:val="24"/>
      <w:szCs w:val="24"/>
      <w:lang w:val="pt-BR" w:eastAsia="pt-BR"/>
    </w:rPr>
  </w:style>
  <w:style w:type="character" w:styleId="Emphasis">
    <w:name w:val="Emphasis"/>
    <w:basedOn w:val="DefaultParagraphFont"/>
    <w:uiPriority w:val="99"/>
    <w:qFormat/>
    <w:rsid w:val="002B73BE"/>
    <w:rPr>
      <w:i/>
      <w:iCs/>
    </w:rPr>
  </w:style>
  <w:style w:type="paragraph" w:styleId="BodyText">
    <w:name w:val="Body Text"/>
    <w:basedOn w:val="Normal"/>
    <w:link w:val="BodyTextChar"/>
    <w:uiPriority w:val="99"/>
    <w:rsid w:val="002B73BE"/>
    <w:pPr>
      <w:spacing w:line="360" w:lineRule="auto"/>
      <w:jc w:val="both"/>
    </w:pPr>
    <w:rPr>
      <w:rFonts w:ascii="Arial" w:hAnsi="Arial" w:cs="Arial"/>
      <w:color w:val="000000"/>
    </w:rPr>
  </w:style>
  <w:style w:type="character" w:customStyle="1" w:styleId="BodyTextChar">
    <w:name w:val="Body Text Char"/>
    <w:basedOn w:val="DefaultParagraphFont"/>
    <w:link w:val="BodyText"/>
    <w:uiPriority w:val="99"/>
    <w:semiHidden/>
    <w:locked/>
    <w:rsid w:val="002B73BE"/>
    <w:rPr>
      <w:rFonts w:ascii="Arial" w:hAnsi="Arial" w:cs="Arial"/>
      <w:color w:val="000000"/>
      <w:sz w:val="24"/>
      <w:szCs w:val="24"/>
      <w:lang w:val="pt-BR" w:eastAsia="pt-BR"/>
    </w:rPr>
  </w:style>
  <w:style w:type="paragraph" w:styleId="Title">
    <w:name w:val="Title"/>
    <w:basedOn w:val="Normal"/>
    <w:link w:val="TitleChar"/>
    <w:uiPriority w:val="99"/>
    <w:qFormat/>
    <w:rsid w:val="002B73BE"/>
    <w:pPr>
      <w:spacing w:line="320" w:lineRule="exact"/>
      <w:jc w:val="center"/>
    </w:pPr>
    <w:rPr>
      <w:rFonts w:ascii="Arial" w:hAnsi="Arial" w:cs="Arial"/>
      <w:b/>
      <w:bCs/>
      <w:sz w:val="36"/>
      <w:szCs w:val="36"/>
    </w:rPr>
  </w:style>
  <w:style w:type="character" w:customStyle="1" w:styleId="TitleChar">
    <w:name w:val="Title Char"/>
    <w:basedOn w:val="DefaultParagraphFont"/>
    <w:link w:val="Title"/>
    <w:uiPriority w:val="99"/>
    <w:locked/>
    <w:rsid w:val="002B73BE"/>
    <w:rPr>
      <w:rFonts w:ascii="Arial" w:hAnsi="Arial" w:cs="Arial"/>
      <w:b/>
      <w:bCs/>
      <w:sz w:val="36"/>
      <w:szCs w:val="36"/>
      <w:lang w:val="pt-BR" w:eastAsia="pt-BR"/>
    </w:rPr>
  </w:style>
  <w:style w:type="paragraph" w:styleId="Subtitle">
    <w:name w:val="Subtitle"/>
    <w:basedOn w:val="Normal"/>
    <w:link w:val="SubtitleChar"/>
    <w:uiPriority w:val="99"/>
    <w:qFormat/>
    <w:rsid w:val="002B73BE"/>
    <w:pPr>
      <w:spacing w:before="60" w:after="60"/>
      <w:ind w:left="2990" w:hanging="2990"/>
      <w:jc w:val="both"/>
    </w:pPr>
    <w:rPr>
      <w:rFonts w:ascii="Arial" w:hAnsi="Arial" w:cs="Arial"/>
      <w:b/>
      <w:bCs/>
      <w:sz w:val="22"/>
      <w:szCs w:val="22"/>
    </w:rPr>
  </w:style>
  <w:style w:type="character" w:customStyle="1" w:styleId="SubtitleChar">
    <w:name w:val="Subtitle Char"/>
    <w:basedOn w:val="DefaultParagraphFont"/>
    <w:link w:val="Subtitle"/>
    <w:uiPriority w:val="99"/>
    <w:locked/>
    <w:rsid w:val="002B73BE"/>
    <w:rPr>
      <w:rFonts w:ascii="Arial" w:hAnsi="Arial" w:cs="Arial"/>
      <w:b/>
      <w:bCs/>
      <w:sz w:val="22"/>
      <w:szCs w:val="22"/>
      <w:lang w:val="pt-BR" w:eastAsia="pt-BR"/>
    </w:rPr>
  </w:style>
  <w:style w:type="paragraph" w:customStyle="1" w:styleId="ydp2c272bfbyiv6720796243ydp1e64245yiv6216215699ydpc17655d7yiv6965632306msobodytextindent3">
    <w:name w:val="ydp2c272bfbyiv6720796243ydp1e64245yiv6216215699ydpc17655d7yiv6965632306msobodytextindent3"/>
    <w:basedOn w:val="Normal"/>
    <w:uiPriority w:val="99"/>
    <w:rsid w:val="002B73BE"/>
    <w:pPr>
      <w:spacing w:before="100" w:beforeAutospacing="1" w:after="100" w:afterAutospacing="1"/>
    </w:pPr>
  </w:style>
  <w:style w:type="character" w:styleId="CommentReference">
    <w:name w:val="annotation reference"/>
    <w:basedOn w:val="DefaultParagraphFont"/>
    <w:uiPriority w:val="99"/>
    <w:semiHidden/>
    <w:rsid w:val="0039421C"/>
    <w:rPr>
      <w:sz w:val="16"/>
      <w:szCs w:val="16"/>
    </w:rPr>
  </w:style>
  <w:style w:type="paragraph" w:styleId="Revision">
    <w:name w:val="Revision"/>
    <w:hidden/>
    <w:uiPriority w:val="99"/>
    <w:semiHidden/>
    <w:rsid w:val="00EB5595"/>
    <w:rPr>
      <w:sz w:val="24"/>
      <w:szCs w:val="24"/>
    </w:rPr>
  </w:style>
  <w:style w:type="paragraph" w:styleId="ListParagraph">
    <w:name w:val="List Paragraph"/>
    <w:basedOn w:val="Normal"/>
    <w:uiPriority w:val="99"/>
    <w:qFormat/>
    <w:rsid w:val="00B77DDC"/>
    <w:pPr>
      <w:ind w:left="720"/>
    </w:pPr>
  </w:style>
  <w:style w:type="paragraph" w:customStyle="1" w:styleId="Normal1">
    <w:name w:val="Normal1"/>
    <w:uiPriority w:val="99"/>
    <w:rsid w:val="00857A56"/>
    <w:pPr>
      <w:widowControl w:val="0"/>
      <w:ind w:left="-1" w:hanging="1"/>
    </w:pPr>
    <w:rPr>
      <w:rFonts w:ascii="Arial" w:hAnsi="Arial" w:cs="Arial"/>
    </w:rPr>
  </w:style>
  <w:style w:type="table" w:styleId="TableGrid">
    <w:name w:val="Table Grid"/>
    <w:basedOn w:val="TableNormal"/>
    <w:uiPriority w:val="99"/>
    <w:locked/>
    <w:rsid w:val="00C774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uiPriority w:val="99"/>
    <w:rsid w:val="00A20F49"/>
    <w:pPr>
      <w:tabs>
        <w:tab w:val="center" w:pos="4252"/>
        <w:tab w:val="right" w:pos="8504"/>
      </w:tabs>
    </w:pPr>
    <w:rPr>
      <w:rFonts w:ascii="Calibri" w:hAnsi="Calibri" w:cs="Calibri"/>
      <w:sz w:val="22"/>
      <w:szCs w:val="22"/>
      <w:lang w:eastAsia="en-US"/>
    </w:rPr>
  </w:style>
  <w:style w:type="paragraph" w:customStyle="1" w:styleId="Contedodoquadro">
    <w:name w:val="Conteúdo do quadro"/>
    <w:basedOn w:val="Normal"/>
    <w:uiPriority w:val="99"/>
    <w:rsid w:val="00A20F49"/>
    <w:pPr>
      <w:spacing w:after="200" w:line="276" w:lineRule="auto"/>
    </w:pPr>
    <w:rPr>
      <w:rFonts w:ascii="Calibri" w:hAnsi="Calibri" w:cs="Calibri"/>
      <w:sz w:val="22"/>
      <w:szCs w:val="22"/>
      <w:lang w:eastAsia="en-US"/>
    </w:rPr>
  </w:style>
  <w:style w:type="paragraph" w:styleId="FootnoteText">
    <w:name w:val="footnote text"/>
    <w:basedOn w:val="Normal"/>
    <w:link w:val="FootnoteTextChar1"/>
    <w:uiPriority w:val="99"/>
    <w:semiHidden/>
    <w:rsid w:val="00A20F49"/>
    <w:rPr>
      <w:sz w:val="20"/>
      <w:szCs w:val="20"/>
    </w:rPr>
  </w:style>
  <w:style w:type="character" w:customStyle="1" w:styleId="FootnoteTextChar">
    <w:name w:val="Footnote Text Char"/>
    <w:basedOn w:val="DefaultParagraphFont"/>
    <w:uiPriority w:val="99"/>
    <w:semiHidden/>
    <w:locked/>
    <w:rsid w:val="00A87CCA"/>
    <w:rPr>
      <w:sz w:val="20"/>
      <w:szCs w:val="20"/>
    </w:rPr>
  </w:style>
  <w:style w:type="character" w:customStyle="1" w:styleId="FootnoteTextChar1">
    <w:name w:val="Footnote Text Char1"/>
    <w:link w:val="FootnoteText"/>
    <w:uiPriority w:val="99"/>
    <w:locked/>
    <w:rsid w:val="00A20F49"/>
    <w:rPr>
      <w:lang w:val="pt-BR" w:eastAsia="pt-BR"/>
    </w:rPr>
  </w:style>
  <w:style w:type="character" w:styleId="FootnoteReference">
    <w:name w:val="footnote reference"/>
    <w:basedOn w:val="DefaultParagraphFont"/>
    <w:uiPriority w:val="99"/>
    <w:semiHidden/>
    <w:rsid w:val="00A20F49"/>
    <w:rPr>
      <w:vertAlign w:val="superscript"/>
    </w:rPr>
  </w:style>
  <w:style w:type="paragraph" w:customStyle="1" w:styleId="Normal2">
    <w:name w:val="Normal2"/>
    <w:uiPriority w:val="99"/>
    <w:rsid w:val="00B54CFE"/>
    <w:pPr>
      <w:widowControl w:val="0"/>
      <w:ind w:left="-1" w:hanging="1"/>
    </w:pPr>
    <w:rPr>
      <w:rFonts w:ascii="Arial" w:hAnsi="Arial" w:cs="Arial"/>
    </w:rPr>
  </w:style>
  <w:style w:type="paragraph" w:customStyle="1" w:styleId="Default">
    <w:name w:val="Default"/>
    <w:uiPriority w:val="99"/>
    <w:rsid w:val="006B26A0"/>
    <w:pPr>
      <w:widowControl w:val="0"/>
      <w:autoSpaceDE w:val="0"/>
      <w:autoSpaceDN w:val="0"/>
      <w:adjustRightInd w:val="0"/>
    </w:pPr>
    <w:rPr>
      <w:color w:val="000000"/>
      <w:sz w:val="24"/>
      <w:szCs w:val="24"/>
    </w:rPr>
  </w:style>
  <w:style w:type="paragraph" w:styleId="BodyTextIndent">
    <w:name w:val="Body Text Indent"/>
    <w:basedOn w:val="Normal"/>
    <w:link w:val="BodyTextIndentChar"/>
    <w:uiPriority w:val="99"/>
    <w:semiHidden/>
    <w:rsid w:val="00587B62"/>
    <w:pPr>
      <w:spacing w:after="120"/>
      <w:ind w:left="283"/>
    </w:pPr>
  </w:style>
  <w:style w:type="character" w:customStyle="1" w:styleId="BodyTextIndentChar">
    <w:name w:val="Body Text Indent Char"/>
    <w:basedOn w:val="DefaultParagraphFont"/>
    <w:link w:val="BodyTextIndent"/>
    <w:uiPriority w:val="99"/>
    <w:semiHidden/>
    <w:locked/>
    <w:rsid w:val="00587B62"/>
    <w:rPr>
      <w:sz w:val="24"/>
      <w:szCs w:val="24"/>
    </w:rPr>
  </w:style>
  <w:style w:type="paragraph" w:customStyle="1" w:styleId="Artigo">
    <w:name w:val="Artigo"/>
    <w:basedOn w:val="Normal"/>
    <w:uiPriority w:val="99"/>
    <w:rsid w:val="00587B62"/>
    <w:pPr>
      <w:suppressAutoHyphens/>
      <w:overflowPunct w:val="0"/>
      <w:autoSpaceDE w:val="0"/>
      <w:spacing w:before="120" w:after="120"/>
      <w:ind w:firstLine="567"/>
      <w:jc w:val="both"/>
    </w:pPr>
    <w:rPr>
      <w:lang w:eastAsia="zh-CN"/>
    </w:rPr>
  </w:style>
  <w:style w:type="paragraph" w:customStyle="1" w:styleId="alneanvel1">
    <w:name w:val="alínea nível 1"/>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Itemnvel1">
    <w:name w:val="Item nível 1"/>
    <w:basedOn w:val="Normal"/>
    <w:uiPriority w:val="99"/>
    <w:rsid w:val="00587B62"/>
    <w:pPr>
      <w:tabs>
        <w:tab w:val="left" w:pos="567"/>
      </w:tabs>
      <w:spacing w:line="360" w:lineRule="auto"/>
      <w:ind w:left="425" w:hanging="425"/>
      <w:jc w:val="both"/>
    </w:pPr>
    <w:rPr>
      <w:rFonts w:ascii="Calibri" w:hAnsi="Calibri" w:cs="Calibri"/>
      <w:sz w:val="22"/>
      <w:szCs w:val="22"/>
    </w:rPr>
  </w:style>
  <w:style w:type="paragraph" w:customStyle="1" w:styleId="Itemnvel2">
    <w:name w:val="Item nível 2"/>
    <w:basedOn w:val="Normal"/>
    <w:uiPriority w:val="99"/>
    <w:rsid w:val="00587B62"/>
    <w:pPr>
      <w:tabs>
        <w:tab w:val="left" w:pos="709"/>
      </w:tabs>
      <w:spacing w:line="360" w:lineRule="auto"/>
      <w:jc w:val="both"/>
    </w:pPr>
    <w:rPr>
      <w:rFonts w:ascii="Calibri" w:hAnsi="Calibri" w:cs="Calibri"/>
      <w:sz w:val="22"/>
      <w:szCs w:val="22"/>
    </w:rPr>
  </w:style>
  <w:style w:type="paragraph" w:customStyle="1" w:styleId="Itemnvel3">
    <w:name w:val="Item nível 3"/>
    <w:basedOn w:val="Normal"/>
    <w:uiPriority w:val="99"/>
    <w:rsid w:val="00587B62"/>
    <w:pPr>
      <w:tabs>
        <w:tab w:val="left" w:pos="851"/>
      </w:tabs>
      <w:spacing w:line="360" w:lineRule="auto"/>
      <w:jc w:val="both"/>
    </w:pPr>
    <w:rPr>
      <w:rFonts w:ascii="Calibri" w:hAnsi="Calibri" w:cs="Calibri"/>
      <w:sz w:val="22"/>
      <w:szCs w:val="22"/>
    </w:rPr>
  </w:style>
  <w:style w:type="paragraph" w:customStyle="1" w:styleId="Itemnvel4">
    <w:name w:val="Item nível 4"/>
    <w:basedOn w:val="Normal"/>
    <w:uiPriority w:val="99"/>
    <w:rsid w:val="00587B62"/>
    <w:pPr>
      <w:tabs>
        <w:tab w:val="left" w:pos="993"/>
      </w:tabs>
      <w:spacing w:line="360" w:lineRule="auto"/>
      <w:jc w:val="both"/>
    </w:pPr>
    <w:rPr>
      <w:rFonts w:ascii="Calibri" w:hAnsi="Calibri" w:cs="Calibri"/>
      <w:sz w:val="22"/>
      <w:szCs w:val="22"/>
    </w:rPr>
  </w:style>
  <w:style w:type="paragraph" w:customStyle="1" w:styleId="alneanvel2">
    <w:name w:val="alínea nível 2"/>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alneanvel3">
    <w:name w:val="alínea nível 3"/>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alneanvel4">
    <w:name w:val="alínea nível 4"/>
    <w:basedOn w:val="Normal"/>
    <w:uiPriority w:val="99"/>
    <w:rsid w:val="00587B62"/>
    <w:pPr>
      <w:tabs>
        <w:tab w:val="left" w:pos="284"/>
      </w:tabs>
      <w:spacing w:line="360" w:lineRule="auto"/>
      <w:ind w:left="284" w:hanging="285"/>
      <w:jc w:val="both"/>
    </w:pPr>
    <w:rPr>
      <w:rFonts w:ascii="Calibri" w:hAnsi="Calibri" w:cs="Calibri"/>
      <w:sz w:val="22"/>
      <w:szCs w:val="22"/>
    </w:rPr>
  </w:style>
  <w:style w:type="paragraph" w:customStyle="1" w:styleId="citacao">
    <w:name w:val="citacao"/>
    <w:basedOn w:val="Normal"/>
    <w:uiPriority w:val="99"/>
    <w:rsid w:val="00587B62"/>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600762">
      <w:marLeft w:val="0"/>
      <w:marRight w:val="0"/>
      <w:marTop w:val="0"/>
      <w:marBottom w:val="0"/>
      <w:divBdr>
        <w:top w:val="none" w:sz="0" w:space="0" w:color="auto"/>
        <w:left w:val="none" w:sz="0" w:space="0" w:color="auto"/>
        <w:bottom w:val="none" w:sz="0" w:space="0" w:color="auto"/>
        <w:right w:val="none" w:sz="0" w:space="0" w:color="auto"/>
      </w:divBdr>
    </w:div>
    <w:div w:id="1709600763">
      <w:marLeft w:val="0"/>
      <w:marRight w:val="0"/>
      <w:marTop w:val="0"/>
      <w:marBottom w:val="0"/>
      <w:divBdr>
        <w:top w:val="none" w:sz="0" w:space="0" w:color="auto"/>
        <w:left w:val="none" w:sz="0" w:space="0" w:color="auto"/>
        <w:bottom w:val="none" w:sz="0" w:space="0" w:color="auto"/>
        <w:right w:val="none" w:sz="0" w:space="0" w:color="auto"/>
      </w:divBdr>
    </w:div>
    <w:div w:id="1709600764">
      <w:marLeft w:val="0"/>
      <w:marRight w:val="0"/>
      <w:marTop w:val="0"/>
      <w:marBottom w:val="0"/>
      <w:divBdr>
        <w:top w:val="none" w:sz="0" w:space="0" w:color="auto"/>
        <w:left w:val="none" w:sz="0" w:space="0" w:color="auto"/>
        <w:bottom w:val="none" w:sz="0" w:space="0" w:color="auto"/>
        <w:right w:val="none" w:sz="0" w:space="0" w:color="auto"/>
      </w:divBdr>
    </w:div>
    <w:div w:id="1709600765">
      <w:marLeft w:val="0"/>
      <w:marRight w:val="0"/>
      <w:marTop w:val="0"/>
      <w:marBottom w:val="0"/>
      <w:divBdr>
        <w:top w:val="none" w:sz="0" w:space="0" w:color="auto"/>
        <w:left w:val="none" w:sz="0" w:space="0" w:color="auto"/>
        <w:bottom w:val="none" w:sz="0" w:space="0" w:color="auto"/>
        <w:right w:val="none" w:sz="0" w:space="0" w:color="auto"/>
      </w:divBdr>
    </w:div>
    <w:div w:id="1709600766">
      <w:marLeft w:val="0"/>
      <w:marRight w:val="0"/>
      <w:marTop w:val="0"/>
      <w:marBottom w:val="0"/>
      <w:divBdr>
        <w:top w:val="none" w:sz="0" w:space="0" w:color="auto"/>
        <w:left w:val="none" w:sz="0" w:space="0" w:color="auto"/>
        <w:bottom w:val="none" w:sz="0" w:space="0" w:color="auto"/>
        <w:right w:val="none" w:sz="0" w:space="0" w:color="auto"/>
      </w:divBdr>
    </w:div>
    <w:div w:id="1709600767">
      <w:marLeft w:val="0"/>
      <w:marRight w:val="0"/>
      <w:marTop w:val="0"/>
      <w:marBottom w:val="0"/>
      <w:divBdr>
        <w:top w:val="none" w:sz="0" w:space="0" w:color="auto"/>
        <w:left w:val="none" w:sz="0" w:space="0" w:color="auto"/>
        <w:bottom w:val="none" w:sz="0" w:space="0" w:color="auto"/>
        <w:right w:val="none" w:sz="0" w:space="0" w:color="auto"/>
      </w:divBdr>
    </w:div>
    <w:div w:id="1709600768">
      <w:marLeft w:val="0"/>
      <w:marRight w:val="0"/>
      <w:marTop w:val="0"/>
      <w:marBottom w:val="0"/>
      <w:divBdr>
        <w:top w:val="none" w:sz="0" w:space="0" w:color="auto"/>
        <w:left w:val="none" w:sz="0" w:space="0" w:color="auto"/>
        <w:bottom w:val="none" w:sz="0" w:space="0" w:color="auto"/>
        <w:right w:val="none" w:sz="0" w:space="0" w:color="auto"/>
      </w:divBdr>
    </w:div>
    <w:div w:id="1709600772">
      <w:marLeft w:val="0"/>
      <w:marRight w:val="0"/>
      <w:marTop w:val="0"/>
      <w:marBottom w:val="0"/>
      <w:divBdr>
        <w:top w:val="none" w:sz="0" w:space="0" w:color="auto"/>
        <w:left w:val="none" w:sz="0" w:space="0" w:color="auto"/>
        <w:bottom w:val="none" w:sz="0" w:space="0" w:color="auto"/>
        <w:right w:val="none" w:sz="0" w:space="0" w:color="auto"/>
      </w:divBdr>
      <w:divsChild>
        <w:div w:id="1709600791">
          <w:marLeft w:val="0"/>
          <w:marRight w:val="0"/>
          <w:marTop w:val="0"/>
          <w:marBottom w:val="0"/>
          <w:divBdr>
            <w:top w:val="none" w:sz="0" w:space="0" w:color="auto"/>
            <w:left w:val="none" w:sz="0" w:space="0" w:color="auto"/>
            <w:bottom w:val="none" w:sz="0" w:space="0" w:color="auto"/>
            <w:right w:val="none" w:sz="0" w:space="0" w:color="auto"/>
          </w:divBdr>
          <w:divsChild>
            <w:div w:id="1709600770">
              <w:marLeft w:val="0"/>
              <w:marRight w:val="0"/>
              <w:marTop w:val="0"/>
              <w:marBottom w:val="0"/>
              <w:divBdr>
                <w:top w:val="none" w:sz="0" w:space="0" w:color="auto"/>
                <w:left w:val="none" w:sz="0" w:space="0" w:color="auto"/>
                <w:bottom w:val="none" w:sz="0" w:space="0" w:color="auto"/>
                <w:right w:val="none" w:sz="0" w:space="0" w:color="auto"/>
              </w:divBdr>
              <w:divsChild>
                <w:div w:id="1709600769">
                  <w:marLeft w:val="0"/>
                  <w:marRight w:val="0"/>
                  <w:marTop w:val="0"/>
                  <w:marBottom w:val="0"/>
                  <w:divBdr>
                    <w:top w:val="none" w:sz="0" w:space="0" w:color="auto"/>
                    <w:left w:val="none" w:sz="0" w:space="0" w:color="auto"/>
                    <w:bottom w:val="none" w:sz="0" w:space="0" w:color="auto"/>
                    <w:right w:val="none" w:sz="0" w:space="0" w:color="auto"/>
                  </w:divBdr>
                </w:div>
                <w:div w:id="1709600773">
                  <w:marLeft w:val="0"/>
                  <w:marRight w:val="0"/>
                  <w:marTop w:val="0"/>
                  <w:marBottom w:val="0"/>
                  <w:divBdr>
                    <w:top w:val="none" w:sz="0" w:space="0" w:color="auto"/>
                    <w:left w:val="none" w:sz="0" w:space="0" w:color="auto"/>
                    <w:bottom w:val="none" w:sz="0" w:space="0" w:color="auto"/>
                    <w:right w:val="none" w:sz="0" w:space="0" w:color="auto"/>
                  </w:divBdr>
                </w:div>
                <w:div w:id="1709600780">
                  <w:marLeft w:val="0"/>
                  <w:marRight w:val="0"/>
                  <w:marTop w:val="0"/>
                  <w:marBottom w:val="0"/>
                  <w:divBdr>
                    <w:top w:val="none" w:sz="0" w:space="0" w:color="auto"/>
                    <w:left w:val="none" w:sz="0" w:space="0" w:color="auto"/>
                    <w:bottom w:val="none" w:sz="0" w:space="0" w:color="auto"/>
                    <w:right w:val="none" w:sz="0" w:space="0" w:color="auto"/>
                  </w:divBdr>
                </w:div>
                <w:div w:id="1709600781">
                  <w:marLeft w:val="0"/>
                  <w:marRight w:val="0"/>
                  <w:marTop w:val="0"/>
                  <w:marBottom w:val="0"/>
                  <w:divBdr>
                    <w:top w:val="none" w:sz="0" w:space="0" w:color="auto"/>
                    <w:left w:val="none" w:sz="0" w:space="0" w:color="auto"/>
                    <w:bottom w:val="none" w:sz="0" w:space="0" w:color="auto"/>
                    <w:right w:val="none" w:sz="0" w:space="0" w:color="auto"/>
                  </w:divBdr>
                </w:div>
                <w:div w:id="1709600782">
                  <w:marLeft w:val="0"/>
                  <w:marRight w:val="0"/>
                  <w:marTop w:val="0"/>
                  <w:marBottom w:val="0"/>
                  <w:divBdr>
                    <w:top w:val="none" w:sz="0" w:space="0" w:color="auto"/>
                    <w:left w:val="none" w:sz="0" w:space="0" w:color="auto"/>
                    <w:bottom w:val="none" w:sz="0" w:space="0" w:color="auto"/>
                    <w:right w:val="none" w:sz="0" w:space="0" w:color="auto"/>
                  </w:divBdr>
                </w:div>
                <w:div w:id="1709600784">
                  <w:marLeft w:val="0"/>
                  <w:marRight w:val="0"/>
                  <w:marTop w:val="0"/>
                  <w:marBottom w:val="0"/>
                  <w:divBdr>
                    <w:top w:val="none" w:sz="0" w:space="0" w:color="auto"/>
                    <w:left w:val="none" w:sz="0" w:space="0" w:color="auto"/>
                    <w:bottom w:val="none" w:sz="0" w:space="0" w:color="auto"/>
                    <w:right w:val="none" w:sz="0" w:space="0" w:color="auto"/>
                  </w:divBdr>
                </w:div>
                <w:div w:id="1709600785">
                  <w:marLeft w:val="0"/>
                  <w:marRight w:val="0"/>
                  <w:marTop w:val="0"/>
                  <w:marBottom w:val="0"/>
                  <w:divBdr>
                    <w:top w:val="none" w:sz="0" w:space="0" w:color="auto"/>
                    <w:left w:val="none" w:sz="0" w:space="0" w:color="auto"/>
                    <w:bottom w:val="none" w:sz="0" w:space="0" w:color="auto"/>
                    <w:right w:val="none" w:sz="0" w:space="0" w:color="auto"/>
                  </w:divBdr>
                </w:div>
                <w:div w:id="1709600787">
                  <w:marLeft w:val="0"/>
                  <w:marRight w:val="0"/>
                  <w:marTop w:val="0"/>
                  <w:marBottom w:val="0"/>
                  <w:divBdr>
                    <w:top w:val="none" w:sz="0" w:space="0" w:color="auto"/>
                    <w:left w:val="none" w:sz="0" w:space="0" w:color="auto"/>
                    <w:bottom w:val="none" w:sz="0" w:space="0" w:color="auto"/>
                    <w:right w:val="none" w:sz="0" w:space="0" w:color="auto"/>
                  </w:divBdr>
                </w:div>
                <w:div w:id="1709600789">
                  <w:marLeft w:val="0"/>
                  <w:marRight w:val="0"/>
                  <w:marTop w:val="0"/>
                  <w:marBottom w:val="0"/>
                  <w:divBdr>
                    <w:top w:val="none" w:sz="0" w:space="0" w:color="auto"/>
                    <w:left w:val="none" w:sz="0" w:space="0" w:color="auto"/>
                    <w:bottom w:val="none" w:sz="0" w:space="0" w:color="auto"/>
                    <w:right w:val="none" w:sz="0" w:space="0" w:color="auto"/>
                  </w:divBdr>
                </w:div>
                <w:div w:id="1709600790">
                  <w:marLeft w:val="0"/>
                  <w:marRight w:val="0"/>
                  <w:marTop w:val="0"/>
                  <w:marBottom w:val="0"/>
                  <w:divBdr>
                    <w:top w:val="none" w:sz="0" w:space="0" w:color="auto"/>
                    <w:left w:val="none" w:sz="0" w:space="0" w:color="auto"/>
                    <w:bottom w:val="none" w:sz="0" w:space="0" w:color="auto"/>
                    <w:right w:val="none" w:sz="0" w:space="0" w:color="auto"/>
                  </w:divBdr>
                </w:div>
                <w:div w:id="1709600792">
                  <w:marLeft w:val="0"/>
                  <w:marRight w:val="0"/>
                  <w:marTop w:val="0"/>
                  <w:marBottom w:val="0"/>
                  <w:divBdr>
                    <w:top w:val="none" w:sz="0" w:space="0" w:color="auto"/>
                    <w:left w:val="none" w:sz="0" w:space="0" w:color="auto"/>
                    <w:bottom w:val="none" w:sz="0" w:space="0" w:color="auto"/>
                    <w:right w:val="none" w:sz="0" w:space="0" w:color="auto"/>
                  </w:divBdr>
                </w:div>
                <w:div w:id="1709600794">
                  <w:marLeft w:val="0"/>
                  <w:marRight w:val="0"/>
                  <w:marTop w:val="0"/>
                  <w:marBottom w:val="0"/>
                  <w:divBdr>
                    <w:top w:val="none" w:sz="0" w:space="0" w:color="auto"/>
                    <w:left w:val="none" w:sz="0" w:space="0" w:color="auto"/>
                    <w:bottom w:val="none" w:sz="0" w:space="0" w:color="auto"/>
                    <w:right w:val="none" w:sz="0" w:space="0" w:color="auto"/>
                  </w:divBdr>
                </w:div>
                <w:div w:id="1709600795">
                  <w:marLeft w:val="0"/>
                  <w:marRight w:val="0"/>
                  <w:marTop w:val="0"/>
                  <w:marBottom w:val="0"/>
                  <w:divBdr>
                    <w:top w:val="none" w:sz="0" w:space="0" w:color="auto"/>
                    <w:left w:val="none" w:sz="0" w:space="0" w:color="auto"/>
                    <w:bottom w:val="none" w:sz="0" w:space="0" w:color="auto"/>
                    <w:right w:val="none" w:sz="0" w:space="0" w:color="auto"/>
                  </w:divBdr>
                </w:div>
                <w:div w:id="1709600799">
                  <w:marLeft w:val="0"/>
                  <w:marRight w:val="0"/>
                  <w:marTop w:val="0"/>
                  <w:marBottom w:val="0"/>
                  <w:divBdr>
                    <w:top w:val="none" w:sz="0" w:space="0" w:color="auto"/>
                    <w:left w:val="none" w:sz="0" w:space="0" w:color="auto"/>
                    <w:bottom w:val="none" w:sz="0" w:space="0" w:color="auto"/>
                    <w:right w:val="none" w:sz="0" w:space="0" w:color="auto"/>
                  </w:divBdr>
                </w:div>
                <w:div w:id="1709600800">
                  <w:marLeft w:val="0"/>
                  <w:marRight w:val="0"/>
                  <w:marTop w:val="0"/>
                  <w:marBottom w:val="0"/>
                  <w:divBdr>
                    <w:top w:val="none" w:sz="0" w:space="0" w:color="auto"/>
                    <w:left w:val="none" w:sz="0" w:space="0" w:color="auto"/>
                    <w:bottom w:val="none" w:sz="0" w:space="0" w:color="auto"/>
                    <w:right w:val="none" w:sz="0" w:space="0" w:color="auto"/>
                  </w:divBdr>
                </w:div>
              </w:divsChild>
            </w:div>
            <w:div w:id="1709600771">
              <w:marLeft w:val="0"/>
              <w:marRight w:val="0"/>
              <w:marTop w:val="0"/>
              <w:marBottom w:val="0"/>
              <w:divBdr>
                <w:top w:val="none" w:sz="0" w:space="0" w:color="auto"/>
                <w:left w:val="none" w:sz="0" w:space="0" w:color="auto"/>
                <w:bottom w:val="none" w:sz="0" w:space="0" w:color="auto"/>
                <w:right w:val="none" w:sz="0" w:space="0" w:color="auto"/>
              </w:divBdr>
            </w:div>
            <w:div w:id="1709600786">
              <w:marLeft w:val="0"/>
              <w:marRight w:val="0"/>
              <w:marTop w:val="0"/>
              <w:marBottom w:val="0"/>
              <w:divBdr>
                <w:top w:val="none" w:sz="0" w:space="0" w:color="auto"/>
                <w:left w:val="none" w:sz="0" w:space="0" w:color="auto"/>
                <w:bottom w:val="none" w:sz="0" w:space="0" w:color="auto"/>
                <w:right w:val="none" w:sz="0" w:space="0" w:color="auto"/>
              </w:divBdr>
            </w:div>
            <w:div w:id="1709600788">
              <w:marLeft w:val="0"/>
              <w:marRight w:val="0"/>
              <w:marTop w:val="0"/>
              <w:marBottom w:val="0"/>
              <w:divBdr>
                <w:top w:val="none" w:sz="0" w:space="0" w:color="auto"/>
                <w:left w:val="none" w:sz="0" w:space="0" w:color="auto"/>
                <w:bottom w:val="none" w:sz="0" w:space="0" w:color="auto"/>
                <w:right w:val="none" w:sz="0" w:space="0" w:color="auto"/>
              </w:divBdr>
            </w:div>
            <w:div w:id="17096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776">
      <w:marLeft w:val="0"/>
      <w:marRight w:val="0"/>
      <w:marTop w:val="0"/>
      <w:marBottom w:val="0"/>
      <w:divBdr>
        <w:top w:val="none" w:sz="0" w:space="0" w:color="auto"/>
        <w:left w:val="none" w:sz="0" w:space="0" w:color="auto"/>
        <w:bottom w:val="none" w:sz="0" w:space="0" w:color="auto"/>
        <w:right w:val="none" w:sz="0" w:space="0" w:color="auto"/>
      </w:divBdr>
    </w:div>
    <w:div w:id="1709600777">
      <w:marLeft w:val="0"/>
      <w:marRight w:val="0"/>
      <w:marTop w:val="0"/>
      <w:marBottom w:val="0"/>
      <w:divBdr>
        <w:top w:val="none" w:sz="0" w:space="0" w:color="auto"/>
        <w:left w:val="none" w:sz="0" w:space="0" w:color="auto"/>
        <w:bottom w:val="none" w:sz="0" w:space="0" w:color="auto"/>
        <w:right w:val="none" w:sz="0" w:space="0" w:color="auto"/>
      </w:divBdr>
      <w:divsChild>
        <w:div w:id="1709600774">
          <w:marLeft w:val="0"/>
          <w:marRight w:val="0"/>
          <w:marTop w:val="0"/>
          <w:marBottom w:val="0"/>
          <w:divBdr>
            <w:top w:val="none" w:sz="0" w:space="0" w:color="auto"/>
            <w:left w:val="none" w:sz="0" w:space="0" w:color="auto"/>
            <w:bottom w:val="none" w:sz="0" w:space="0" w:color="auto"/>
            <w:right w:val="none" w:sz="0" w:space="0" w:color="auto"/>
          </w:divBdr>
          <w:divsChild>
            <w:div w:id="1709600775">
              <w:marLeft w:val="0"/>
              <w:marRight w:val="0"/>
              <w:marTop w:val="0"/>
              <w:marBottom w:val="0"/>
              <w:divBdr>
                <w:top w:val="none" w:sz="0" w:space="0" w:color="auto"/>
                <w:left w:val="none" w:sz="0" w:space="0" w:color="auto"/>
                <w:bottom w:val="none" w:sz="0" w:space="0" w:color="auto"/>
                <w:right w:val="none" w:sz="0" w:space="0" w:color="auto"/>
              </w:divBdr>
            </w:div>
            <w:div w:id="17096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783">
      <w:marLeft w:val="0"/>
      <w:marRight w:val="0"/>
      <w:marTop w:val="0"/>
      <w:marBottom w:val="0"/>
      <w:divBdr>
        <w:top w:val="none" w:sz="0" w:space="0" w:color="auto"/>
        <w:left w:val="none" w:sz="0" w:space="0" w:color="auto"/>
        <w:bottom w:val="none" w:sz="0" w:space="0" w:color="auto"/>
        <w:right w:val="none" w:sz="0" w:space="0" w:color="auto"/>
      </w:divBdr>
      <w:divsChild>
        <w:div w:id="1709600779">
          <w:marLeft w:val="0"/>
          <w:marRight w:val="0"/>
          <w:marTop w:val="0"/>
          <w:marBottom w:val="0"/>
          <w:divBdr>
            <w:top w:val="none" w:sz="0" w:space="0" w:color="auto"/>
            <w:left w:val="none" w:sz="0" w:space="0" w:color="auto"/>
            <w:bottom w:val="none" w:sz="0" w:space="0" w:color="auto"/>
            <w:right w:val="none" w:sz="0" w:space="0" w:color="auto"/>
          </w:divBdr>
        </w:div>
      </w:divsChild>
    </w:div>
    <w:div w:id="1709600798">
      <w:marLeft w:val="0"/>
      <w:marRight w:val="0"/>
      <w:marTop w:val="0"/>
      <w:marBottom w:val="0"/>
      <w:divBdr>
        <w:top w:val="none" w:sz="0" w:space="0" w:color="auto"/>
        <w:left w:val="none" w:sz="0" w:space="0" w:color="auto"/>
        <w:bottom w:val="none" w:sz="0" w:space="0" w:color="auto"/>
        <w:right w:val="none" w:sz="0" w:space="0" w:color="auto"/>
      </w:divBdr>
      <w:divsChild>
        <w:div w:id="1709600797">
          <w:marLeft w:val="0"/>
          <w:marRight w:val="0"/>
          <w:marTop w:val="0"/>
          <w:marBottom w:val="0"/>
          <w:divBdr>
            <w:top w:val="none" w:sz="0" w:space="0" w:color="auto"/>
            <w:left w:val="none" w:sz="0" w:space="0" w:color="auto"/>
            <w:bottom w:val="none" w:sz="0" w:space="0" w:color="auto"/>
            <w:right w:val="none" w:sz="0" w:space="0" w:color="auto"/>
          </w:divBdr>
          <w:divsChild>
            <w:div w:id="1709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801">
      <w:marLeft w:val="0"/>
      <w:marRight w:val="0"/>
      <w:marTop w:val="0"/>
      <w:marBottom w:val="0"/>
      <w:divBdr>
        <w:top w:val="none" w:sz="0" w:space="0" w:color="auto"/>
        <w:left w:val="none" w:sz="0" w:space="0" w:color="auto"/>
        <w:bottom w:val="none" w:sz="0" w:space="0" w:color="auto"/>
        <w:right w:val="none" w:sz="0" w:space="0" w:color="auto"/>
      </w:divBdr>
    </w:div>
    <w:div w:id="1709600802">
      <w:marLeft w:val="0"/>
      <w:marRight w:val="0"/>
      <w:marTop w:val="0"/>
      <w:marBottom w:val="0"/>
      <w:divBdr>
        <w:top w:val="none" w:sz="0" w:space="0" w:color="auto"/>
        <w:left w:val="none" w:sz="0" w:space="0" w:color="auto"/>
        <w:bottom w:val="none" w:sz="0" w:space="0" w:color="auto"/>
        <w:right w:val="none" w:sz="0" w:space="0" w:color="auto"/>
      </w:divBdr>
    </w:div>
    <w:div w:id="1709600803">
      <w:marLeft w:val="0"/>
      <w:marRight w:val="0"/>
      <w:marTop w:val="0"/>
      <w:marBottom w:val="0"/>
      <w:divBdr>
        <w:top w:val="none" w:sz="0" w:space="0" w:color="auto"/>
        <w:left w:val="none" w:sz="0" w:space="0" w:color="auto"/>
        <w:bottom w:val="none" w:sz="0" w:space="0" w:color="auto"/>
        <w:right w:val="none" w:sz="0" w:space="0" w:color="auto"/>
      </w:divBdr>
    </w:div>
    <w:div w:id="1709600804">
      <w:marLeft w:val="0"/>
      <w:marRight w:val="0"/>
      <w:marTop w:val="0"/>
      <w:marBottom w:val="0"/>
      <w:divBdr>
        <w:top w:val="none" w:sz="0" w:space="0" w:color="auto"/>
        <w:left w:val="none" w:sz="0" w:space="0" w:color="auto"/>
        <w:bottom w:val="none" w:sz="0" w:space="0" w:color="auto"/>
        <w:right w:val="none" w:sz="0" w:space="0" w:color="auto"/>
      </w:divBdr>
    </w:div>
    <w:div w:id="1709600805">
      <w:marLeft w:val="0"/>
      <w:marRight w:val="0"/>
      <w:marTop w:val="0"/>
      <w:marBottom w:val="0"/>
      <w:divBdr>
        <w:top w:val="none" w:sz="0" w:space="0" w:color="auto"/>
        <w:left w:val="none" w:sz="0" w:space="0" w:color="auto"/>
        <w:bottom w:val="none" w:sz="0" w:space="0" w:color="auto"/>
        <w:right w:val="none" w:sz="0" w:space="0" w:color="auto"/>
      </w:divBdr>
    </w:div>
    <w:div w:id="1709600806">
      <w:marLeft w:val="0"/>
      <w:marRight w:val="0"/>
      <w:marTop w:val="0"/>
      <w:marBottom w:val="0"/>
      <w:divBdr>
        <w:top w:val="none" w:sz="0" w:space="0" w:color="auto"/>
        <w:left w:val="none" w:sz="0" w:space="0" w:color="auto"/>
        <w:bottom w:val="none" w:sz="0" w:space="0" w:color="auto"/>
        <w:right w:val="none" w:sz="0" w:space="0" w:color="auto"/>
      </w:divBdr>
    </w:div>
    <w:div w:id="1709600807">
      <w:marLeft w:val="0"/>
      <w:marRight w:val="0"/>
      <w:marTop w:val="0"/>
      <w:marBottom w:val="0"/>
      <w:divBdr>
        <w:top w:val="none" w:sz="0" w:space="0" w:color="auto"/>
        <w:left w:val="none" w:sz="0" w:space="0" w:color="auto"/>
        <w:bottom w:val="none" w:sz="0" w:space="0" w:color="auto"/>
        <w:right w:val="none" w:sz="0" w:space="0" w:color="auto"/>
      </w:divBdr>
    </w:div>
    <w:div w:id="1709600808">
      <w:marLeft w:val="0"/>
      <w:marRight w:val="0"/>
      <w:marTop w:val="0"/>
      <w:marBottom w:val="0"/>
      <w:divBdr>
        <w:top w:val="none" w:sz="0" w:space="0" w:color="auto"/>
        <w:left w:val="none" w:sz="0" w:space="0" w:color="auto"/>
        <w:bottom w:val="none" w:sz="0" w:space="0" w:color="auto"/>
        <w:right w:val="none" w:sz="0" w:space="0" w:color="auto"/>
      </w:divBdr>
    </w:div>
    <w:div w:id="1709600809">
      <w:marLeft w:val="0"/>
      <w:marRight w:val="0"/>
      <w:marTop w:val="0"/>
      <w:marBottom w:val="0"/>
      <w:divBdr>
        <w:top w:val="none" w:sz="0" w:space="0" w:color="auto"/>
        <w:left w:val="none" w:sz="0" w:space="0" w:color="auto"/>
        <w:bottom w:val="none" w:sz="0" w:space="0" w:color="auto"/>
        <w:right w:val="none" w:sz="0" w:space="0" w:color="auto"/>
      </w:divBdr>
    </w:div>
    <w:div w:id="1709600810">
      <w:marLeft w:val="0"/>
      <w:marRight w:val="0"/>
      <w:marTop w:val="0"/>
      <w:marBottom w:val="0"/>
      <w:divBdr>
        <w:top w:val="none" w:sz="0" w:space="0" w:color="auto"/>
        <w:left w:val="none" w:sz="0" w:space="0" w:color="auto"/>
        <w:bottom w:val="none" w:sz="0" w:space="0" w:color="auto"/>
        <w:right w:val="none" w:sz="0" w:space="0" w:color="auto"/>
      </w:divBdr>
    </w:div>
    <w:div w:id="1709600811">
      <w:marLeft w:val="0"/>
      <w:marRight w:val="0"/>
      <w:marTop w:val="0"/>
      <w:marBottom w:val="0"/>
      <w:divBdr>
        <w:top w:val="none" w:sz="0" w:space="0" w:color="auto"/>
        <w:left w:val="none" w:sz="0" w:space="0" w:color="auto"/>
        <w:bottom w:val="none" w:sz="0" w:space="0" w:color="auto"/>
        <w:right w:val="none" w:sz="0" w:space="0" w:color="auto"/>
      </w:divBdr>
    </w:div>
    <w:div w:id="1709600812">
      <w:marLeft w:val="0"/>
      <w:marRight w:val="0"/>
      <w:marTop w:val="0"/>
      <w:marBottom w:val="0"/>
      <w:divBdr>
        <w:top w:val="none" w:sz="0" w:space="0" w:color="auto"/>
        <w:left w:val="none" w:sz="0" w:space="0" w:color="auto"/>
        <w:bottom w:val="none" w:sz="0" w:space="0" w:color="auto"/>
        <w:right w:val="none" w:sz="0" w:space="0" w:color="auto"/>
      </w:divBdr>
    </w:div>
    <w:div w:id="17096008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4302</Words>
  <Characters>24527</Characters>
  <Application>Microsoft Macintosh Word</Application>
  <DocSecurity>0</DocSecurity>
  <Lines>204</Lines>
  <Paragraphs>57</Paragraphs>
  <ScaleCrop>false</ScaleCrop>
  <Company>Hewlett-Packard Company</Company>
  <LinksUpToDate>false</LinksUpToDate>
  <CharactersWithSpaces>28772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((TITULO))PUBLICAÇÃO Nº 036 /CMDCA/SP/2017</dc:title>
  <dc:subject/>
  <dc:creator>d511754</dc:creator>
  <cp:keywords/>
  <dc:description/>
  <cp:lastModifiedBy>Padrao</cp:lastModifiedBy>
  <cp:revision>6</cp:revision>
  <cp:lastPrinted>2019-09-24T21:08:00Z</cp:lastPrinted>
  <dcterms:created xsi:type="dcterms:W3CDTF">2019-10-11T21:52:00Z</dcterms:created>
  <dcterms:modified xsi:type="dcterms:W3CDTF">2020-07-01T20:06:00Z</dcterms:modified>
</cp:coreProperties>
</file>