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E0EC" w14:textId="4DDF54D2" w:rsidR="0015231C" w:rsidRPr="0015231C" w:rsidRDefault="0015231C" w:rsidP="0015231C">
      <w:pPr>
        <w:pStyle w:val="NormalWeb"/>
        <w:spacing w:before="0" w:beforeAutospacing="0" w:after="165" w:afterAutospacing="0"/>
        <w:jc w:val="both"/>
        <w:rPr>
          <w:color w:val="000000"/>
        </w:rPr>
      </w:pPr>
      <w:r w:rsidRPr="0015231C">
        <w:rPr>
          <w:rFonts w:ascii="Calibri" w:hAnsi="Calibri" w:cs="Calibri"/>
          <w:b/>
          <w:bCs/>
          <w:color w:val="000000"/>
        </w:rPr>
        <w:t>PUBLICAÇÃO Nº 04</w:t>
      </w:r>
      <w:r w:rsidRPr="0015231C">
        <w:rPr>
          <w:rFonts w:ascii="Calibri" w:hAnsi="Calibri" w:cs="Calibri"/>
          <w:b/>
          <w:bCs/>
          <w:color w:val="000000"/>
        </w:rPr>
        <w:t>8</w:t>
      </w:r>
      <w:r w:rsidRPr="0015231C">
        <w:rPr>
          <w:rFonts w:ascii="Calibri" w:hAnsi="Calibri" w:cs="Calibri"/>
          <w:b/>
          <w:bCs/>
          <w:color w:val="000000"/>
        </w:rPr>
        <w:t>/CMDCA-SP/2023</w:t>
      </w:r>
    </w:p>
    <w:p w14:paraId="1BA9709D" w14:textId="36782A34" w:rsidR="0015231C" w:rsidRPr="0015231C" w:rsidRDefault="0015231C" w:rsidP="0015231C">
      <w:pPr>
        <w:pStyle w:val="NormalWeb"/>
        <w:spacing w:before="0" w:beforeAutospacing="0" w:after="165" w:afterAutospacing="0"/>
        <w:jc w:val="both"/>
        <w:rPr>
          <w:color w:val="000000"/>
        </w:rPr>
      </w:pPr>
      <w:r w:rsidRPr="0015231C">
        <w:rPr>
          <w:rFonts w:ascii="Calibri" w:hAnsi="Calibri" w:cs="Calibri"/>
          <w:color w:val="00000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</w:t>
      </w:r>
      <w:r>
        <w:rPr>
          <w:rFonts w:ascii="Calibri" w:hAnsi="Calibri" w:cs="Calibri"/>
          <w:color w:val="000000"/>
        </w:rPr>
        <w:t>12</w:t>
      </w:r>
      <w:r w:rsidRPr="0015231C">
        <w:rPr>
          <w:rFonts w:ascii="Calibri" w:hAnsi="Calibri" w:cs="Calibri"/>
          <w:color w:val="000000"/>
        </w:rPr>
        <w:t>/04/2023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4FA7221D" w14:textId="01F36FD1" w:rsidR="0015231C" w:rsidRPr="0015231C" w:rsidRDefault="0015231C" w:rsidP="0015231C">
      <w:pPr>
        <w:pStyle w:val="NormalWeb"/>
        <w:jc w:val="center"/>
        <w:rPr>
          <w:rFonts w:ascii="Calibri" w:hAnsi="Calibri" w:cs="Calibri"/>
          <w:b/>
          <w:bCs/>
          <w:caps/>
          <w:color w:val="000000"/>
          <w:u w:val="single"/>
        </w:rPr>
      </w:pPr>
      <w:r w:rsidRPr="0015231C">
        <w:rPr>
          <w:color w:val="000000"/>
        </w:rPr>
        <w:t> </w:t>
      </w:r>
    </w:p>
    <w:p w14:paraId="4B9EA694" w14:textId="015FB4C9" w:rsidR="0015231C" w:rsidRPr="0015231C" w:rsidRDefault="0015231C" w:rsidP="0015231C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15231C">
        <w:rPr>
          <w:rFonts w:ascii="Calibri" w:hAnsi="Calibri" w:cs="Calibri"/>
          <w:b/>
          <w:bCs/>
          <w:caps/>
          <w:color w:val="000000"/>
          <w:u w:val="single"/>
        </w:rPr>
        <w:t>ATA DE REUNIÃO - COMISSÃO ELEITORAL CENTRAL - 12/04/2023</w:t>
      </w:r>
    </w:p>
    <w:p w14:paraId="20694D24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 </w:t>
      </w:r>
    </w:p>
    <w:p w14:paraId="02C11B99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Style w:val="Forte"/>
          <w:rFonts w:ascii="Calibri" w:hAnsi="Calibri" w:cs="Calibri"/>
          <w:color w:val="000000"/>
        </w:rPr>
        <w:t>Representante da Câmara: </w:t>
      </w:r>
      <w:r w:rsidRPr="0015231C">
        <w:rPr>
          <w:rFonts w:ascii="Calibri" w:hAnsi="Calibri" w:cs="Calibri"/>
          <w:color w:val="000000"/>
        </w:rPr>
        <w:t>Camila Lustosa Barreto Vieira (Titular).</w:t>
      </w:r>
    </w:p>
    <w:p w14:paraId="454C74EE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Style w:val="Forte"/>
          <w:rFonts w:ascii="Calibri" w:hAnsi="Calibri" w:cs="Calibri"/>
          <w:color w:val="000000"/>
        </w:rPr>
        <w:t>Representantes da SMDHC: </w:t>
      </w:r>
      <w:r w:rsidRPr="0015231C">
        <w:rPr>
          <w:rFonts w:ascii="Calibri" w:hAnsi="Calibri" w:cs="Calibri"/>
          <w:color w:val="000000"/>
        </w:rPr>
        <w:t>Andréia dos Santos Pereira</w:t>
      </w:r>
      <w:r w:rsidRPr="0015231C">
        <w:rPr>
          <w:rStyle w:val="Forte"/>
          <w:rFonts w:ascii="Calibri" w:hAnsi="Calibri" w:cs="Calibri"/>
          <w:color w:val="000000"/>
        </w:rPr>
        <w:t> </w:t>
      </w:r>
      <w:r w:rsidRPr="0015231C">
        <w:rPr>
          <w:rFonts w:ascii="Calibri" w:hAnsi="Calibri" w:cs="Calibri"/>
          <w:color w:val="000000"/>
        </w:rPr>
        <w:t>(Titular), Bárbara Mariano Vicente (Titular), Tifani Declaira Paulini Coelho (Titular), Cecília Scifoni Bascchera (Suplente) e Elizete Regina Nicolini (Suplente).</w:t>
      </w:r>
    </w:p>
    <w:p w14:paraId="212E98B8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Style w:val="Forte"/>
          <w:rFonts w:ascii="Calibri" w:hAnsi="Calibri" w:cs="Calibri"/>
          <w:color w:val="000000"/>
        </w:rPr>
        <w:t>Representantes do CMDCA - Governo: </w:t>
      </w:r>
      <w:r w:rsidRPr="0015231C">
        <w:rPr>
          <w:rFonts w:ascii="Calibri" w:hAnsi="Calibri" w:cs="Calibri"/>
          <w:color w:val="000000"/>
        </w:rPr>
        <w:t>Esequias Marcelino da Silva Filho (Titular), Cleusa Guimarães (Titular) e Fábio Henrique Salles (Suplente).</w:t>
      </w:r>
    </w:p>
    <w:p w14:paraId="13A5958D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Style w:val="Forte"/>
          <w:rFonts w:ascii="Calibri" w:hAnsi="Calibri" w:cs="Calibri"/>
          <w:color w:val="000000"/>
        </w:rPr>
        <w:t>Representantes do CMDCA - Sociedade Civil: </w:t>
      </w:r>
      <w:r w:rsidRPr="0015231C">
        <w:rPr>
          <w:rFonts w:ascii="Calibri" w:hAnsi="Calibri" w:cs="Calibri"/>
          <w:color w:val="000000"/>
        </w:rPr>
        <w:t>Maria Elineuba Bezerra de Souza (Titular), Fernanda Celi de Souza Oliveira (Suplente) e Carlos Alberto de Souza Junior (Suplente).</w:t>
      </w:r>
    </w:p>
    <w:p w14:paraId="5266F95E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Style w:val="Forte"/>
          <w:rFonts w:ascii="Calibri" w:hAnsi="Calibri" w:cs="Calibri"/>
          <w:color w:val="000000"/>
        </w:rPr>
        <w:t>Faltas Justificadas:</w:t>
      </w:r>
      <w:r w:rsidRPr="0015231C">
        <w:rPr>
          <w:rFonts w:ascii="Calibri" w:hAnsi="Calibri" w:cs="Calibri"/>
          <w:color w:val="000000"/>
        </w:rPr>
        <w:t> Marcelo Panico (Titular - CMDCA).</w:t>
      </w:r>
    </w:p>
    <w:p w14:paraId="53797F5D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Style w:val="Forte"/>
          <w:rFonts w:ascii="Calibri" w:hAnsi="Calibri" w:cs="Calibri"/>
          <w:color w:val="000000"/>
        </w:rPr>
        <w:t>Faltas: </w:t>
      </w:r>
      <w:r w:rsidRPr="0015231C">
        <w:rPr>
          <w:rFonts w:ascii="Calibri" w:hAnsi="Calibri" w:cs="Calibri"/>
          <w:color w:val="000000"/>
        </w:rPr>
        <w:t>Tânia Maria Lima Silva (Titular - FMDCA) e Maria Iracema de Araújo (Suplente - FMDCA).</w:t>
      </w:r>
    </w:p>
    <w:p w14:paraId="7717E20E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 </w:t>
      </w:r>
    </w:p>
    <w:p w14:paraId="6A483A08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A reunião se inicia às 14:20, estando presentes os titulares e respectivos suplentes nomeados acima. A equipe administrativa informa que recebeu 02 pedidos de impugnação do edital - em conformidade com o artigo 38 do edital 002/CMDCA-SP/2023 - e procede com a leitura de ambos. Findada a leitura, os representantes da CEC fazem as seguintes considerações: </w:t>
      </w:r>
    </w:p>
    <w:p w14:paraId="6FE723FD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 xml:space="preserve">Carlos Alberto ressalta a tonalidade acusatória do pedido submetido pela Sra. Aline de Lima Cardozo e manifesta preocupação quanto à utilização de uma opinião da promotora como defesa de interesse, uma vez que o fiscal da lei só se manifesta quando provocado. Acrescenta que não há fundamentação para argumentar que a exigência de comprovação de experiência é ilegal, considerando o ECA e o princípio da moralidade. Além disso, também se demonstra incomodado com a alegação de intolerância religiosa, o que considera imputação de um crime não cometido. Afirma que, apesar de igrejas possuírem fé pública, esta não significa que a instituição tenha expertise para comprovação de experiência no SGDCA. Em relação ao segundo pedido de impugnação, realizado pelo Sr. Fabiano de França Guimães, defende que as </w:t>
      </w:r>
      <w:r w:rsidRPr="0015231C">
        <w:rPr>
          <w:rFonts w:ascii="Calibri" w:hAnsi="Calibri" w:cs="Calibri"/>
          <w:color w:val="000000"/>
        </w:rPr>
        <w:lastRenderedPageBreak/>
        <w:t>decisões da comissão estão balizadas no ordenamento jurídico e legislações vigentes e que possui autonomia para construir o edital. </w:t>
      </w:r>
    </w:p>
    <w:p w14:paraId="115C8E02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Tifani enfatiza que a alegação "[...] ato de tentar criar no edital requisito de experiência, que diminui a responsabilidade do município de arcar com suas responsabilidades de capacitar os membros do Conselho Tutelar." é uma inverdade, visto que a Coordenação de Políticas para Crianças e Adolescentes - CPCA é responsável pela organização e elaboração das formações inicial e continuada. Além disso, relembra que a formação está prevista tanto no edital (artigos 33 e 34), quanto na lei que regulamenta o funcionamento do conselho tutelar. Elizete acrescenta que existe até dotação orçamentária própria para as formações. </w:t>
      </w:r>
    </w:p>
    <w:p w14:paraId="26C0A830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Elineuba afirma que não vê a argumentação jurídica do primeiro pedido de impugnação como ofensa pessoal, já que a utilização de palavras duras é costume na advocacia desde que estas não firam a honra de alguém. No mais, pensa ser óbvio que as palavras ditas por uma promotora em audiência pública - independente se é uma opinião pessoal - serão utilizadas. </w:t>
      </w:r>
    </w:p>
    <w:p w14:paraId="4800FB86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Tifani defende que uma coisa é a promotora se manifestar em audiência pública, e outra é esta impugnar o edital.  </w:t>
      </w:r>
    </w:p>
    <w:p w14:paraId="68BE2575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Carlos Alberto contesta que, portanto, trata-se de uma disputa política, não técnica. Complementa que considera ruim a utilização de uma parte da fala da promotora para balizar impugnação. Retoma, a questão sobre intolerância religiosa, afirmando que a constante repetição desta fala o incomoda, porque lhe imputa um crime não cometido e, porque pessoalmente, abomina qualquer tipo de discriminação e até mesmo por representar uma organização social ligada à Igreja.  </w:t>
      </w:r>
    </w:p>
    <w:p w14:paraId="61AFFB47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Elineuba concorda com Carlos Alberto, afirmando que não quer ser acusada de intolerante religiosa, apesar de já ter avisado sobre a possibilidade de que as pessoas vejam o parágrafo 2º como discriminação e intolerância religiosa. Quanto à fala da promotora, acrescenta que, apesar de ser uma opinião individual, as pessoas a tomam por opinião do ministério público, assim como as falas de membros da comissão serão interpretadas como posicionamento da comissão. </w:t>
      </w:r>
    </w:p>
    <w:p w14:paraId="3747C3B6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Fernanda pergunta como se dará a continuidade do processo, isto é, se a comissão destrinchará os artigos para votação, se haverá publicação de algum documento e se este será encaminhado ao jurídico. A equipe administrativa explica a votação será pelo acolhimento ou não dos pedidos de impugnação e que fará um parecer técnico jurídico, com base no que foi dito e decidido pela comissão, e que o publicará em diário oficial. </w:t>
      </w:r>
    </w:p>
    <w:p w14:paraId="572BECB1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Elineuba pergunta se o parecer da AJ, mencionado no primeiro pedido de impugnação, foi ou será publicado. O administrativo responde que não é usual a publicação do parecer.</w:t>
      </w:r>
    </w:p>
    <w:p w14:paraId="4B241865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Camila afirma que o edital está ilegal e que a comissão reconheceu essa ilegalidade, mas decidiu por assumir o risco. Pergunta aos presentes se a comissão, diante dos dois pedidos, vai continuar decidindo pela ilegalidade, se haverá nova consulta ao jurídico e se o parecer publicado em diário oficial ou respondido somente ao solicitante. </w:t>
      </w:r>
    </w:p>
    <w:p w14:paraId="42C8A937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Esequias não reconhece a alegação de que a comissão sempre optou pela ilegalidade.</w:t>
      </w:r>
    </w:p>
    <w:p w14:paraId="27108A9C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lastRenderedPageBreak/>
        <w:t>Elizete discorda desta narrativa sobre o trabalho da comissão e da imputação de ilegalidade. Acrescenta que os próprios pedidos citam a os cinco princípios da administração pública, porém estão privilegiando apenas o princípio da legalidade, quando todos deveriam ter o mesmo peso. Pensando na moralidade, acredita que a comprovação de experiência traria equilíbrio ao processo, já que a desconsideração do peso da moralidade pode ferir o princípio de prioridade absoluta e colocar em risco os direitos da criança e do adolescente. </w:t>
      </w:r>
    </w:p>
    <w:p w14:paraId="40A23E2A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Carlos Alberto complementa que discordar da norma não é ilegal, para ser declarado ilegal ainda há muitas instâncias jurídicas. Ademais, como a lei permite interpretações, relembra que subjetivamente, pode induzir que a destreza exigida pela lei significa conhecimento. Por fim, relembra que a comissão teve inúmeras discussões técnicas para balizar suas decisões e a resposta aos pedidos de impugnação deve levar em consideração todos esses entendimentos. </w:t>
      </w:r>
    </w:p>
    <w:p w14:paraId="2B37B3A4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Fábio acrescenta que é preciso reconhecer autonomia e competência desta comissão e do colegiado. Também afirma que o trabalho de hoje deve focar na discussão sobre os pedidos de impugnação, ao invés de revisitar aquilo que foi decidido no passado. </w:t>
      </w:r>
    </w:p>
    <w:p w14:paraId="12F36104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Camila pede que a assessoria jurídica e o ministério público sejam consultados. </w:t>
      </w:r>
    </w:p>
    <w:p w14:paraId="1DDD800A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 </w:t>
      </w:r>
    </w:p>
    <w:p w14:paraId="5585D234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A equipe administrativa inicia votação, solicitando que aqueles contrários ao acolhimento dos pedidos de impugnação fiquem em silêncio e aqueles favoráveis ao acolhimento dos pedidos se manifestem. </w:t>
      </w:r>
    </w:p>
    <w:p w14:paraId="09DDF52D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Favoráveis ao acolhimento dos pedidos de impugnação: Camila e Elineuba. </w:t>
      </w:r>
    </w:p>
    <w:p w14:paraId="2313827C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Camila justifica seu voto afirmando que concorda com os argumentos levantados em ambos pedidos, especialmente quanto ao artigo 37 da Constituição Federal. </w:t>
      </w:r>
    </w:p>
    <w:p w14:paraId="3E819F4C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 </w:t>
      </w:r>
    </w:p>
    <w:p w14:paraId="0DC8EEB2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Por fim, a equipe administrativa informa a quantidade de atas que cada membro da comissão precisa assinar: </w:t>
      </w:r>
    </w:p>
    <w:p w14:paraId="7079CC19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Andréia, Bárbara, Carlos Alberto, Cleusa, Elizete, Esequias, Marcelo, Tânia e Tifani - assinaram todas as atas. </w:t>
      </w:r>
    </w:p>
    <w:p w14:paraId="0B97C615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Iracema - 04 atas pendentes. </w:t>
      </w:r>
    </w:p>
    <w:p w14:paraId="5896D5CA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Elineuba - 08 atas pendentes. </w:t>
      </w:r>
    </w:p>
    <w:p w14:paraId="2D948F22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Camila e Fernanda - 14 atas pendentes. </w:t>
      </w:r>
    </w:p>
    <w:p w14:paraId="3743E2A5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 </w:t>
      </w:r>
    </w:p>
    <w:p w14:paraId="425A9EDF" w14:textId="77777777" w:rsidR="0015231C" w:rsidRPr="0015231C" w:rsidRDefault="0015231C" w:rsidP="0015231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5231C">
        <w:rPr>
          <w:rFonts w:ascii="Calibri" w:hAnsi="Calibri" w:cs="Calibri"/>
          <w:color w:val="000000"/>
        </w:rPr>
        <w:t>Nada mais havendo a tratar, a reunião é encerrada, enquanto eu, Talita Patricio Perez, lavro a presente ata. </w:t>
      </w:r>
    </w:p>
    <w:p w14:paraId="7F32F6A1" w14:textId="77777777" w:rsidR="00C61DFD" w:rsidRPr="0015231C" w:rsidRDefault="00C61DFD">
      <w:pPr>
        <w:rPr>
          <w:sz w:val="24"/>
          <w:szCs w:val="24"/>
        </w:rPr>
      </w:pPr>
    </w:p>
    <w:sectPr w:rsidR="00C61DFD" w:rsidRPr="00152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1C"/>
    <w:rsid w:val="0015231C"/>
    <w:rsid w:val="009B601D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87CF"/>
  <w15:chartTrackingRefBased/>
  <w15:docId w15:val="{4A49289F-ACCF-4985-8D68-3E81D74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5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15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5231C"/>
    <w:rPr>
      <w:b/>
      <w:bCs/>
    </w:rPr>
  </w:style>
  <w:style w:type="paragraph" w:styleId="NormalWeb">
    <w:name w:val="Normal (Web)"/>
    <w:basedOn w:val="Normal"/>
    <w:uiPriority w:val="99"/>
    <w:unhideWhenUsed/>
    <w:rsid w:val="0015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1</cp:revision>
  <dcterms:created xsi:type="dcterms:W3CDTF">2023-04-24T20:32:00Z</dcterms:created>
  <dcterms:modified xsi:type="dcterms:W3CDTF">2023-04-24T20:33:00Z</dcterms:modified>
</cp:coreProperties>
</file>