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1FB8" w14:textId="4B9FB1DE" w:rsidR="008C7CD7" w:rsidRPr="00CF1149" w:rsidRDefault="008C7CD7" w:rsidP="008C7CD7">
      <w:pPr>
        <w:spacing w:after="16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PUBLICAÇÃO Nº 0</w:t>
      </w:r>
      <w:r w:rsid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40</w:t>
      </w: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/CMDCA-SP/2023</w:t>
      </w:r>
    </w:p>
    <w:p w14:paraId="4993CAE2" w14:textId="2595DFD8" w:rsidR="008C7CD7" w:rsidRDefault="008C7CD7" w:rsidP="008C7CD7">
      <w:pPr>
        <w:spacing w:after="16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 Conselho Municipal dos Direitos da Criança e do Adolescente da Cidade de São Paulo – CMDCA/SP, no uso das atribuições que lhes são conferidas pela Lei nº 8.069/90 e com fulcro no que dispõe o art. 36 da Lei nº 17.827, de 7 de julho de 2022, torna público o extrato de ata de Reunião de </w:t>
      </w:r>
      <w:r w:rsid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29</w:t>
      </w:r>
      <w:r w:rsidR="003A2C87"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/</w:t>
      </w: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03/2023 da Comissão Eleitoral Central do Processo de Escolha Unificado dos membros dos Conselhos Tutelares no Município de São Paulo 2023 (mandato 2024-2028), designada pela Publicação nº 005/CMDCA-SP/2023 (Diário Oficial da Cidade de São Paulo de 07/02/2023 – p.73).</w:t>
      </w:r>
    </w:p>
    <w:p w14:paraId="58E45A3B" w14:textId="77777777" w:rsidR="00CF1149" w:rsidRPr="00CF1149" w:rsidRDefault="00CF1149" w:rsidP="008C7CD7">
      <w:pPr>
        <w:spacing w:after="165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07A7E5D3" w14:textId="77777777" w:rsidR="00CF1149" w:rsidRPr="00CF1149" w:rsidRDefault="008C7CD7" w:rsidP="00CF1149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CF1149">
        <w:rPr>
          <w:rFonts w:ascii="Calibri" w:hAnsi="Calibri" w:cs="Calibri"/>
          <w:color w:val="000000"/>
        </w:rPr>
        <w:t> </w:t>
      </w:r>
      <w:r w:rsidR="00CF1149" w:rsidRPr="00CF1149">
        <w:rPr>
          <w:rFonts w:ascii="Calibri" w:hAnsi="Calibri" w:cs="Calibri"/>
          <w:b/>
          <w:bCs/>
          <w:caps/>
          <w:color w:val="000000"/>
          <w:u w:val="single"/>
        </w:rPr>
        <w:t>ATA DE REUNIÃO - COMISSÃO ELEITORAL CENTRAL - 29/03/2023</w:t>
      </w:r>
    </w:p>
    <w:p w14:paraId="4F288F57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20FE594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Representante da Câmara: </w:t>
      </w: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Camila Lustosa Barreto Vieira (Titular).</w:t>
      </w:r>
    </w:p>
    <w:p w14:paraId="16E74AF7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Representantes da SMDHC: </w:t>
      </w: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Andréia dos Santos Pereira</w:t>
      </w: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 </w:t>
      </w: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(Titular), Bárbara Mariano Vicente (Titular), Tifani Declaira Paulini Coelho (Titular), Elizete Regina Nicolini (Suplente) e Cecília Scifoni Bascchera (Suplente).</w:t>
      </w:r>
    </w:p>
    <w:p w14:paraId="4233A44C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Representantes do CMDCA - Governo: </w:t>
      </w: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Esequias Marcelino da Silva Filho (Titular) e Cleusa Guimarães (Titular).</w:t>
      </w:r>
    </w:p>
    <w:p w14:paraId="5232C4C9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Representantes do CMDCA - Sociedade Civil: </w:t>
      </w: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Marcelo Panico (Titular), Maria Elineuba Bezerra de Souza (Titular), Carlos Alberto de Souza Junior (Suplente) e Fernanda Celi de Souza Oliveira (Suplente).</w:t>
      </w:r>
    </w:p>
    <w:p w14:paraId="00B4304F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Faltas Justificadas: </w:t>
      </w: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Tânia Maria Lima Silva (Titular - FMDCA)</w:t>
      </w:r>
    </w:p>
    <w:p w14:paraId="1BADFFA6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Faltas: </w:t>
      </w: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Maria Iracema de Araújo (Suplente - FMDCA).</w:t>
      </w:r>
    </w:p>
    <w:p w14:paraId="7D353894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DC870B9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reunião se inicia às 14:00, presencialmente no CMDCA, estando presentes os titulares e respectivos suplentes nomeados acima.</w:t>
      </w:r>
    </w:p>
    <w:p w14:paraId="0D996178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equipe administrativa questiona aos presentes se preferem:</w:t>
      </w:r>
    </w:p>
    <w:p w14:paraId="503D0099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(a) Ler a minuta com os comentários da audiência pública.</w:t>
      </w:r>
    </w:p>
    <w:p w14:paraId="4F4CDCC6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(b) Ler minuta já modificada de acordo com o decreto 62.248/2023.</w:t>
      </w:r>
    </w:p>
    <w:p w14:paraId="52BE870C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comissão delibera por prosseguir com a leitura da minuta modificada de acordo com o decreto.</w:t>
      </w:r>
    </w:p>
    <w:p w14:paraId="724FBF82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872CA7F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DAS COMISSÕES ELEITORAIS REGIONAIS - ARTIGO 6º</w:t>
      </w:r>
    </w:p>
    <w:p w14:paraId="66CF561B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Bárbara relembra que, na audiência, solicitaram acréscimo de parágrafo único com data limite para composição das comissões regionais. Elineuba acrescenta que a data limite serviria para indicações que ainda não foram realizadas. O administrativo explica que todas foram compostas e que apenas alguns fóruns precisam indicar nomes, mas que não acha produtivo estipular uma data limite porque mesmo os nomes já indicados podem mudar.</w:t>
      </w:r>
    </w:p>
    <w:p w14:paraId="3B274045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Quanto ao Inciso III, também perguntam se haverá indicação de período para a realização dos debates e seminários, a comissão opta por rever este inciso conforme cronograma readaptado.</w:t>
      </w:r>
    </w:p>
    <w:p w14:paraId="6BD97792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Por fim, Camila relembra que sugeriram acrescentar emissão de relatório como uma das funções das comissões levantadas pelo inciso VI. Após o administrativo explicar a diferença entre este relatório e as atas dos pontos de votação, a comissão define que não há necessidade desta nova atribuição (relatório).</w:t>
      </w:r>
    </w:p>
    <w:p w14:paraId="10CD1A72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Fernanda questiona se a comissão atenderá ao pedido de incluir conselheiros tutelares às comissões regionais. A mesa concorda que não, pois configuraria conflito de interesse. Esequias afirma que o mesmo entendimento deve ser estendido ao DE/PARA.</w:t>
      </w:r>
    </w:p>
    <w:p w14:paraId="277C4B60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664720C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DAS INSCRIÇÕES DAS CANDIDATURAS - ARTIGO 7º</w:t>
      </w:r>
    </w:p>
    <w:p w14:paraId="36781DD6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Elineuba sugere exclusão do inciso (então inciso VII) que menciona os endereços dos telecentros. A equipe administrativa sugere que, se este for retirado, os endereços dos telecentros sejam mencionados no manual. Todos concordam com a sugestão.</w:t>
      </w:r>
    </w:p>
    <w:p w14:paraId="391D6EAA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Elineuba sugere exclusão do trecho "[...] sendo assim, o CMDCA/SP não poderá ser responsabilizado por esquecimento de senha, impossibilidade de acesso ou perda de login", ficando como redação: "V - O login e a senha do(a) usuário(a) no Portal SP156 serão de inteira responsabilidade do(a) usuário(a), cabendo a este(a) contatar o Portal de Atendimento SP156 para a resolução do problema técnico".</w:t>
      </w:r>
    </w:p>
    <w:p w14:paraId="392B3405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49776980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ARTIGO 8º</w:t>
      </w:r>
    </w:p>
    <w:p w14:paraId="05172A7F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Carlos Alberto discorda quanto à retirada da comprovação de experiência com crianças e adolescentes, pois acredita que o conselheiro tutelar deve minimamente conhecer o ECA e a ausência da comprovação deste conhecimento e DA experiência geraria uma demanda de inscrições impossível de ser analisada pela comissão, ocasionando muitos problemas futuros. Ademais, acredita que será mais provável - e mais vergonhoso à Cidade de São Paulo - que o edital seja impugnado pela negligência em não exigir que o candidato comprove seu conhecimento e experiência. Por fim, relembra que o CMDCA é incumbido pelo ECA de zelar pela garantia dos direitos da criança e do adolescente e um edital sem critérios seria violação direta e indiretamente.</w:t>
      </w:r>
    </w:p>
    <w:p w14:paraId="64C5F931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Elineuba afirma que a promotora estava presente e endossou o que foi dito na audiência pública. Afirma que se não está em lei, não há o que ser feito, a menos que a comissão tenha a pretensão de manter a exigência e de que o edital seja impugnado. Por fim, diz que não é contrária ao estabelecimento um regra mínima, desde que esta esteja prevista em lei.</w:t>
      </w:r>
    </w:p>
    <w:p w14:paraId="19F5A957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Marcelo pede que a comissão defina um fluxo para tomar esta decisão. A equipe administrativa sugere que se vote em duas etapas: (1) manter ou não a comprovação de experiência; (2) caso mantida, redefinir as formas de comprovação. A comissão concorda com a ideia.</w:t>
      </w:r>
    </w:p>
    <w:p w14:paraId="006E2E99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A votação é iniciada, resultado em:</w:t>
      </w:r>
    </w:p>
    <w:p w14:paraId="1DFE5BB5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Votos favoráveis à manutenção da comprovação de experiência: Andréia, Bárbara, Tifani, Esequias, Cleusa e Marcelo.</w:t>
      </w:r>
    </w:p>
    <w:p w14:paraId="4210E41B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Votos contrários à manutenção da comprovação de experiência: Camila e Elineuba.</w:t>
      </w:r>
    </w:p>
    <w:p w14:paraId="1D0BAB60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Camila solicita que conste em ata que esta exigência é ilegal e que verificará com a câmara decisão sobre sua renúncia, já que não deseja responder a processos judiciais. Após essa conversa, se for o caso, oficializará o pedido de renúncia.</w:t>
      </w:r>
    </w:p>
    <w:p w14:paraId="63BA4FA6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Elineuba pede que conste em ata que vota contrariamente, pois acredita que o edital não pode criar vícios. </w:t>
      </w:r>
    </w:p>
    <w:p w14:paraId="7D8E81F8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F1D1229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Elizete sugere que a exigência de comprovação seja igual à da resolução 231/CONANDA/2022, isto é, sem mínimo de anos.</w:t>
      </w:r>
    </w:p>
    <w:p w14:paraId="794E8D87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Esequias sugere a inserção de autodeclaração como comprovação de experiência.</w:t>
      </w:r>
    </w:p>
    <w:p w14:paraId="55985DB1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equipe administrativa informa que fará os ajustes necessários e trará à comissão para discussão e aprovação final da redação na próxima reunião.</w:t>
      </w:r>
    </w:p>
    <w:p w14:paraId="514F2DA3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59693FD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DA REALIZAÇÃO DO CURSO PREPARATÓRIO -</w:t>
      </w: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ARTIGO 10</w:t>
      </w:r>
    </w:p>
    <w:p w14:paraId="5CB83F94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Carlos Alberto sugere que o curso seja mencionado no manual, como indicação de material para preparação e estudos. Elineuba sugere que se cria uma lista de cursos para indicação.</w:t>
      </w:r>
    </w:p>
    <w:p w14:paraId="236BF579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FB4DB3A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DOS IMPEDIMENTOS PARA CANDIDATURA - ARTIGO 10 (com a eliminação do artigo sobre o curso, o antigo artigo 11 passa a ser 10)</w:t>
      </w:r>
    </w:p>
    <w:p w14:paraId="584B29B8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Camila questiona se a comissão manterá o artigo, a equipe administrativa afirma que é cópia da lei. A comissão opta pela manutenção.</w:t>
      </w:r>
    </w:p>
    <w:p w14:paraId="568C562D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0D2F07C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DO MANDATO DE CONSELHEIRO(A) TUTELAR - ARTIGO 16</w:t>
      </w:r>
    </w:p>
    <w:p w14:paraId="1760B3B8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comissão altera o termo "carga horária" por "jornada de trabalho".</w:t>
      </w:r>
    </w:p>
    <w:p w14:paraId="73DB582E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40D2E1B5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DAS ATRIBUIÇÕES DO(A) CONSELHEIRO TUTELAR</w:t>
      </w:r>
    </w:p>
    <w:p w14:paraId="7529C67A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comissão acata a sugestão de se alterar o título para "DAS ATRIBUIÇÕES DO CONSELHO TUTELAR".</w:t>
      </w:r>
    </w:p>
    <w:p w14:paraId="5EB01B79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251AD331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DA PROMOÇÃO DA CAMPANHA ELEITORAL - ARTIGO 19</w:t>
      </w:r>
    </w:p>
    <w:p w14:paraId="1124B74D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comissão decide que escreverá um novo inciso sobre o que entende por "chapa" no capítulo sobre as vedações. Reitera, nesta seção, que a campanha é individual: "Art 19 - Os(as) candidatos(as) poderão promover campanhas de suas candidaturas, individualmente, da seguinte forma:[...]".</w:t>
      </w:r>
    </w:p>
    <w:p w14:paraId="4898B6CD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 </w:t>
      </w:r>
    </w:p>
    <w:p w14:paraId="25A9A84C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DAS VEDAÇÕES - ARTIGO 20</w:t>
      </w:r>
    </w:p>
    <w:p w14:paraId="78AA2C92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Inserção do inciso IX: "IX - São vedadas campanhas ou materiais de divulgação coletivos que induzam o(a) eleitor(a) a votar em mais de um(a) candidato(a)". </w:t>
      </w:r>
    </w:p>
    <w:p w14:paraId="337CC963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546A79E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ARTIGO 21</w:t>
      </w:r>
    </w:p>
    <w:p w14:paraId="12992B46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Considerando o orçamento, a comissão decide por manter o endereço eletrônico "denunciaeleicaoct@prefeitura.sp.gov.br". O mesmo se aplicará ao e-mail de dúvidas (eleicaoct@prefeitura.sp.gov.br). </w:t>
      </w:r>
    </w:p>
    <w:p w14:paraId="191DCBDD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27228FF0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ARTIGO 22</w:t>
      </w:r>
    </w:p>
    <w:p w14:paraId="73F8BBEE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comissão adiciona: "Parágrafo único - Será garantido o sigilo do(a) denunciante na análise da denúncia."</w:t>
      </w:r>
    </w:p>
    <w:p w14:paraId="284EA02F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B63F553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DA POSSE - ARTIGO 37</w:t>
      </w:r>
    </w:p>
    <w:p w14:paraId="74C77194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Por entender que não pode deliberar sobre ações do CMDCA, a comissão opta por resumir o tema da transição em: "Será garantido a todos(as) os(as) Conselheiros(as) Tutelares titulares eleitos(as) um período de transição a ser definido em resolução própria do CMDCA/SP". </w:t>
      </w:r>
    </w:p>
    <w:p w14:paraId="225D217F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69DAB9CF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Após leitura completa do edital adaptado, Fernanda compartilha algumas dúvidas: </w:t>
      </w:r>
    </w:p>
    <w:p w14:paraId="07172EA4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Questiona se é necessário constar no edital que este será encaminhado aos conselheiros do CMDCA para referendá-lo em Reunião Extraordinária. A equipe administrativa explica que a fala em questão na audiência solicitava apenas a confirmação do fluxo, não sua redação. </w:t>
      </w:r>
    </w:p>
    <w:p w14:paraId="1F650765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Também pergunta se foi superada a questão sobre composição de diretorias de Organizações da Sociedade Civil. Carlos Alberto responde que sim, pois um conselheiro tutelar pode fiscalizar uma OSC, e se estivesse na diretoria da OSC que precisasse fiscalizar, isso caracterizaria conflito de interesse. </w:t>
      </w:r>
    </w:p>
    <w:p w14:paraId="01D981EA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Marcelo pergunta se haverá reunião sexta-feira e como será a pauta. O administrativo responde que haverá reunião e que leremos os dois artigos que precisam de ajustes na redação, além do realinhamento do cronograma. </w:t>
      </w:r>
    </w:p>
    <w:p w14:paraId="1059A7C8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5A8658DB" w14:textId="77777777" w:rsidR="00CF1149" w:rsidRPr="00CF1149" w:rsidRDefault="00CF1149" w:rsidP="00CF1149">
      <w:pPr>
        <w:spacing w:before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CF114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Nada mais havendo a tratar, a reunião é encerrada às 16:30, enquanto eu, Talita Patricio Perez, lavro a presente ata. </w:t>
      </w:r>
    </w:p>
    <w:p w14:paraId="0FB043CF" w14:textId="77777777" w:rsidR="00CF1149" w:rsidRPr="00CF1149" w:rsidRDefault="00CF1149" w:rsidP="00CF114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t-BR"/>
        </w:rPr>
      </w:pPr>
    </w:p>
    <w:sectPr w:rsidR="00CF1149" w:rsidRPr="00CF11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7"/>
    <w:rsid w:val="003A2C87"/>
    <w:rsid w:val="008C7CD7"/>
    <w:rsid w:val="00937724"/>
    <w:rsid w:val="009B601D"/>
    <w:rsid w:val="00C61DFD"/>
    <w:rsid w:val="00C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0842"/>
  <w15:chartTrackingRefBased/>
  <w15:docId w15:val="{5BC39B4C-E21F-4451-81F3-AC41FBAC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24"/>
  </w:style>
  <w:style w:type="paragraph" w:styleId="Ttulo1">
    <w:name w:val="heading 1"/>
    <w:basedOn w:val="Normal"/>
    <w:next w:val="Normal"/>
    <w:link w:val="Ttulo1Char"/>
    <w:uiPriority w:val="9"/>
    <w:qFormat/>
    <w:rsid w:val="0093772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772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77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7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77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77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77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77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77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37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93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37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772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772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772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772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772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772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772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772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772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9377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3772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772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37724"/>
    <w:rPr>
      <w:rFonts w:asciiTheme="majorHAnsi" w:eastAsiaTheme="majorEastAsia" w:hAnsiTheme="majorHAnsi" w:cstheme="majorBidi"/>
      <w:sz w:val="24"/>
      <w:szCs w:val="24"/>
    </w:rPr>
  </w:style>
  <w:style w:type="character" w:styleId="nfase">
    <w:name w:val="Emphasis"/>
    <w:basedOn w:val="Fontepargpadro"/>
    <w:uiPriority w:val="20"/>
    <w:qFormat/>
    <w:rsid w:val="00937724"/>
    <w:rPr>
      <w:i/>
      <w:iCs/>
    </w:rPr>
  </w:style>
  <w:style w:type="paragraph" w:styleId="SemEspaamento">
    <w:name w:val="No Spacing"/>
    <w:uiPriority w:val="1"/>
    <w:qFormat/>
    <w:rsid w:val="0093772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3772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3772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772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772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772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93772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772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3772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3772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7724"/>
    <w:pPr>
      <w:outlineLvl w:val="9"/>
    </w:pPr>
  </w:style>
  <w:style w:type="character" w:styleId="Hyperlink">
    <w:name w:val="Hyperlink"/>
    <w:basedOn w:val="Fontepargpadro"/>
    <w:uiPriority w:val="99"/>
    <w:semiHidden/>
    <w:unhideWhenUsed/>
    <w:rsid w:val="003A2C87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CF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1380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 Yuri Yamamoto</dc:creator>
  <cp:keywords/>
  <dc:description/>
  <cp:lastModifiedBy>Lays Yuri Yamamoto</cp:lastModifiedBy>
  <cp:revision>4</cp:revision>
  <dcterms:created xsi:type="dcterms:W3CDTF">2023-03-21T18:35:00Z</dcterms:created>
  <dcterms:modified xsi:type="dcterms:W3CDTF">2023-04-06T16:56:00Z</dcterms:modified>
</cp:coreProperties>
</file>