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68ª REUNIÃO ORDINÁRIA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 de dezembro de 2021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Rua Líbero Badaró, 119, Secretaria Municipal de Direitos Humanos e Cidadania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90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Poder Público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Bryan Sempertegui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Zenaida Lauda Rodriguez 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Sueli de Paula Santos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SMADS)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Claudete Dias Silva (SMDET); </w:t>
      </w: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rtl w:val="0"/>
        </w:rPr>
        <w:t xml:space="preserve">Jenny Izumi Kose (SMS); Talita Vieira António (SMRI); Mauricio Troiano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CPMigTD/</w:t>
      </w: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rtl w:val="0"/>
        </w:rPr>
        <w:t xml:space="preserve">SMDHC). 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Sociedade Civil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Camila Cristina Zelezoglo (Associação Brasileira da Indústria Têxtil e de Confecção - Abit); Federico Martí da Rosa Fornazieri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CDHIC); Fernanda Drummond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Pinheiro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Conectas Direitos Humanos);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Marília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Ramos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Repórter Brasil)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Roque Renato Pattusi (CAMI)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Observadores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Wilbert Rivas (OIM);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Antonio Carlos de Mello Rosa (Instituto Trabalho Decente)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Patrícia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Lacerda Trindade de Lima (Instituto de Trabalho Decente)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90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67ª reunião ordinária (em anexo);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Solicitação de agenda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y11qxi2fem84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da Minuta do Projeto de Lei que Institui o Plano Municipal de Erradicação do Trabalho Escravo no município de São Paulo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d5iimtkhu7w0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Possibilidade de fazer formações continuadas sobre a implementação do Fluxo Municipal na ESPASO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Definição de data para a primeira Reunião Ordinária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COMTRAE/SP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 dos GTs no ano de 2022.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Balanço e planejamento do primeiro semestre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1133.858267716535" w:hanging="425.1968503937003"/>
        <w:jc w:val="both"/>
        <w:rPr>
          <w:rFonts w:ascii="Calibri" w:cs="Calibri" w:eastAsia="Calibri" w:hAnsi="Calibri"/>
        </w:rPr>
      </w:pPr>
      <w:bookmarkStart w:colFirst="0" w:colLast="0" w:name="_heading=h.s3l2dcvlsab5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Balanço de 2021;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1133.858267716535" w:hanging="425.19685039370046"/>
        <w:jc w:val="both"/>
        <w:rPr>
          <w:rFonts w:ascii="Calibri" w:cs="Calibri" w:eastAsia="Calibri" w:hAnsi="Calibri"/>
        </w:rPr>
      </w:pPr>
      <w:bookmarkStart w:colFirst="0" w:colLast="0" w:name="_heading=h.v8gytmz81x9i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Retomada para o 2022 da Matriz de Planejamento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COMTRAE/SP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contempla a definição das prioridades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1133.858267716535" w:hanging="425.19685039370046"/>
        <w:jc w:val="both"/>
        <w:rPr>
          <w:rFonts w:ascii="Calibri" w:cs="Calibri" w:eastAsia="Calibri" w:hAnsi="Calibri"/>
        </w:rPr>
      </w:pPr>
      <w:bookmarkStart w:colFirst="0" w:colLast="0" w:name="_heading=h.jebg60cymuop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Definição de data para a primeira Reunião Ordinária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COMTRAE/SP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dos GTs no ano de 2022.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Zenaida Lauda apresentou o novo estagiário da CPMigTD/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SMDHC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Mauricio Troiano. Também apresentou a solicitação de mudança de representante do Ministério Público do Trabalho (MPT), a Dra. Aline Pedrosa Oishi de Helena, como titular, e como suplente, a Dra. Andrea Tertuliano de Oliveira. 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Também informou que comunicou-se à Comissão Extraordinária de Defesa dos Direitos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Humanos e Cidadania da Câmara Municipal de SP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nclusão do seu representante na COMTRAE/SP e solicitou a nomeação do mesmo. Entretanto, até o momento não foi realizada tal indicação.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Sr. Federico Martí da Rosa Fornazieri (CDHIC) indicou que irá dialogar com a Comissão Extraordinária de Direitos Humanos e Cidadania para que realizem a nomeação correspondente.</w:t>
      </w:r>
    </w:p>
    <w:p w:rsidR="00000000" w:rsidDel="00000000" w:rsidP="00000000" w:rsidRDefault="00000000" w:rsidRPr="00000000" w14:paraId="0000001B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67ª reunião ordinária (anexo);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ata da 67° reunião foi aprovada por consenso pelo colegiado.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heading=h.1pyq40aescb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Solicitação de ponto de pauta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senhora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Jenny Izumi Kose solicitou via email se informe sobre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Projeto de Lei do auxílio para os resgatados. O senhor Bryan indicou que será encaminhado a minuta do texto da PL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Auxílio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aos membros da COMTRAE/SP, para ser melhor discutida na reunião 69. 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bookmarkStart w:colFirst="0" w:colLast="0" w:name="_heading=h.y11qxi2fem84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da Minuta do Projeto de Lei que Institui o Plano Municipal de Erradicação do Trabalho Escravo no município de São Paulo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Federico Martí da Rosa Fornazieri (CDHIC) apresentou a minuta do Projeto de Lei que institui o “Plano de Municipal de Erradicação do Trabalho Escravo'' no município de São Paulo, proposto pela Rede de Promoção do Trabalho Decente junto à Comissão Extraordinária de Direitos Humanos e Cidadania da Câmara Municipal de São Paulo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Jenny observa que, em linhas gerais, o PL é positivo e levanta a questão sobre o item 3, sobre atendimento médico e psicológico, no que diz respeito à contratação de profissionais da área e de adicionar ao texto o atendimento odontológico às pessoas resgatadas. 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apontou pela importância das discussões no âmbito do legislativo em relação ao trabalho análogo ao escravo, assim como indicou a importância da inclusão ou previsão de instrumentos já construídos pela COMTRAE/SP na PL, visando um fortalecimento de ambas as frentes. 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Zenaida indicou como aspecto positivo a proposta de aprovação do projeto como Lei, pois tornaria difícil sua revogação. Outro ponto sugerido foi a necessidade de sincronia com o Fluxo Municipal, assim como com a Política Municipal para Erradicação do Trabalho Escravo, ambos instrumentos em vigor no Município de São Paulo. 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final do debate, o Sr. Federico agradeceu a oportunidade de apresentar o PL e convidou a todos os membros da COMTRAE/SP a continuar discutindo sobre ele para poder melhorar a proposta. A Sra Zenaida e o Sr. Bryan, indicaram que o espaço da COMTRAE/SP está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disposição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poder continuar debatendo sobre propostas que tenham como objetivo a efetividade na proteção de direitos e combate ao trabalho escravo.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bookmarkStart w:colFirst="0" w:colLast="0" w:name="_heading=h.d5iimtkhu7w0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a5a615qrxhpf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O Sr. Bryan apresentou brevemente o caso de Fluxo Municipal de Atendimento à Pessoa Vulnerável e/ou Submetida ao Trabalho Escravo acompanhado pela SMDHC e indicou que não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houve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nenhuma mudança. 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xj7xw64tbas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Possibilidade de fazer formações continuadas sobre a implementação do Fluxo Municipal na ESPASO </w:t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Zenaida e o Sr. Bryan informaram que tiveram uma reunião com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Sra. Sueli, representante da SMADS, a fim de retomar a aproximação para fins de formação com as equipes dos CRAS e CREAS. Fruto dessa reunião, a Sra. Sueli indicou que tiveram uma reunião com a Sra. Mônica, da ESPASO, quem sinalizou a abertura de agenda dentro da ESPASO para receber formações continuadas sobre a temática de combate ao trabalho escravo.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Roque sugeriu que, especialmente no CREAS, quando chegam pessoas vítimas de trabalho escravo ou tráfico de pessoas, todos devem ser muito bem recepcionados. Para tal, há que se ter: 1) treinamento do pessoal para uma boa acolhida, 2) um bom atendimento e 3) um bom encaminhamento.  </w:t>
      </w:r>
    </w:p>
    <w:p w:rsidR="00000000" w:rsidDel="00000000" w:rsidP="00000000" w:rsidRDefault="00000000" w:rsidRPr="00000000" w14:paraId="0000002F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o objetivo de alcançar este propósito, a Sra. Zenaida indicou que continuarão em conversações com a SMADS para poder consolidar as formações continuadas.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Adicionalmente, o Sr. Bryan informou que dia 19/12, a Coordenação lançaria a nova edição do Guia “Somos todas(os) Migrantes” de Direitos Humanos para a população de imigrantes e servidores públicos. </w:t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Definição de data para a primeira Reunião Ordinária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COMTRAE/SP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 dos GTs no ano de 2022.</w:t>
      </w:r>
    </w:p>
    <w:p w:rsidR="00000000" w:rsidDel="00000000" w:rsidP="00000000" w:rsidRDefault="00000000" w:rsidRPr="00000000" w14:paraId="00000033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sugeriu, para Reunião Ordinária da COMTRAE/SP, o dia 03/02/2022. A data foi aprovada por consenso. 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Balanço e planejamento do primeiro semestre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1133.858267716535" w:hanging="425.1968503937003"/>
        <w:jc w:val="both"/>
        <w:rPr>
          <w:rFonts w:ascii="Calibri" w:cs="Calibri" w:eastAsia="Calibri" w:hAnsi="Calibri"/>
        </w:rPr>
      </w:pPr>
      <w:bookmarkStart w:colFirst="0" w:colLast="0" w:name="_heading=h.s3l2dcvlsab5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Balanço de 2021;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360" w:lineRule="auto"/>
        <w:ind w:left="1133.858267716535" w:hanging="425.19685039370046"/>
        <w:jc w:val="both"/>
        <w:rPr>
          <w:rFonts w:ascii="Calibri" w:cs="Calibri" w:eastAsia="Calibri" w:hAnsi="Calibri"/>
        </w:rPr>
      </w:pPr>
      <w:bookmarkStart w:colFirst="0" w:colLast="0" w:name="_heading=h.v8gytmz81x9i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Retomada para o 2022 da Matriz de Planejamento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COMTRAE/SP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contempla a definição das prioridades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360" w:lineRule="auto"/>
        <w:ind w:left="1133.858267716535" w:hanging="425.19685039370046"/>
        <w:jc w:val="both"/>
        <w:rPr>
          <w:rFonts w:ascii="Calibri" w:cs="Calibri" w:eastAsia="Calibri" w:hAnsi="Calibri"/>
        </w:rPr>
      </w:pPr>
      <w:bookmarkStart w:colFirst="0" w:colLast="0" w:name="_heading=h.jebg60cymuop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Definição de data para a primeira Reunião Ordinária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COMTRAE/SP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dos GTs no ano de 2022.</w:t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realizou um breve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balanço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das atividades da COMTRAE/SP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ano de 2021.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Indicou que o maior desafio tem sido a crise gerada pela pandemia, pois a situação de emergência demandou a relocação de esforços para poder atender demandas relacionadas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às necessidades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básicas da comunidade migrantes. O Sr. Roque indicou que a situação da pandemia também tem afetado as atividades da sociedade civil, inclusive a instituição que representa, e que as demandas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emergenciais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demandaram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também a relocação de esforços. 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Patrícia Lima abdordou o tema do trabalho doméstico análogo à escravidão, sobretudo em relação às mulheres e à população imigrante, assim como a Sra. Sueli abordou a questão do trabalho doméstico infantil. A respeito, a Sra. Zenaida indicou que é importante pensar em formas de como visualizar a situação destes grupos específicos e que o espaço da COMTRAE/SP pode servir para essas discussões.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Finalmente, a Sra. Zenaida apresentou o planejamento para 2022, retomando o planejamento feito para o ano 2021, indicando os pontos a serem priorizados. A Comissão concordou em retomar as atividades conforme a esse planejamento.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mais, deu-se como encerrada a reunião. 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before="0" w:line="240" w:lineRule="auto"/>
      <w:jc w:val="center"/>
      <w:rPr>
        <w:rFonts w:ascii="Calibri" w:cs="Calibri" w:eastAsia="Calibri" w:hAnsi="Calibri"/>
        <w:b w:val="1"/>
        <w:color w:val="b7b7b7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b7b7b7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43">
    <w:pPr>
      <w:spacing w:after="0" w:before="0" w:line="240" w:lineRule="auto"/>
      <w:jc w:val="center"/>
      <w:rPr>
        <w:rFonts w:ascii="Calibri" w:cs="Calibri" w:eastAsia="Calibri" w:hAnsi="Calibri"/>
        <w:b w:val="1"/>
        <w:color w:val="b7b7b7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b7b7b7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44">
    <w:pPr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Pauta abertas para todos os membros que desejem compartilhar casos em acompanhamento. </w:t>
      </w:r>
    </w:p>
  </w:footnote>
  <w:footnote w:id="1"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Pauta abertas para todos os membros que desejem compartilhar casos em acompanhamento.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pict>
        <v:shape id="image1.png" style="position:absolute;left:0;text-align:left;margin-left:360.75pt;margin-top:-0.75pt;width:90.75pt;height:106.5pt;z-index:251659264;visibility:visible;mso-position-horizontal-relative:margin;mso-position-vertical-relative:text;mso-position-horizontal:absolute;mso-position-vertical:absolute;" o:spid="_x0000_s2052" type="#_x0000_t75">
          <v:imagedata r:id="rId1" o:title=""/>
          <w10:wrap type="topAndBottom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2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41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133.858267716535" w:hanging="425.196850393700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133.858267716535" w:hanging="425.196850393700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133.858267716535" w:hanging="425.196850393700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133.858267716535" w:hanging="425.196850393700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rO6B5YbMsLl20AKVNlVNSJGQ==">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2020-11-19T17:56:00Z</dcterms:created>
  <dc:creator>Bryan Zelmar Sempertegui Rodas</dc:creator>
</cp:coreProperties>
</file>