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620EC" w14:textId="14E7241D" w:rsidR="00CE49AD" w:rsidRDefault="00CE49AD" w:rsidP="00CE49A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E49AD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8D2E05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Pr="00CE49AD">
        <w:rPr>
          <w:rFonts w:ascii="Arial" w:hAnsi="Arial" w:cs="Arial"/>
          <w:b/>
          <w:bCs/>
          <w:sz w:val="32"/>
          <w:szCs w:val="32"/>
          <w:u w:val="single"/>
        </w:rPr>
        <w:t>.07.2024</w:t>
      </w:r>
    </w:p>
    <w:p w14:paraId="4D293BBF" w14:textId="0E5D1BBE" w:rsidR="00CE49AD" w:rsidRDefault="00CE49AD" w:rsidP="00CE49A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293DA13" w14:textId="3A62C7B4" w:rsidR="00CE49AD" w:rsidRPr="00CE49AD" w:rsidRDefault="00CE49AD" w:rsidP="00CE49A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E49AD">
        <w:rPr>
          <w:rFonts w:ascii="Arial" w:hAnsi="Arial" w:cs="Arial"/>
          <w:b/>
          <w:bCs/>
          <w:sz w:val="32"/>
          <w:szCs w:val="32"/>
          <w:u w:val="single"/>
        </w:rPr>
        <w:t>ATOS DO EXECUTIVO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CE49AD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2066C2F3" w14:textId="77777777" w:rsidR="00CE49AD" w:rsidRDefault="00CE49AD" w:rsidP="00CE49AD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B17E8D6" w14:textId="7A942545" w:rsidR="00CE49AD" w:rsidRPr="00CE49AD" w:rsidRDefault="00CE49AD" w:rsidP="00CE49A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E49AD">
        <w:rPr>
          <w:rFonts w:ascii="Arial" w:hAnsi="Arial" w:cs="Arial"/>
          <w:b/>
          <w:bCs/>
          <w:sz w:val="32"/>
          <w:szCs w:val="32"/>
          <w:u w:val="single"/>
        </w:rPr>
        <w:t>DECRETOS</w:t>
      </w:r>
    </w:p>
    <w:p w14:paraId="5F4C5CF1" w14:textId="77777777" w:rsidR="00CE49AD" w:rsidRPr="00CE49AD" w:rsidRDefault="00CE49AD" w:rsidP="00CE49AD">
      <w:pPr>
        <w:rPr>
          <w:rFonts w:ascii="Arial" w:hAnsi="Arial" w:cs="Arial"/>
          <w:b/>
          <w:bCs/>
        </w:rPr>
      </w:pPr>
      <w:r w:rsidRPr="00CE49AD">
        <w:rPr>
          <w:rFonts w:ascii="Arial" w:hAnsi="Arial" w:cs="Arial"/>
          <w:b/>
          <w:bCs/>
        </w:rPr>
        <w:t>Documento: 107219225 | Decreto</w:t>
      </w:r>
    </w:p>
    <w:p w14:paraId="0F96657E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DECRETO Nº 63.584, DE 22 DE JULHO DE 2024</w:t>
      </w:r>
    </w:p>
    <w:p w14:paraId="1988123C" w14:textId="0F49892A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Abre Crédito Adicional Suplementar de R$ 8.216.287,51 de acordo com a Lei nº 18.063, de 28 de dezembro de 2023.</w:t>
      </w:r>
      <w:r>
        <w:rPr>
          <w:rFonts w:ascii="Arial" w:hAnsi="Arial" w:cs="Arial"/>
        </w:rPr>
        <w:t xml:space="preserve"> </w:t>
      </w:r>
      <w:r w:rsidRPr="00CE49AD">
        <w:rPr>
          <w:rFonts w:ascii="Arial" w:hAnsi="Arial" w:cs="Arial"/>
        </w:rPr>
        <w:t>RICARDO NUNES, Prefeito do Município de São Paulo, usando das atribuições que lhe são conferidas por lei, na conformidade da autorização contida na Lei nº 18.063, de</w:t>
      </w:r>
      <w:r>
        <w:rPr>
          <w:rFonts w:ascii="Arial" w:hAnsi="Arial" w:cs="Arial"/>
        </w:rPr>
        <w:t xml:space="preserve"> </w:t>
      </w:r>
      <w:r w:rsidRPr="00CE49AD">
        <w:rPr>
          <w:rFonts w:ascii="Arial" w:hAnsi="Arial" w:cs="Arial"/>
        </w:rPr>
        <w:t>28 de dezembro de 2023, e visando possibilitar despesas inerentes às atividades das unidades,</w:t>
      </w:r>
    </w:p>
    <w:p w14:paraId="14303DAC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 xml:space="preserve">D E C R E T </w:t>
      </w:r>
      <w:proofErr w:type="gramStart"/>
      <w:r w:rsidRPr="00CE49AD">
        <w:rPr>
          <w:rFonts w:ascii="Arial" w:hAnsi="Arial" w:cs="Arial"/>
        </w:rPr>
        <w:t>A :</w:t>
      </w:r>
      <w:proofErr w:type="gramEnd"/>
    </w:p>
    <w:p w14:paraId="2B7D0156" w14:textId="47B87189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Artigo 1º - Fica aberto crédito adicional de R$ 8.216.287,51 (oito milhões e duzentos e dezesseis mil e duzentos e oitenta e sete reais e cinquenta e um centavos),</w:t>
      </w:r>
      <w:r>
        <w:rPr>
          <w:rFonts w:ascii="Arial" w:hAnsi="Arial" w:cs="Arial"/>
        </w:rPr>
        <w:t xml:space="preserve"> </w:t>
      </w:r>
      <w:r w:rsidRPr="00CE49AD">
        <w:rPr>
          <w:rFonts w:ascii="Arial" w:hAnsi="Arial" w:cs="Arial"/>
        </w:rPr>
        <w:t>suplementar às seguintes dotações do orçamento vigente:</w:t>
      </w:r>
    </w:p>
    <w:p w14:paraId="75A91A74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CODIGO NOME VALOR</w:t>
      </w:r>
    </w:p>
    <w:p w14:paraId="7368C8A7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14.10.16.122.3024.2100 Administração da Unidade</w:t>
      </w:r>
    </w:p>
    <w:p w14:paraId="15E699E5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31919200.00.1.500.9001.1 Despesas de Exercícios Anteriores 380.000,00</w:t>
      </w:r>
    </w:p>
    <w:p w14:paraId="4AAA96F8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33903900.00.1.500.9001.1 Outros Serviços de Terceiros - Pessoa Jurídica 3.130.526,61</w:t>
      </w:r>
    </w:p>
    <w:p w14:paraId="0D6E8B74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33909300.00.1.500.9001.1 Indenizações e Restituições 2.000,00</w:t>
      </w:r>
    </w:p>
    <w:p w14:paraId="64E88F12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33913900.00.1.500.9001.1 Outros Serviços de Terceiros - Pessoa Jurídica 1.406.022,24</w:t>
      </w:r>
    </w:p>
    <w:p w14:paraId="48C58CA4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14.10.16.122.3024.2106 Manutenção e Operação do Programa de Estágios</w:t>
      </w:r>
    </w:p>
    <w:p w14:paraId="5DB14705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33903900.00.1.500.9001.1 Outros Serviços de Terceiros - Pessoa Jurídica 622.966,84</w:t>
      </w:r>
    </w:p>
    <w:p w14:paraId="49A63C47" w14:textId="139F3EB4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14.10.16.126.3024.2171 Manutenção e Operação de Sistemas de Informação e Comunicação</w:t>
      </w:r>
      <w:r>
        <w:rPr>
          <w:rFonts w:ascii="Arial" w:hAnsi="Arial" w:cs="Arial"/>
        </w:rPr>
        <w:t xml:space="preserve"> </w:t>
      </w:r>
      <w:r w:rsidRPr="00CE49AD">
        <w:rPr>
          <w:rFonts w:ascii="Arial" w:hAnsi="Arial" w:cs="Arial"/>
        </w:rPr>
        <w:t>33904000.00.1.500.9001.1 Serviços de Tecnologia da Informação e Comunicação - Pessoa Jurídica 2.674.771,82</w:t>
      </w:r>
      <w:r>
        <w:rPr>
          <w:rFonts w:ascii="Arial" w:hAnsi="Arial" w:cs="Arial"/>
        </w:rPr>
        <w:t xml:space="preserve"> </w:t>
      </w:r>
      <w:r w:rsidRPr="00CE49AD">
        <w:rPr>
          <w:rFonts w:ascii="Arial" w:hAnsi="Arial" w:cs="Arial"/>
        </w:rPr>
        <w:t>8.216.287,51</w:t>
      </w:r>
    </w:p>
    <w:p w14:paraId="3F9F8DF3" w14:textId="0439FFE0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lastRenderedPageBreak/>
        <w:t>Artigo 2º - A cobertura do crédito de que trata o artigo 1º far-se-á através de recursos provenientes do superávit financeiro apurado em balanço patrimonial do exercício</w:t>
      </w:r>
      <w:r>
        <w:rPr>
          <w:rFonts w:ascii="Arial" w:hAnsi="Arial" w:cs="Arial"/>
        </w:rPr>
        <w:t xml:space="preserve"> </w:t>
      </w:r>
      <w:r w:rsidRPr="00CE49AD">
        <w:rPr>
          <w:rFonts w:ascii="Arial" w:hAnsi="Arial" w:cs="Arial"/>
        </w:rPr>
        <w:t>anterior:</w:t>
      </w:r>
    </w:p>
    <w:p w14:paraId="67156EF4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8.216.287,51</w:t>
      </w:r>
    </w:p>
    <w:p w14:paraId="3C4E7203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Artigo 3º - Este decreto entrará em vigor na data de sua assinatura.</w:t>
      </w:r>
    </w:p>
    <w:p w14:paraId="2878C218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PREFEITURA DO MUNICÍPIO DE SÃO PAULO, aos 22 de julho de 2024, 471º da fundação de São Paulo.</w:t>
      </w:r>
    </w:p>
    <w:p w14:paraId="3BBAE6DD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RICARDO NUNES</w:t>
      </w:r>
    </w:p>
    <w:p w14:paraId="0C378574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PREFEITO</w:t>
      </w:r>
    </w:p>
    <w:p w14:paraId="49076C76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LUIS FELIPE VIDAL ARELLANO</w:t>
      </w:r>
    </w:p>
    <w:p w14:paraId="3CD8C2FC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Secretário Municipal da Fazenda</w:t>
      </w:r>
    </w:p>
    <w:p w14:paraId="62BD0866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Publicado na Secretaria do Governo Municipal, em 22 de julho de 2024.</w:t>
      </w:r>
    </w:p>
    <w:p w14:paraId="40D6B5F4" w14:textId="08F81C81" w:rsid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Documento original assinado nº 107209076</w:t>
      </w:r>
    </w:p>
    <w:p w14:paraId="3258C5D5" w14:textId="12AA424A" w:rsidR="00CE49AD" w:rsidRDefault="00CE49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814B4B" w14:textId="36CCD949" w:rsidR="00CE49AD" w:rsidRDefault="00CE49AD" w:rsidP="00CE49A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E49AD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</w:p>
    <w:p w14:paraId="247021FA" w14:textId="77777777" w:rsidR="00CE49AD" w:rsidRPr="00CE49AD" w:rsidRDefault="00CE49AD" w:rsidP="00CE49A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7322CA7" w14:textId="77777777" w:rsidR="00CE49AD" w:rsidRPr="00CE49AD" w:rsidRDefault="00CE49AD" w:rsidP="00CE49A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E49AD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4AE7C32E" w14:textId="77777777" w:rsidR="00CE49AD" w:rsidRPr="00CE49AD" w:rsidRDefault="00CE49AD" w:rsidP="00CE49AD">
      <w:pPr>
        <w:rPr>
          <w:rFonts w:ascii="Arial" w:hAnsi="Arial" w:cs="Arial"/>
          <w:b/>
          <w:bCs/>
        </w:rPr>
      </w:pPr>
      <w:r w:rsidRPr="00CE49AD">
        <w:rPr>
          <w:rFonts w:ascii="Arial" w:hAnsi="Arial" w:cs="Arial"/>
          <w:b/>
          <w:bCs/>
        </w:rPr>
        <w:t>Documento: 107241280 | Portaria</w:t>
      </w:r>
    </w:p>
    <w:p w14:paraId="3837A49D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PORTARIA SMDET 36, DE 22 DE JULHO DE 2024</w:t>
      </w:r>
    </w:p>
    <w:p w14:paraId="49B2D9E6" w14:textId="77777777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DESIGNA SERVIDOR EM SUBSTITUIÇÃO.</w:t>
      </w:r>
    </w:p>
    <w:p w14:paraId="474A3B0E" w14:textId="5CE0F5CC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 xml:space="preserve">PAOLA SANCHEZ VALLEJO DE MORAES </w:t>
      </w:r>
      <w:proofErr w:type="gramStart"/>
      <w:r w:rsidRPr="00CE49AD">
        <w:rPr>
          <w:rFonts w:ascii="Arial" w:hAnsi="Arial" w:cs="Arial"/>
        </w:rPr>
        <w:t>FORJAZ ,</w:t>
      </w:r>
      <w:proofErr w:type="gramEnd"/>
      <w:r w:rsidRPr="00CE49AD">
        <w:rPr>
          <w:rFonts w:ascii="Arial" w:hAnsi="Arial" w:cs="Arial"/>
        </w:rPr>
        <w:t xml:space="preserve"> chefe de gabinete da Secretária Municipal de Desenvolvimento Econômico e Trabalho, no uso das atribuições que lhe são</w:t>
      </w:r>
      <w:r>
        <w:rPr>
          <w:rFonts w:ascii="Arial" w:hAnsi="Arial" w:cs="Arial"/>
        </w:rPr>
        <w:t xml:space="preserve"> </w:t>
      </w:r>
      <w:r w:rsidRPr="00CE49AD">
        <w:rPr>
          <w:rFonts w:ascii="Arial" w:hAnsi="Arial" w:cs="Arial"/>
        </w:rPr>
        <w:t>conferidas pela Portaria SDTE nº. 38, de 25 de setembro de 2013,</w:t>
      </w:r>
      <w:r>
        <w:rPr>
          <w:rFonts w:ascii="Arial" w:hAnsi="Arial" w:cs="Arial"/>
        </w:rPr>
        <w:t xml:space="preserve"> </w:t>
      </w:r>
      <w:r w:rsidRPr="00CE49AD">
        <w:rPr>
          <w:rFonts w:ascii="Arial" w:hAnsi="Arial" w:cs="Arial"/>
        </w:rPr>
        <w:t>RESOLVE:</w:t>
      </w:r>
    </w:p>
    <w:p w14:paraId="67C50EFB" w14:textId="2F00325A" w:rsidR="00CE49AD" w:rsidRP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Art. 1º Designar a servidora ESTELA REIS RODRIGUES, RF 917.630.6/3, Assessor I, CDA-1, comissionada, para exercer o cargo de Coordenador II, CDA-6,</w:t>
      </w:r>
      <w:r>
        <w:rPr>
          <w:rFonts w:ascii="Arial" w:hAnsi="Arial" w:cs="Arial"/>
        </w:rPr>
        <w:t xml:space="preserve"> </w:t>
      </w:r>
      <w:r w:rsidRPr="00CE49AD">
        <w:rPr>
          <w:rFonts w:ascii="Arial" w:hAnsi="Arial" w:cs="Arial"/>
        </w:rPr>
        <w:t>provimento definido por meio dos critérios gerais estabelecidos na Lei nº. 17.708/2021, da Coordenadoria de Desenvolvimento Econômico - CDE, da Secretaria Municipal</w:t>
      </w:r>
      <w:r>
        <w:rPr>
          <w:rFonts w:ascii="Arial" w:hAnsi="Arial" w:cs="Arial"/>
        </w:rPr>
        <w:t xml:space="preserve"> </w:t>
      </w:r>
      <w:r w:rsidRPr="00CE49AD">
        <w:rPr>
          <w:rFonts w:ascii="Arial" w:hAnsi="Arial" w:cs="Arial"/>
        </w:rPr>
        <w:t>de Desenvolvimento Econômico e Trabalho, em substituição ao servidor CELSO GOMES CASA GRANDE, RF 848.235.7/8, Coordenador II, CDA-6, comissionado,</w:t>
      </w:r>
      <w:r>
        <w:rPr>
          <w:rFonts w:ascii="Arial" w:hAnsi="Arial" w:cs="Arial"/>
        </w:rPr>
        <w:t xml:space="preserve"> </w:t>
      </w:r>
      <w:r w:rsidRPr="00CE49AD">
        <w:rPr>
          <w:rFonts w:ascii="Arial" w:hAnsi="Arial" w:cs="Arial"/>
        </w:rPr>
        <w:t>durante o impedimento legal, por motivo de missão internacional, no período de 23/07/2024 a 30/07/2024.</w:t>
      </w:r>
    </w:p>
    <w:p w14:paraId="28BDD66B" w14:textId="01C4EB66" w:rsidR="00CE49AD" w:rsidRDefault="00CE49AD" w:rsidP="00CE49AD">
      <w:pPr>
        <w:rPr>
          <w:rFonts w:ascii="Arial" w:hAnsi="Arial" w:cs="Arial"/>
        </w:rPr>
      </w:pPr>
      <w:r w:rsidRPr="00CE49AD">
        <w:rPr>
          <w:rFonts w:ascii="Arial" w:hAnsi="Arial" w:cs="Arial"/>
        </w:rPr>
        <w:t>Art. 2º Esta Portaria entrará em vigor na data da sua publicaç</w:t>
      </w:r>
      <w:r>
        <w:rPr>
          <w:rFonts w:ascii="Arial" w:hAnsi="Arial" w:cs="Arial"/>
        </w:rPr>
        <w:t>ão.</w:t>
      </w:r>
    </w:p>
    <w:p w14:paraId="3BB65070" w14:textId="7E310EF4" w:rsidR="00CE49AD" w:rsidRPr="00CE49AD" w:rsidRDefault="00CE49AD" w:rsidP="00233C3C">
      <w:pPr>
        <w:rPr>
          <w:rFonts w:ascii="Arial" w:hAnsi="Arial" w:cs="Arial"/>
        </w:rPr>
      </w:pPr>
    </w:p>
    <w:sectPr w:rsidR="00CE49AD" w:rsidRPr="00CE4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AD"/>
    <w:rsid w:val="00233C3C"/>
    <w:rsid w:val="008D2E05"/>
    <w:rsid w:val="00CE49AD"/>
    <w:rsid w:val="00D2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5055"/>
  <w15:chartTrackingRefBased/>
  <w15:docId w15:val="{56895A83-EE44-4C2A-A047-09BC0BC6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4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4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4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4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4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4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4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4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4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4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4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49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49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49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E49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49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49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E4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E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4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E4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E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E49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E49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E49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4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E49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E49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2024-07-23T15:18:00Z</dcterms:created>
  <dcterms:modified xsi:type="dcterms:W3CDTF">2024-07-23T15:54:00Z</dcterms:modified>
</cp:coreProperties>
</file>