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04346" w14:textId="683E33CB" w:rsidR="00B4041B" w:rsidRDefault="004A30B6" w:rsidP="004A30B6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4A30B6">
        <w:rPr>
          <w:rFonts w:ascii="Arial" w:hAnsi="Arial" w:cs="Arial"/>
          <w:b/>
          <w:bCs/>
          <w:sz w:val="32"/>
          <w:szCs w:val="32"/>
          <w:u w:val="single"/>
        </w:rPr>
        <w:t>23.05.2024</w:t>
      </w:r>
    </w:p>
    <w:p w14:paraId="046D3B82" w14:textId="31DE3B46" w:rsidR="004A30B6" w:rsidRDefault="004A30B6" w:rsidP="004A30B6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53A0B9EC" w14:textId="3BC81872" w:rsidR="007D29F9" w:rsidRPr="00CF1F5A" w:rsidRDefault="004A30B6" w:rsidP="00CF1F5A">
      <w:pPr>
        <w:jc w:val="center"/>
      </w:pPr>
      <w:r w:rsidRPr="004A30B6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  <w:r w:rsidRPr="00CF1F5A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CF1F5A" w:rsidRPr="00CF1F5A">
        <w:rPr>
          <w:b/>
          <w:bCs/>
          <w:sz w:val="32"/>
          <w:szCs w:val="32"/>
        </w:rPr>
        <w:t>|</w:t>
      </w:r>
      <w:r w:rsidR="00CF1F5A">
        <w:t xml:space="preserve"> </w:t>
      </w:r>
      <w:r w:rsidRPr="004A30B6">
        <w:rPr>
          <w:rFonts w:ascii="Arial" w:hAnsi="Arial" w:cs="Arial"/>
          <w:b/>
          <w:bCs/>
          <w:sz w:val="32"/>
          <w:szCs w:val="32"/>
          <w:u w:val="single"/>
        </w:rPr>
        <w:t>NÚCLEO DE PUBLICAÇÃO</w:t>
      </w:r>
    </w:p>
    <w:p w14:paraId="6FF1F0F7" w14:textId="77777777" w:rsidR="004A30B6" w:rsidRPr="00E146FB" w:rsidRDefault="004A30B6" w:rsidP="004A30B6">
      <w:pPr>
        <w:jc w:val="both"/>
        <w:rPr>
          <w:rFonts w:ascii="Arial" w:hAnsi="Arial" w:cs="Arial"/>
        </w:rPr>
      </w:pPr>
      <w:r w:rsidRPr="00E146FB">
        <w:rPr>
          <w:rFonts w:ascii="Arial" w:hAnsi="Arial" w:cs="Arial"/>
          <w:b/>
          <w:bCs/>
        </w:rPr>
        <w:t>Documento:</w:t>
      </w:r>
      <w:r w:rsidRPr="00E146FB">
        <w:rPr>
          <w:rFonts w:ascii="Arial" w:hAnsi="Arial" w:cs="Arial"/>
        </w:rPr>
        <w:t xml:space="preserve"> </w:t>
      </w:r>
      <w:r w:rsidRPr="00E146FB">
        <w:rPr>
          <w:rFonts w:ascii="Arial" w:hAnsi="Arial" w:cs="Arial"/>
          <w:b/>
          <w:bCs/>
        </w:rPr>
        <w:t xml:space="preserve">103911993 | Despacho </w:t>
      </w:r>
      <w:proofErr w:type="spellStart"/>
      <w:r w:rsidRPr="00E146FB">
        <w:rPr>
          <w:rFonts w:ascii="Arial" w:hAnsi="Arial" w:cs="Arial"/>
          <w:b/>
          <w:bCs/>
        </w:rPr>
        <w:t>autorizatório</w:t>
      </w:r>
      <w:proofErr w:type="spellEnd"/>
      <w:r w:rsidRPr="00E146FB">
        <w:rPr>
          <w:rFonts w:ascii="Arial" w:hAnsi="Arial" w:cs="Arial"/>
          <w:b/>
          <w:bCs/>
        </w:rPr>
        <w:t xml:space="preserve"> (NP)</w:t>
      </w:r>
    </w:p>
    <w:p w14:paraId="2FB630F0" w14:textId="77777777" w:rsidR="004A30B6" w:rsidRPr="00E146FB" w:rsidRDefault="004A30B6" w:rsidP="004A30B6">
      <w:pPr>
        <w:jc w:val="both"/>
        <w:rPr>
          <w:rFonts w:ascii="Arial" w:hAnsi="Arial" w:cs="Arial"/>
        </w:rPr>
      </w:pPr>
      <w:r w:rsidRPr="00E146FB">
        <w:rPr>
          <w:rFonts w:ascii="Arial" w:hAnsi="Arial" w:cs="Arial"/>
        </w:rPr>
        <w:t>PRINCIPAL</w:t>
      </w:r>
    </w:p>
    <w:p w14:paraId="7B802EBE" w14:textId="77777777" w:rsidR="004A30B6" w:rsidRPr="00E146FB" w:rsidRDefault="004A30B6" w:rsidP="004A30B6">
      <w:pPr>
        <w:jc w:val="both"/>
        <w:rPr>
          <w:rFonts w:ascii="Arial" w:hAnsi="Arial" w:cs="Arial"/>
        </w:rPr>
      </w:pPr>
      <w:r w:rsidRPr="00E146FB">
        <w:rPr>
          <w:rFonts w:ascii="Arial" w:hAnsi="Arial" w:cs="Arial"/>
        </w:rPr>
        <w:t>Modalidade</w:t>
      </w:r>
    </w:p>
    <w:p w14:paraId="7F8E1AC4" w14:textId="77777777" w:rsidR="004A30B6" w:rsidRPr="00E146FB" w:rsidRDefault="004A30B6" w:rsidP="004A30B6">
      <w:pPr>
        <w:jc w:val="both"/>
        <w:rPr>
          <w:rFonts w:ascii="Arial" w:hAnsi="Arial" w:cs="Arial"/>
        </w:rPr>
      </w:pPr>
      <w:r w:rsidRPr="00E146FB">
        <w:rPr>
          <w:rFonts w:ascii="Arial" w:hAnsi="Arial" w:cs="Arial"/>
        </w:rPr>
        <w:t>Termo de Fomento</w:t>
      </w:r>
    </w:p>
    <w:p w14:paraId="09A5D934" w14:textId="5148406F" w:rsidR="004A30B6" w:rsidRPr="00E146FB" w:rsidRDefault="00DA77AE" w:rsidP="004A30B6">
      <w:pPr>
        <w:jc w:val="both"/>
        <w:rPr>
          <w:rFonts w:ascii="Arial" w:hAnsi="Arial" w:cs="Arial"/>
        </w:rPr>
      </w:pPr>
      <w:r w:rsidRPr="00E146FB">
        <w:rPr>
          <w:rFonts w:ascii="Arial" w:hAnsi="Arial" w:cs="Arial"/>
        </w:rPr>
        <w:t>Órgão</w:t>
      </w:r>
    </w:p>
    <w:p w14:paraId="3A8A4714" w14:textId="77777777" w:rsidR="004A30B6" w:rsidRPr="00E146FB" w:rsidRDefault="004A30B6" w:rsidP="004A30B6">
      <w:pPr>
        <w:jc w:val="both"/>
        <w:rPr>
          <w:rFonts w:ascii="Arial" w:hAnsi="Arial" w:cs="Arial"/>
        </w:rPr>
      </w:pPr>
      <w:r w:rsidRPr="00E146FB">
        <w:rPr>
          <w:rFonts w:ascii="Arial" w:hAnsi="Arial" w:cs="Arial"/>
        </w:rPr>
        <w:t>Secretaria Municipal de Desenvolvimento Econômico e Trabalho - SMDET</w:t>
      </w:r>
    </w:p>
    <w:p w14:paraId="65D5A407" w14:textId="77777777" w:rsidR="004A30B6" w:rsidRPr="00E146FB" w:rsidRDefault="004A30B6" w:rsidP="004A30B6">
      <w:pPr>
        <w:jc w:val="both"/>
        <w:rPr>
          <w:rFonts w:ascii="Arial" w:hAnsi="Arial" w:cs="Arial"/>
        </w:rPr>
      </w:pPr>
      <w:r w:rsidRPr="00E146FB">
        <w:rPr>
          <w:rFonts w:ascii="Arial" w:hAnsi="Arial" w:cs="Arial"/>
        </w:rPr>
        <w:t>Número de processo interno do órgão/unidade</w:t>
      </w:r>
    </w:p>
    <w:p w14:paraId="5002919C" w14:textId="77777777" w:rsidR="004A30B6" w:rsidRPr="00E146FB" w:rsidRDefault="004A30B6" w:rsidP="004A30B6">
      <w:pPr>
        <w:jc w:val="both"/>
        <w:rPr>
          <w:rFonts w:ascii="Arial" w:hAnsi="Arial" w:cs="Arial"/>
        </w:rPr>
      </w:pPr>
      <w:r w:rsidRPr="00E146FB">
        <w:rPr>
          <w:rFonts w:ascii="Arial" w:hAnsi="Arial" w:cs="Arial"/>
        </w:rPr>
        <w:t>6010.2024/0001085-2</w:t>
      </w:r>
    </w:p>
    <w:p w14:paraId="0D98EB30" w14:textId="77777777" w:rsidR="004A30B6" w:rsidRPr="00E146FB" w:rsidRDefault="004A30B6" w:rsidP="004A30B6">
      <w:pPr>
        <w:jc w:val="both"/>
        <w:rPr>
          <w:rFonts w:ascii="Arial" w:hAnsi="Arial" w:cs="Arial"/>
        </w:rPr>
      </w:pPr>
      <w:r w:rsidRPr="00E146FB">
        <w:rPr>
          <w:rFonts w:ascii="Arial" w:hAnsi="Arial" w:cs="Arial"/>
        </w:rPr>
        <w:t>Objeto</w:t>
      </w:r>
    </w:p>
    <w:p w14:paraId="3E8337ED" w14:textId="77777777" w:rsidR="004A30B6" w:rsidRPr="00E146FB" w:rsidRDefault="004A30B6" w:rsidP="004A30B6">
      <w:pPr>
        <w:jc w:val="both"/>
        <w:rPr>
          <w:rFonts w:ascii="Arial" w:hAnsi="Arial" w:cs="Arial"/>
        </w:rPr>
      </w:pPr>
      <w:r w:rsidRPr="00E146FB">
        <w:rPr>
          <w:rFonts w:ascii="Arial" w:hAnsi="Arial" w:cs="Arial"/>
        </w:rPr>
        <w:t>Culinária Sabores do Brasil.</w:t>
      </w:r>
    </w:p>
    <w:p w14:paraId="4B054E5F" w14:textId="77777777" w:rsidR="004A30B6" w:rsidRPr="00E146FB" w:rsidRDefault="004A30B6" w:rsidP="004A30B6">
      <w:pPr>
        <w:jc w:val="both"/>
        <w:rPr>
          <w:rFonts w:ascii="Arial" w:hAnsi="Arial" w:cs="Arial"/>
        </w:rPr>
      </w:pPr>
      <w:r w:rsidRPr="00E146FB">
        <w:rPr>
          <w:rFonts w:ascii="Arial" w:hAnsi="Arial" w:cs="Arial"/>
        </w:rPr>
        <w:t>Descrição detalhada do objeto</w:t>
      </w:r>
    </w:p>
    <w:p w14:paraId="7DF83EB9" w14:textId="44278A22" w:rsidR="004A30B6" w:rsidRPr="00E146FB" w:rsidRDefault="004A30B6" w:rsidP="004A30B6">
      <w:pPr>
        <w:jc w:val="both"/>
        <w:rPr>
          <w:rFonts w:ascii="Arial" w:hAnsi="Arial" w:cs="Arial"/>
        </w:rPr>
      </w:pPr>
      <w:r w:rsidRPr="00E146FB">
        <w:rPr>
          <w:rFonts w:ascii="Arial" w:hAnsi="Arial" w:cs="Arial"/>
        </w:rPr>
        <w:t xml:space="preserve">Projeto denominado </w:t>
      </w:r>
      <w:bookmarkStart w:id="0" w:name="_Hlk167365290"/>
      <w:r w:rsidRPr="00E146FB">
        <w:rPr>
          <w:rFonts w:ascii="Arial" w:hAnsi="Arial" w:cs="Arial"/>
        </w:rPr>
        <w:t>Formação Social e Profissional em Gastronomia - Culinária Sabores do Brasil - 2ª Edição/2024, pelo período de 6 (seis) meses</w:t>
      </w:r>
      <w:bookmarkEnd w:id="0"/>
      <w:r w:rsidRPr="00E146FB">
        <w:rPr>
          <w:rFonts w:ascii="Arial" w:hAnsi="Arial" w:cs="Arial"/>
        </w:rPr>
        <w:t>, no valor de R$</w:t>
      </w:r>
      <w:r w:rsidR="00E146FB">
        <w:rPr>
          <w:rFonts w:ascii="Arial" w:hAnsi="Arial" w:cs="Arial"/>
        </w:rPr>
        <w:t xml:space="preserve"> </w:t>
      </w:r>
      <w:r w:rsidRPr="00E146FB">
        <w:rPr>
          <w:rFonts w:ascii="Arial" w:hAnsi="Arial" w:cs="Arial"/>
        </w:rPr>
        <w:t>200.000,00 (duzentos mil reais), conforme o Plano de Trabalho aprovado sob doc. 103768175.</w:t>
      </w:r>
    </w:p>
    <w:p w14:paraId="378B4BB3" w14:textId="77777777" w:rsidR="004A30B6" w:rsidRPr="00E146FB" w:rsidRDefault="004A30B6" w:rsidP="004A30B6">
      <w:pPr>
        <w:jc w:val="both"/>
        <w:rPr>
          <w:rFonts w:ascii="Arial" w:hAnsi="Arial" w:cs="Arial"/>
        </w:rPr>
      </w:pPr>
      <w:r w:rsidRPr="00E146FB">
        <w:rPr>
          <w:rFonts w:ascii="Arial" w:hAnsi="Arial" w:cs="Arial"/>
        </w:rPr>
        <w:t>Conteúdo do despacho</w:t>
      </w:r>
    </w:p>
    <w:p w14:paraId="66FD775D" w14:textId="6FF558EB" w:rsidR="004A30B6" w:rsidRPr="00E146FB" w:rsidRDefault="004A30B6" w:rsidP="004A30B6">
      <w:pPr>
        <w:jc w:val="both"/>
        <w:rPr>
          <w:rFonts w:ascii="Arial" w:hAnsi="Arial" w:cs="Arial"/>
        </w:rPr>
      </w:pPr>
      <w:r w:rsidRPr="00E146FB">
        <w:rPr>
          <w:rFonts w:ascii="Arial" w:hAnsi="Arial" w:cs="Arial"/>
        </w:rPr>
        <w:t>Despacho I - À vista dos elementos constantes do processo, em especial, o parecer técnico de doc. 103276620 e seu complemento de doc. 103768501 e o parecer jurídico de</w:t>
      </w:r>
      <w:r w:rsidR="00E146FB">
        <w:rPr>
          <w:rFonts w:ascii="Arial" w:hAnsi="Arial" w:cs="Arial"/>
        </w:rPr>
        <w:t xml:space="preserve"> </w:t>
      </w:r>
      <w:r w:rsidRPr="00E146FB">
        <w:rPr>
          <w:rFonts w:ascii="Arial" w:hAnsi="Arial" w:cs="Arial"/>
        </w:rPr>
        <w:t>doc. 103630673, na forma dos artigos 29 e 32, § 4º, da Lei Federal 13.019/2014 e artigo 4º, inciso III, do Decreto Municipal 57.575/2016, AUTORIZO a celebração de</w:t>
      </w:r>
      <w:r w:rsidR="00E146FB">
        <w:rPr>
          <w:rFonts w:ascii="Arial" w:hAnsi="Arial" w:cs="Arial"/>
        </w:rPr>
        <w:t xml:space="preserve"> </w:t>
      </w:r>
      <w:r w:rsidRPr="00E146FB">
        <w:rPr>
          <w:rFonts w:ascii="Arial" w:hAnsi="Arial" w:cs="Arial"/>
        </w:rPr>
        <w:t>parceria com a organização da sociedade civil Instituto de Planejamento e Desenvolvimento Holístico - Vista, inscrita no CPNJ 08.987.830/0001-66, por meio de termo de</w:t>
      </w:r>
      <w:r w:rsidR="00E146FB">
        <w:rPr>
          <w:rFonts w:ascii="Arial" w:hAnsi="Arial" w:cs="Arial"/>
        </w:rPr>
        <w:t xml:space="preserve"> </w:t>
      </w:r>
      <w:r w:rsidRPr="00E146FB">
        <w:rPr>
          <w:rFonts w:ascii="Arial" w:hAnsi="Arial" w:cs="Arial"/>
        </w:rPr>
        <w:t xml:space="preserve">fomento, tendo como objeto a realização do projeto </w:t>
      </w:r>
      <w:bookmarkStart w:id="1" w:name="_Hlk167365365"/>
      <w:r w:rsidRPr="00E146FB">
        <w:rPr>
          <w:rFonts w:ascii="Arial" w:hAnsi="Arial" w:cs="Arial"/>
        </w:rPr>
        <w:t>denominado "Formação Social e Profissional em Gastronomia - Culinária Sabores do Brasil - 2ª Edição/2024", pelo</w:t>
      </w:r>
      <w:r w:rsidR="00E146FB">
        <w:rPr>
          <w:rFonts w:ascii="Arial" w:hAnsi="Arial" w:cs="Arial"/>
        </w:rPr>
        <w:t xml:space="preserve"> </w:t>
      </w:r>
      <w:r w:rsidRPr="00E146FB">
        <w:rPr>
          <w:rFonts w:ascii="Arial" w:hAnsi="Arial" w:cs="Arial"/>
        </w:rPr>
        <w:t>período de 6 (seis) mese</w:t>
      </w:r>
      <w:bookmarkEnd w:id="1"/>
      <w:r w:rsidRPr="00E146FB">
        <w:rPr>
          <w:rFonts w:ascii="Arial" w:hAnsi="Arial" w:cs="Arial"/>
        </w:rPr>
        <w:t>s, no valor de R$ 200.000,00 (duzentos mil reais), conforme o Plano de Trabalho aprovado sob doc. 103768175. II - Outrossim, AUTORIZO o</w:t>
      </w:r>
      <w:r w:rsidR="00E146FB">
        <w:rPr>
          <w:rFonts w:ascii="Arial" w:hAnsi="Arial" w:cs="Arial"/>
        </w:rPr>
        <w:t xml:space="preserve"> </w:t>
      </w:r>
      <w:r w:rsidRPr="00E146FB">
        <w:rPr>
          <w:rFonts w:ascii="Arial" w:hAnsi="Arial" w:cs="Arial"/>
        </w:rPr>
        <w:t>empenhamento em favor da referida entidade, com consequente emissão da respectiva Nota de Empenho a onerar a dotação orçamentária</w:t>
      </w:r>
      <w:r w:rsidR="00E146FB">
        <w:rPr>
          <w:rFonts w:ascii="Arial" w:hAnsi="Arial" w:cs="Arial"/>
        </w:rPr>
        <w:t xml:space="preserve"> </w:t>
      </w:r>
      <w:r w:rsidRPr="00E146FB">
        <w:rPr>
          <w:rFonts w:ascii="Arial" w:hAnsi="Arial" w:cs="Arial"/>
        </w:rPr>
        <w:lastRenderedPageBreak/>
        <w:t>30.10.11.333.3019.4.432.3.3.50.39.00.00.1.501.7039. 1. AUTORIZO, ainda, o cancelamento de eventuais saldos de reserva e de empenho. III - DESIGNO como gestora da</w:t>
      </w:r>
      <w:r w:rsidR="00E146FB">
        <w:rPr>
          <w:rFonts w:ascii="Arial" w:hAnsi="Arial" w:cs="Arial"/>
        </w:rPr>
        <w:t xml:space="preserve"> </w:t>
      </w:r>
      <w:r w:rsidRPr="00E146FB">
        <w:rPr>
          <w:rFonts w:ascii="Arial" w:hAnsi="Arial" w:cs="Arial"/>
        </w:rPr>
        <w:t>parceria a servidora Katia dos Santos Ribeiro da Silva, RF 804.598-4. IV - APROVO a minuta do termo de fomento de doc. 103837971, devendo constar como seu anexo</w:t>
      </w:r>
      <w:r w:rsidR="00CF1F5A">
        <w:rPr>
          <w:rFonts w:ascii="Arial" w:hAnsi="Arial" w:cs="Arial"/>
        </w:rPr>
        <w:t xml:space="preserve"> </w:t>
      </w:r>
      <w:r w:rsidRPr="00E146FB">
        <w:rPr>
          <w:rFonts w:ascii="Arial" w:hAnsi="Arial" w:cs="Arial"/>
        </w:rPr>
        <w:t>único o Plano de Trabalho de doc. 103768175. V - AUTORIZO a publicação do extrato de justificativa de doc. 103890009, na forma do artigo 32, § 1º, da Lei Federal</w:t>
      </w:r>
      <w:r w:rsidR="00E146FB">
        <w:rPr>
          <w:rFonts w:ascii="Arial" w:hAnsi="Arial" w:cs="Arial"/>
        </w:rPr>
        <w:t xml:space="preserve"> </w:t>
      </w:r>
      <w:r w:rsidRPr="00E146FB">
        <w:rPr>
          <w:rFonts w:ascii="Arial" w:hAnsi="Arial" w:cs="Arial"/>
        </w:rPr>
        <w:t>13.019/2014. VI - Publique-se e, em seguida, remetam-se os autos ao Departamento de Administração e Finanças, para as devidas providências. Após, à CT para</w:t>
      </w:r>
      <w:r w:rsidR="00E146FB">
        <w:rPr>
          <w:rFonts w:ascii="Arial" w:hAnsi="Arial" w:cs="Arial"/>
        </w:rPr>
        <w:t xml:space="preserve"> </w:t>
      </w:r>
      <w:r w:rsidRPr="00E146FB">
        <w:rPr>
          <w:rFonts w:ascii="Arial" w:hAnsi="Arial" w:cs="Arial"/>
        </w:rPr>
        <w:t>prosseguimento. EXTRATO DE JUSTIFICATIVA I - Em cumprimento ao disposto no § 1º do art. 32 da Lei Federal 13.019, de 31 de julho de 2014, e do Decreto Municipal 57.575, de 29 de dezembro de 2016, APRESENTO a justificativa da dispensa de chamamento público para a formalização da parceria a ser celebrada com a</w:t>
      </w:r>
      <w:r w:rsidR="00E146FB">
        <w:rPr>
          <w:rFonts w:ascii="Arial" w:hAnsi="Arial" w:cs="Arial"/>
        </w:rPr>
        <w:t xml:space="preserve"> </w:t>
      </w:r>
      <w:r w:rsidRPr="00E146FB">
        <w:rPr>
          <w:rFonts w:ascii="Arial" w:hAnsi="Arial" w:cs="Arial"/>
        </w:rPr>
        <w:t>organização da sociedade civil Instituto de Planejamento e Desenvolvimento Holístico - Vista, inscrita no CPNJ 08.987.830/0001-66, por meio de termo de fomento, com</w:t>
      </w:r>
      <w:r w:rsidR="00E146FB">
        <w:rPr>
          <w:rFonts w:ascii="Arial" w:hAnsi="Arial" w:cs="Arial"/>
        </w:rPr>
        <w:t xml:space="preserve"> </w:t>
      </w:r>
      <w:r w:rsidRPr="00E146FB">
        <w:rPr>
          <w:rFonts w:ascii="Arial" w:hAnsi="Arial" w:cs="Arial"/>
        </w:rPr>
        <w:t>fulcro no art. 29 da Lei Federal 13.019/2014, e no parágrafo único do art. 30 do Decreto Municipal 57.575/2016, tendo como objeto a realização do projeto denominado</w:t>
      </w:r>
      <w:r w:rsidR="00E146FB">
        <w:rPr>
          <w:rFonts w:ascii="Arial" w:hAnsi="Arial" w:cs="Arial"/>
        </w:rPr>
        <w:t xml:space="preserve"> </w:t>
      </w:r>
      <w:r w:rsidRPr="00E146FB">
        <w:rPr>
          <w:rFonts w:ascii="Arial" w:hAnsi="Arial" w:cs="Arial"/>
        </w:rPr>
        <w:t>"Formação Social e Profissional em Gastronomia - Culinária Sabores do Brasil - 2ª Edição/2024", pelo período de 6 (seis) meses, no valor de R$ 200.000,00 (duzentos mil</w:t>
      </w:r>
      <w:r w:rsidR="00E146FB">
        <w:rPr>
          <w:rFonts w:ascii="Arial" w:hAnsi="Arial" w:cs="Arial"/>
        </w:rPr>
        <w:t xml:space="preserve"> </w:t>
      </w:r>
      <w:r w:rsidRPr="00E146FB">
        <w:rPr>
          <w:rFonts w:ascii="Arial" w:hAnsi="Arial" w:cs="Arial"/>
        </w:rPr>
        <w:t>reais), conforme o Plano de Trabalho aprovado sob doc. 103768175. II - Na forma do artigo 32, § 2º, da Lei 13.019/2014 e do Decreto 57.575/2016, admite-se a impugnação</w:t>
      </w:r>
      <w:r w:rsidR="00E146FB">
        <w:rPr>
          <w:rFonts w:ascii="Arial" w:hAnsi="Arial" w:cs="Arial"/>
        </w:rPr>
        <w:t xml:space="preserve"> </w:t>
      </w:r>
      <w:r w:rsidRPr="00E146FB">
        <w:rPr>
          <w:rFonts w:ascii="Arial" w:hAnsi="Arial" w:cs="Arial"/>
        </w:rPr>
        <w:t>à justificativa no prazo de 05 (cinco) dias, contados a partir da publicação deste extrato, a ser apresentada por via eletrônica, em formato digital, devidamente assinada, ao</w:t>
      </w:r>
      <w:r w:rsidR="00E146FB">
        <w:rPr>
          <w:rFonts w:ascii="Arial" w:hAnsi="Arial" w:cs="Arial"/>
        </w:rPr>
        <w:t xml:space="preserve"> </w:t>
      </w:r>
      <w:r w:rsidRPr="00E146FB">
        <w:rPr>
          <w:rFonts w:ascii="Arial" w:hAnsi="Arial" w:cs="Arial"/>
        </w:rPr>
        <w:t>endereço eletrônico comunicacaosmdet@prefeitura.sp.gov.br, até às 23h59min do dia final do prazo.</w:t>
      </w:r>
    </w:p>
    <w:p w14:paraId="24D927D8" w14:textId="77777777" w:rsidR="004A30B6" w:rsidRPr="00E146FB" w:rsidRDefault="004A30B6" w:rsidP="004A30B6">
      <w:pPr>
        <w:jc w:val="both"/>
        <w:rPr>
          <w:rFonts w:ascii="Arial" w:hAnsi="Arial" w:cs="Arial"/>
        </w:rPr>
      </w:pPr>
      <w:r w:rsidRPr="00E146FB">
        <w:rPr>
          <w:rFonts w:ascii="Arial" w:hAnsi="Arial" w:cs="Arial"/>
        </w:rPr>
        <w:t>Anexo I (Número do Documento SEI)</w:t>
      </w:r>
    </w:p>
    <w:p w14:paraId="7E93C743" w14:textId="6F141625" w:rsidR="00E146FB" w:rsidRDefault="004A30B6">
      <w:pPr>
        <w:rPr>
          <w:rFonts w:ascii="Arial" w:hAnsi="Arial" w:cs="Arial"/>
        </w:rPr>
      </w:pPr>
      <w:r w:rsidRPr="00E146FB">
        <w:rPr>
          <w:rFonts w:ascii="Arial" w:hAnsi="Arial" w:cs="Arial"/>
        </w:rPr>
        <w:t>103888760</w:t>
      </w:r>
      <w:r w:rsidRPr="00E146FB">
        <w:rPr>
          <w:rFonts w:ascii="Arial" w:hAnsi="Arial" w:cs="Arial"/>
        </w:rPr>
        <w:cr/>
      </w:r>
      <w:r w:rsidR="00E146FB">
        <w:rPr>
          <w:rFonts w:ascii="Arial" w:hAnsi="Arial" w:cs="Arial"/>
        </w:rPr>
        <w:br w:type="page"/>
      </w:r>
    </w:p>
    <w:p w14:paraId="70A281EC" w14:textId="3B929B33" w:rsidR="004A30B6" w:rsidRDefault="00A359DD" w:rsidP="00A359D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bookmarkStart w:id="2" w:name="_Hlk167365410"/>
      <w:r w:rsidRPr="00A359DD">
        <w:rPr>
          <w:rFonts w:ascii="Arial" w:hAnsi="Arial" w:cs="Arial"/>
          <w:b/>
          <w:bCs/>
          <w:sz w:val="32"/>
          <w:szCs w:val="32"/>
          <w:u w:val="single"/>
        </w:rPr>
        <w:lastRenderedPageBreak/>
        <w:t>AGÊNCIA SÃO PAULO DE DESENVOLVIMENTO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| </w:t>
      </w:r>
      <w:r w:rsidRPr="00A359DD">
        <w:rPr>
          <w:rFonts w:ascii="Arial" w:hAnsi="Arial" w:cs="Arial"/>
          <w:b/>
          <w:bCs/>
          <w:sz w:val="32"/>
          <w:szCs w:val="32"/>
          <w:u w:val="single"/>
        </w:rPr>
        <w:t>GERÊNCIA JURÍDICA</w:t>
      </w:r>
    </w:p>
    <w:bookmarkEnd w:id="2"/>
    <w:p w14:paraId="2483588C" w14:textId="77777777" w:rsidR="00A359DD" w:rsidRPr="00A359DD" w:rsidRDefault="00A359DD" w:rsidP="00A359D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561C782" w14:textId="4E7FFF29" w:rsidR="00A359DD" w:rsidRPr="00A359DD" w:rsidRDefault="00A359DD" w:rsidP="00A359DD">
      <w:pPr>
        <w:jc w:val="both"/>
        <w:rPr>
          <w:rFonts w:ascii="Arial" w:hAnsi="Arial" w:cs="Arial"/>
          <w:b/>
          <w:bCs/>
        </w:rPr>
      </w:pPr>
      <w:r w:rsidRPr="00A359DD">
        <w:rPr>
          <w:rFonts w:ascii="Arial" w:hAnsi="Arial" w:cs="Arial"/>
          <w:b/>
          <w:bCs/>
        </w:rPr>
        <w:t>Documento: 103912623 | extrato</w:t>
      </w:r>
    </w:p>
    <w:p w14:paraId="032FA08F" w14:textId="3B4F8626" w:rsidR="00A359DD" w:rsidRPr="00A359DD" w:rsidRDefault="00A359DD" w:rsidP="00A359DD">
      <w:pPr>
        <w:jc w:val="both"/>
        <w:rPr>
          <w:rFonts w:ascii="Arial" w:hAnsi="Arial" w:cs="Arial"/>
        </w:rPr>
      </w:pPr>
      <w:r w:rsidRPr="00A359DD">
        <w:rPr>
          <w:rFonts w:ascii="Arial" w:hAnsi="Arial" w:cs="Arial"/>
        </w:rPr>
        <w:t>extrato de edital - chamamento público nº 10/2024</w:t>
      </w:r>
    </w:p>
    <w:p w14:paraId="552F2D0B" w14:textId="71EB0BBC" w:rsidR="00A359DD" w:rsidRPr="00A359DD" w:rsidRDefault="00A359DD" w:rsidP="00A359DD">
      <w:pPr>
        <w:jc w:val="both"/>
        <w:rPr>
          <w:rFonts w:ascii="Arial" w:hAnsi="Arial" w:cs="Arial"/>
        </w:rPr>
      </w:pPr>
      <w:r w:rsidRPr="00A359DD">
        <w:rPr>
          <w:rFonts w:ascii="Arial" w:hAnsi="Arial" w:cs="Arial"/>
        </w:rPr>
        <w:t>processo sei! 8710.2024/0000335-0</w:t>
      </w:r>
    </w:p>
    <w:p w14:paraId="7EE7BBC0" w14:textId="38CFEDEA" w:rsidR="00A359DD" w:rsidRPr="00A359DD" w:rsidRDefault="00A359DD" w:rsidP="00A359DD">
      <w:pPr>
        <w:jc w:val="both"/>
        <w:rPr>
          <w:rFonts w:ascii="Arial" w:hAnsi="Arial" w:cs="Arial"/>
        </w:rPr>
      </w:pPr>
      <w:r w:rsidRPr="00A359DD">
        <w:rPr>
          <w:rFonts w:ascii="Arial" w:hAnsi="Arial" w:cs="Arial"/>
        </w:rPr>
        <w:t xml:space="preserve">a agência </w:t>
      </w:r>
      <w:r>
        <w:rPr>
          <w:rFonts w:ascii="Arial" w:hAnsi="Arial" w:cs="Arial"/>
        </w:rPr>
        <w:t>S</w:t>
      </w:r>
      <w:r w:rsidRPr="00A359DD">
        <w:rPr>
          <w:rFonts w:ascii="Arial" w:hAnsi="Arial" w:cs="Arial"/>
        </w:rPr>
        <w:t>ão Paulo de desenvolvimento - ade sampa, por intermédio de seu diretor presidente, no exercício das competências atribuídas pelo estatuto social desta agência, divulga o edital referente ao chamamento público n.º 10/2024, conduzido através do processo sei! n.º 8710.2024/0000335-0. o propósito deste edital é a</w:t>
      </w:r>
      <w:r w:rsidR="00CF1F5A">
        <w:rPr>
          <w:rFonts w:ascii="Arial" w:hAnsi="Arial" w:cs="Arial"/>
        </w:rPr>
        <w:t xml:space="preserve"> </w:t>
      </w:r>
      <w:r w:rsidRPr="00A359DD">
        <w:rPr>
          <w:rFonts w:ascii="Arial" w:hAnsi="Arial" w:cs="Arial"/>
        </w:rPr>
        <w:t xml:space="preserve">selecionados até 50 (cinquenta) interessados para expor, divulgar e/ou comercializar seus produtos no evento </w:t>
      </w:r>
      <w:proofErr w:type="spellStart"/>
      <w:r w:rsidRPr="00A359DD">
        <w:rPr>
          <w:rFonts w:ascii="Arial" w:hAnsi="Arial" w:cs="Arial"/>
        </w:rPr>
        <w:t>gaffff</w:t>
      </w:r>
      <w:proofErr w:type="spellEnd"/>
      <w:r w:rsidRPr="00A359DD">
        <w:rPr>
          <w:rFonts w:ascii="Arial" w:hAnsi="Arial" w:cs="Arial"/>
        </w:rPr>
        <w:t xml:space="preserve"> global agribusiness festival 2024, que acontecerá</w:t>
      </w:r>
      <w:r w:rsidR="00DA77AE">
        <w:rPr>
          <w:rFonts w:ascii="Arial" w:hAnsi="Arial" w:cs="Arial"/>
        </w:rPr>
        <w:t xml:space="preserve"> </w:t>
      </w:r>
      <w:r w:rsidRPr="00A359DD">
        <w:rPr>
          <w:rFonts w:ascii="Arial" w:hAnsi="Arial" w:cs="Arial"/>
        </w:rPr>
        <w:t xml:space="preserve">nos dias 27 e 28 de julho de 2024, no </w:t>
      </w:r>
      <w:proofErr w:type="spellStart"/>
      <w:r w:rsidRPr="00A359DD">
        <w:rPr>
          <w:rFonts w:ascii="Arial" w:hAnsi="Arial" w:cs="Arial"/>
        </w:rPr>
        <w:t>allianz</w:t>
      </w:r>
      <w:proofErr w:type="spellEnd"/>
      <w:r w:rsidRPr="00A359DD">
        <w:rPr>
          <w:rFonts w:ascii="Arial" w:hAnsi="Arial" w:cs="Arial"/>
        </w:rPr>
        <w:t xml:space="preserve"> parque, conforme disposto no respectivo edital. a íntegra do edital, juntamente com seus anexos, estará disponível para</w:t>
      </w:r>
      <w:r w:rsidR="00DA77AE">
        <w:rPr>
          <w:rFonts w:ascii="Arial" w:hAnsi="Arial" w:cs="Arial"/>
        </w:rPr>
        <w:t xml:space="preserve"> </w:t>
      </w:r>
      <w:r w:rsidRPr="00A359DD">
        <w:rPr>
          <w:rFonts w:ascii="Arial" w:hAnsi="Arial" w:cs="Arial"/>
        </w:rPr>
        <w:t>consulta no sítio eletrônico da agência, acessível através do link: https://adesampa.com.br/adeeditais/chamamento/</w:t>
      </w:r>
    </w:p>
    <w:p w14:paraId="41E8D26B" w14:textId="1D866F21" w:rsidR="00A359DD" w:rsidRDefault="00A359DD" w:rsidP="00A359DD">
      <w:pPr>
        <w:jc w:val="both"/>
        <w:rPr>
          <w:rFonts w:ascii="Arial" w:hAnsi="Arial" w:cs="Arial"/>
        </w:rPr>
      </w:pPr>
      <w:r w:rsidRPr="00A359DD">
        <w:rPr>
          <w:rFonts w:ascii="Arial" w:hAnsi="Arial" w:cs="Arial"/>
        </w:rPr>
        <w:t>as inscrições são gratuitas e ocorrerão entre 24 de maio a 04 de junho de 2024 por meio do link: (https://bit.ly/</w:t>
      </w:r>
      <w:proofErr w:type="spellStart"/>
      <w:r w:rsidRPr="00A359DD">
        <w:rPr>
          <w:rFonts w:ascii="Arial" w:hAnsi="Arial" w:cs="Arial"/>
        </w:rPr>
        <w:t>festival_gaffff</w:t>
      </w:r>
      <w:proofErr w:type="spellEnd"/>
      <w:r w:rsidRPr="00A359DD">
        <w:rPr>
          <w:rFonts w:ascii="Arial" w:hAnsi="Arial" w:cs="Arial"/>
        </w:rPr>
        <w:t>). não serão aceitas inscrições feitas por outros meios de comunicação.</w:t>
      </w:r>
      <w:r w:rsidRPr="00A359DD">
        <w:rPr>
          <w:rFonts w:ascii="Arial" w:hAnsi="Arial" w:cs="Arial"/>
        </w:rPr>
        <w:cr/>
      </w:r>
    </w:p>
    <w:p w14:paraId="2BDD509A" w14:textId="776CB541" w:rsidR="00C032EE" w:rsidRDefault="00C032E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3F666B0" w14:textId="485D035C" w:rsidR="00C032EE" w:rsidRPr="00C032EE" w:rsidRDefault="00C032EE" w:rsidP="00C032E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C032EE">
        <w:rPr>
          <w:rFonts w:ascii="Arial" w:hAnsi="Arial" w:cs="Arial"/>
          <w:b/>
          <w:bCs/>
          <w:sz w:val="32"/>
          <w:szCs w:val="32"/>
          <w:u w:val="single"/>
        </w:rPr>
        <w:lastRenderedPageBreak/>
        <w:t>D.O ESTADO DE SÃO PAULO</w:t>
      </w:r>
    </w:p>
    <w:p w14:paraId="637D6158" w14:textId="77777777" w:rsidR="00C032EE" w:rsidRDefault="00C032EE" w:rsidP="00C032EE">
      <w:pPr>
        <w:rPr>
          <w:rFonts w:ascii="Arial" w:hAnsi="Arial" w:cs="Arial"/>
        </w:rPr>
      </w:pPr>
    </w:p>
    <w:p w14:paraId="6D32499E" w14:textId="55F86A18" w:rsidR="00C032EE" w:rsidRPr="00C032EE" w:rsidRDefault="00C032EE" w:rsidP="00C032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C032EE">
        <w:rPr>
          <w:rFonts w:ascii="Arial" w:hAnsi="Arial" w:cs="Arial"/>
          <w:b/>
          <w:bCs/>
        </w:rPr>
        <w:t>ecreto nº 68.538, de 22 de maio de 2024</w:t>
      </w:r>
    </w:p>
    <w:p w14:paraId="2BA64E25" w14:textId="74832560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Institui o Plano São Paulo na Direção Certa, que dispõe sobre diretrizes e ações a serem implementadas para modernização da Administração Pública estadual, expansão do investimento, eficiência do gasto público e redução de despesas correntes, e dá providências correlatas.</w:t>
      </w:r>
      <w:r>
        <w:rPr>
          <w:rFonts w:ascii="Arial" w:hAnsi="Arial" w:cs="Arial"/>
        </w:rPr>
        <w:t xml:space="preserve"> </w:t>
      </w:r>
      <w:r w:rsidRPr="00C032EE">
        <w:rPr>
          <w:rFonts w:ascii="Arial" w:hAnsi="Arial" w:cs="Arial"/>
        </w:rPr>
        <w:t>O GOVERNADOR DO ESTADO DE SÃO PAULO, no uso de suas atribuições legais,</w:t>
      </w:r>
    </w:p>
    <w:p w14:paraId="4493AD35" w14:textId="700FFBDF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 xml:space="preserve">Decreta: </w:t>
      </w:r>
    </w:p>
    <w:p w14:paraId="7068A4C4" w14:textId="77777777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Capítulo I</w:t>
      </w:r>
    </w:p>
    <w:p w14:paraId="45E4E1D7" w14:textId="20B7AED9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Disposições Preliminares</w:t>
      </w:r>
    </w:p>
    <w:p w14:paraId="35D7A1F4" w14:textId="79E7E2D3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Artigo 1º - Fica instituído o Plano São Paulo na Direção Certa, no âmbito do Poder Executivo, a ser implementado pelos órgãos e entidades da Administração Pública direta, das autarquias, das fundações instituídas ou mantidas pelo Poder Público e das empresas estatais dependentes, visando à expansão do investimento, eficiência do gasto público, redução de despesas correntes e modernização da Administração Pública estadual</w:t>
      </w:r>
      <w:r>
        <w:rPr>
          <w:rFonts w:ascii="Arial" w:hAnsi="Arial" w:cs="Arial"/>
        </w:rPr>
        <w:t xml:space="preserve">. </w:t>
      </w:r>
      <w:r w:rsidRPr="00C032EE">
        <w:rPr>
          <w:rFonts w:ascii="Arial" w:hAnsi="Arial" w:cs="Arial"/>
        </w:rPr>
        <w:t>Parágrafo único - O disposto no "caput" deste artigo não se aplica às universidades públicas estaduais.</w:t>
      </w:r>
    </w:p>
    <w:p w14:paraId="69A5A398" w14:textId="4FF5AA05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Artigo 2º - São eixos do Plano de que trata o artigo 1º deste decreto:</w:t>
      </w:r>
    </w:p>
    <w:p w14:paraId="1D69A52C" w14:textId="1E8854EA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I - Expansão de Investimentos;</w:t>
      </w:r>
    </w:p>
    <w:p w14:paraId="00BE4444" w14:textId="6F2E5957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II - Melhoria e Efetividade do Gasto e a Redução de Despesas Correntes;</w:t>
      </w:r>
    </w:p>
    <w:p w14:paraId="32EDDBEF" w14:textId="1EFEE384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III - Modernização da Administração Pública.</w:t>
      </w:r>
    </w:p>
    <w:p w14:paraId="7564B5A6" w14:textId="5853BD1D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 xml:space="preserve">Artigo 3º - Os órgãos e entidades adotarão, em seus respectivos âmbitos de atuação, as providências necessárias à execução e acompanhamento das ações e medidas de que trata este decreto. </w:t>
      </w:r>
      <w:r>
        <w:rPr>
          <w:rFonts w:ascii="Arial" w:hAnsi="Arial" w:cs="Arial"/>
        </w:rPr>
        <w:t xml:space="preserve"> </w:t>
      </w:r>
      <w:r w:rsidRPr="00C032EE">
        <w:rPr>
          <w:rFonts w:ascii="Arial" w:hAnsi="Arial" w:cs="Arial"/>
        </w:rPr>
        <w:t>Parágrafo único - A implementação do Plano de que trata o artigo 1º deste decreto abrangerá ações articuladas com as demais políticas estaduais e poderá envolver celebração de parcerias ou instrumentos jurídicos congêneres com entidades públicas ou privadas, nacionais ou estrangeiras, outros Poderes, esferas e órgãos autônomos, com vistas ao atingimento de melhores níveis de eficiência e qualidade.</w:t>
      </w:r>
    </w:p>
    <w:p w14:paraId="33998509" w14:textId="77777777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Capítulo II</w:t>
      </w:r>
    </w:p>
    <w:p w14:paraId="23917B1F" w14:textId="77777777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Do Conselho Gestor do Plano São Paulo na Direção Certa</w:t>
      </w:r>
    </w:p>
    <w:p w14:paraId="1F2D075D" w14:textId="77777777" w:rsidR="00C032EE" w:rsidRPr="00C032EE" w:rsidRDefault="00C032EE" w:rsidP="00C032EE">
      <w:pPr>
        <w:rPr>
          <w:rFonts w:ascii="Arial" w:hAnsi="Arial" w:cs="Arial"/>
        </w:rPr>
      </w:pPr>
    </w:p>
    <w:p w14:paraId="1D804FFB" w14:textId="77777777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 xml:space="preserve"> </w:t>
      </w:r>
    </w:p>
    <w:p w14:paraId="5E8917D0" w14:textId="77777777" w:rsidR="00C032EE" w:rsidRPr="00C032EE" w:rsidRDefault="00C032EE" w:rsidP="00C032EE">
      <w:pPr>
        <w:rPr>
          <w:rFonts w:ascii="Arial" w:hAnsi="Arial" w:cs="Arial"/>
        </w:rPr>
      </w:pPr>
    </w:p>
    <w:p w14:paraId="074B98EF" w14:textId="1062DDBC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Artigo 4º - Fica instituído o Conselho Gestor do Plano São Paulo na Direção Certa, órgão colegiado de caráter deliberativo, com o objetivo de coordenar e monitorar o cumprimento das disposições de que trata este decreto.</w:t>
      </w:r>
    </w:p>
    <w:p w14:paraId="21C89D4D" w14:textId="3BE13CDB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Artigo 5º - O Conselho Gestor do Plano São Paulo na Direção Certa é composto pelos seguintes membros titulares:</w:t>
      </w:r>
    </w:p>
    <w:p w14:paraId="53B0E111" w14:textId="4AE862F1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I - Secretário-Chefe da Casa Civil, que o presidirá;</w:t>
      </w:r>
    </w:p>
    <w:p w14:paraId="64345D35" w14:textId="50289908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II - Secretário da Fazenda e Planejamento;</w:t>
      </w:r>
    </w:p>
    <w:p w14:paraId="45BBF262" w14:textId="4083ADCF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III - Secretário de Gestão e Governo Digital;</w:t>
      </w:r>
    </w:p>
    <w:p w14:paraId="1B843E28" w14:textId="16AFB93D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IV - Secretário de Desenvolvimento Econômico;</w:t>
      </w:r>
    </w:p>
    <w:p w14:paraId="3617F3D0" w14:textId="6E62273C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V - Procuradora Geral do Estado.</w:t>
      </w:r>
    </w:p>
    <w:p w14:paraId="762127B1" w14:textId="46880CFA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§ 1º - Os membros titulares poderão ser representados, junto ao Conselho Gestor, por seus substitutos.</w:t>
      </w:r>
    </w:p>
    <w:p w14:paraId="28078110" w14:textId="6C66A71D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§ 2º - O Conselho Gestor se reunirá, em caráter ordinário, mensalmente e, em caráter extraordinário, sempre que necessário, desde que convocado, por seu Presidente, com antecedência mínima de 24 (vinte e quatro) horas.</w:t>
      </w:r>
    </w:p>
    <w:p w14:paraId="66652FCB" w14:textId="3925EAA3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§ 3º - O quórum de instalação das reuniões do Conselho Gestor é de maioria simples e o quórum de aprovação é de maioria absoluta.</w:t>
      </w:r>
    </w:p>
    <w:p w14:paraId="10B6FEBC" w14:textId="724E73E5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§ 4º - A participação no Conselho Gestor não será remunerada</w:t>
      </w:r>
    </w:p>
    <w:p w14:paraId="67FB50A8" w14:textId="56805CF8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§ 5º - A Assessoria Técnica para o Plano de Metas da Casa Civil exercerá a Secretaria Executiva do Conselho Gestor.</w:t>
      </w:r>
    </w:p>
    <w:p w14:paraId="2F5219F2" w14:textId="77777777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Capítulo III</w:t>
      </w:r>
    </w:p>
    <w:p w14:paraId="39ABBE6B" w14:textId="343910FB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 xml:space="preserve">Da Expansão de Investimentos </w:t>
      </w:r>
    </w:p>
    <w:p w14:paraId="14A67067" w14:textId="0C4D3053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Artigo 6° - A Expansão de Investimentos dar-se-á por iniciativas de qualificação da infraestrutura, ampliação e contínua melhoria do ambiente de negócios no Estado de São Paulo, garantidas a ampla competitividade, a estabilidade regulatória, a previsibilidade institucional e a segurança jurídica, incluindo, ao menos:</w:t>
      </w:r>
    </w:p>
    <w:p w14:paraId="49FF3F49" w14:textId="08438A0A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I - a reestruturação das agências reguladoras, estabelecendo disciplina normativa de autonomia e independência de gestão e de seus respectivos gestores;</w:t>
      </w:r>
    </w:p>
    <w:p w14:paraId="602BA231" w14:textId="77777777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 xml:space="preserve">II - a efetividade do Plano de Parcerias de Investimentos do Estado de São Paulo - PPI-SP de que trata o Decreto nº 67.443, de 11 de janeiro de 2023. </w:t>
      </w:r>
    </w:p>
    <w:p w14:paraId="04FA275E" w14:textId="77777777" w:rsidR="00C032EE" w:rsidRPr="00C032EE" w:rsidRDefault="00C032EE" w:rsidP="00C032EE">
      <w:pPr>
        <w:rPr>
          <w:rFonts w:ascii="Arial" w:hAnsi="Arial" w:cs="Arial"/>
        </w:rPr>
      </w:pPr>
    </w:p>
    <w:p w14:paraId="1DE0D030" w14:textId="631EBD07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lastRenderedPageBreak/>
        <w:t>III - a apresentação de plano de securitização de recebíveis;</w:t>
      </w:r>
    </w:p>
    <w:p w14:paraId="061E121F" w14:textId="2D46A7CF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IV - a elaboração de estudo de impacto e de viabilidade para ampliação e aprimoramento de programas de conformidade e de transação tributária;</w:t>
      </w:r>
    </w:p>
    <w:p w14:paraId="71E52468" w14:textId="0AA08A1E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V - a alienação de ativos imobiliários.</w:t>
      </w:r>
    </w:p>
    <w:p w14:paraId="276697EA" w14:textId="4BDF532D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§ 1º - Para a reestruturação de que trata o inciso I deste artigo deverá ser apresentado anteprojeto de lei, pela Casa Civil, no prazo de 30 (trinta) dias contados da edição deste decreto.</w:t>
      </w:r>
    </w:p>
    <w:p w14:paraId="6A651506" w14:textId="5186BA9E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§ 2º - Cabe à Secretaria da Fazenda e Planejamento, ouvida a Procuradoria Geral do Estado, a apresentação, ao Conselho Gestor do Plano São Paulo na Direção Certa, dos estudos técnicos e respectivas propostas necessários ao disposto no inciso III e aos programas de conformidade a que alude o inciso IV deste artigo, no prazo de 60 (sessenta) dias contados da publicação deste decreto.</w:t>
      </w:r>
    </w:p>
    <w:p w14:paraId="53055977" w14:textId="38B20E00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§ 3º - A Procuradoria Geral do Estado, ouvida a Secretaria da Fazenda e Planejamento, apresentará, ao Conselho Gestor do Plano São Paulo na Direção Certa, os estudos técnicos e respectivas propostas necessários ao atendimento dos programas de transação tributária a que alude o inciso IV deste artigo, no prazo de 60 (sessenta) dias contados da edição deste decreto.</w:t>
      </w:r>
    </w:p>
    <w:p w14:paraId="0BC67BD6" w14:textId="21CFDE3C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§ 4º - Os estudos técnicos e respectivas propostas disciplinados no inciso IV deste artigo devem abranger:</w:t>
      </w:r>
    </w:p>
    <w:p w14:paraId="2C369A47" w14:textId="3E8D5B2B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1. a identificação de litígios tributários decorrentes de relevante e disseminada controvérsia jurídica, para aplicação do disposto no artigo 16 da Lei nº 17.843, de 7 de novembro de 2023;</w:t>
      </w:r>
    </w:p>
    <w:p w14:paraId="0C0D09AF" w14:textId="5E5FCBCA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2. a ampliação das hipóteses de utilização de créditos acumulados e de ressarcimento do Imposto sobre Circulação de Mercadorias e Serviços de Transporte Intermunicipal e Interestadual e de Comunicação ICMS, inclusive nas hipóteses de Substituição Tributária - ICMS/ ST e de créditos líquidos, certos e exigíveis, próprios ou adquiridos de terceiros, consubstanciados em precatórios decorrentes de decisões judiciais transitadas em julgado e não mais passíveis de medida de defesa ou desconstituição.</w:t>
      </w:r>
    </w:p>
    <w:p w14:paraId="05F4A43B" w14:textId="29A26908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Artigo 7º - Os resultados de programas de conformidade e de transação tributária serão informados, mensalmente, ao Conselho Gestor do Plano São Paulo na Direção Certa.</w:t>
      </w:r>
    </w:p>
    <w:p w14:paraId="154D2FEC" w14:textId="77777777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Capítulo IV</w:t>
      </w:r>
    </w:p>
    <w:p w14:paraId="647ABBFE" w14:textId="73B38274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Da Redução de Despesas Correntes e da Melhoria e Efetividade do Gasto</w:t>
      </w:r>
    </w:p>
    <w:p w14:paraId="538AFC2E" w14:textId="77777777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Seção I</w:t>
      </w:r>
    </w:p>
    <w:p w14:paraId="47EBC010" w14:textId="5289C583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Disposições Gerais</w:t>
      </w:r>
    </w:p>
    <w:p w14:paraId="76009110" w14:textId="0A6B09F6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lastRenderedPageBreak/>
        <w:t>Artigo 8° - A redução de despesas correntes e a melhoria e efetividade do gasto visando à ampliação de investimentos nas áreas essenciais, abrangerá, ao menos:</w:t>
      </w:r>
    </w:p>
    <w:p w14:paraId="797C0FDE" w14:textId="4769CDE7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I - a redução das despesas de custeio e de pessoal;</w:t>
      </w:r>
    </w:p>
    <w:p w14:paraId="04EAC839" w14:textId="410CDED9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II - a avaliação e reformulação de programas;</w:t>
      </w:r>
    </w:p>
    <w:p w14:paraId="02F00B66" w14:textId="25CE130F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 xml:space="preserve">III - a modernização da relação entre Fisco e contribuintes; </w:t>
      </w:r>
    </w:p>
    <w:p w14:paraId="5490E181" w14:textId="3C65302B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IV - a renegociação da Dívida do Estado com a União;</w:t>
      </w:r>
    </w:p>
    <w:p w14:paraId="7B83BC47" w14:textId="10F5AAE7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V - a avaliação de benefícios fiscais.</w:t>
      </w:r>
    </w:p>
    <w:p w14:paraId="78704990" w14:textId="0926819D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Parágrafo único - Cabe à Secretaria da Fazenda e Planejamento a apresentação, ao governador, no prazo de 90 (noventa) dias contados da publicação deste decreto, dos estudos técnicos e respectivas propostas relativos ao disposto nos itens III a V deste artigo.</w:t>
      </w:r>
    </w:p>
    <w:p w14:paraId="06C31373" w14:textId="77777777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Seção II</w:t>
      </w:r>
    </w:p>
    <w:p w14:paraId="6D1F4E88" w14:textId="34778197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Da Redução de Despesas Correntes</w:t>
      </w:r>
    </w:p>
    <w:p w14:paraId="67560786" w14:textId="67B34303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Artigo 9º - Os órgãos e as entidades deverão adotar medidas para redução de despesas correntes.</w:t>
      </w:r>
    </w:p>
    <w:p w14:paraId="3904CAC6" w14:textId="3BAA2C1F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§ 1º - Para a implementação da redução de que trata o “caput” deste artigo, os órgãos e entidades deverão elaborar planos específicos de redução de despesas correntes, para apresentação ao Conselho Gestor do Plano São Paulo na Direção Certa, no prazo de 60 (sessenta) dias a contar da data da publicação deste decreto.</w:t>
      </w:r>
    </w:p>
    <w:p w14:paraId="36B97D6E" w14:textId="5844E77C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§ 2º - As entidades a que alude o §1º deste artigo deverão apresentar seus respectivos planos em conjunto com o respectivo órgão de vinculação.</w:t>
      </w:r>
    </w:p>
    <w:p w14:paraId="7C8E426F" w14:textId="667166EC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Artigo 10 - Para os fins deste decreto, consideram-se despesas correntes:</w:t>
      </w:r>
    </w:p>
    <w:p w14:paraId="6912532C" w14:textId="6769B014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I - prestação de serviços técnicos-especializados</w:t>
      </w:r>
    </w:p>
    <w:p w14:paraId="482B22A2" w14:textId="5C94D850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II - locação de imóveis;</w:t>
      </w:r>
    </w:p>
    <w:p w14:paraId="5BE29862" w14:textId="553B683A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III - compra de material de consumo;</w:t>
      </w:r>
    </w:p>
    <w:p w14:paraId="63C384A2" w14:textId="631A59E0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IV - prestação de serviços de limpeza, vigilância, copa, copeiragem, recepção, manutenção e conservação de bens móveis e imóveis;</w:t>
      </w:r>
    </w:p>
    <w:p w14:paraId="24351225" w14:textId="04F6DA4B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V - locação de veículos;</w:t>
      </w:r>
    </w:p>
    <w:p w14:paraId="34B6BA78" w14:textId="4B3B0502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VI - telefonia fixa e móvel, energia elétrica, água, combustível</w:t>
      </w:r>
    </w:p>
    <w:p w14:paraId="17BEF5C3" w14:textId="323BFB3D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VII - pagamento de horas extras a servidores;</w:t>
      </w:r>
    </w:p>
    <w:p w14:paraId="1C8FD515" w14:textId="42222103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lastRenderedPageBreak/>
        <w:t>VIII - pagamento, por órgão ou entidade, da gratificação de representação de que trata o inciso III do artigo 135 da Lei 10.261, de 28 de outubro de 1968;</w:t>
      </w:r>
    </w:p>
    <w:p w14:paraId="56C13B3B" w14:textId="24E0B35F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IX - serviços de impressão, suprimentos de informática e material de expediente</w:t>
      </w:r>
    </w:p>
    <w:p w14:paraId="78E9080B" w14:textId="5B4DFC28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X - tecnologia da informação;</w:t>
      </w:r>
    </w:p>
    <w:p w14:paraId="0B4F2A48" w14:textId="59CF70A8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XI - aquisição de passagens aéreas e terrestres;</w:t>
      </w:r>
    </w:p>
    <w:p w14:paraId="18EC9573" w14:textId="0621CCFA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XII - fornecimento de mão de obra;</w:t>
      </w:r>
    </w:p>
    <w:p w14:paraId="4CDC232A" w14:textId="59C15488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XIII - pagamento de diárias.</w:t>
      </w:r>
    </w:p>
    <w:p w14:paraId="2822E5FD" w14:textId="5D50EA82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 xml:space="preserve">Parágrafo único - Os contratos de TI relativos à arrecadação de receitas não serão considerados como despesa corrente para fins deste decreto. </w:t>
      </w:r>
    </w:p>
    <w:p w14:paraId="3A6FE75E" w14:textId="3E1E761D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Artigo 11 - Cabe à Casa Civil editar normas complementares necessárias à execução do previsto nesta seção.</w:t>
      </w:r>
    </w:p>
    <w:p w14:paraId="720BE626" w14:textId="77777777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Seção III</w:t>
      </w:r>
    </w:p>
    <w:p w14:paraId="1972B8A1" w14:textId="381B0A94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Do Sistema de Avaliação da Qualidade do Gasto</w:t>
      </w:r>
    </w:p>
    <w:p w14:paraId="62EEBE7D" w14:textId="00719CDF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Artigo 12 - Fica instituído o Sistema de Avaliação da Qualidade do Gasto, com o objetivo de:</w:t>
      </w:r>
    </w:p>
    <w:p w14:paraId="59831F9B" w14:textId="219BC6F8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I - institucionalizar e integrar a atividade de avaliação de políticas públicas nos ciclos de planejamento e orçamento;</w:t>
      </w:r>
    </w:p>
    <w:p w14:paraId="0D90E9B7" w14:textId="02FA6CAA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II - aumentar a eficácia, a eficiência e a efetividade das políticas públicas estaduais</w:t>
      </w:r>
    </w:p>
    <w:p w14:paraId="68167212" w14:textId="5C275AB2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 xml:space="preserve">III - promover o incremento na qualidade do gasto público, mediante realocação de recursos; </w:t>
      </w:r>
    </w:p>
    <w:p w14:paraId="195B2D04" w14:textId="6CCF4D8F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 xml:space="preserve">IV - revisar e avaliar, sob a perspectiva de metas, indicadores e objetivos, os benefícios tributários vigentes; </w:t>
      </w:r>
    </w:p>
    <w:p w14:paraId="34B7A626" w14:textId="67DF5132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V - contribuir com as atividades de criação e reestruturação de programas.</w:t>
      </w:r>
    </w:p>
    <w:p w14:paraId="06575434" w14:textId="7D3ADAE1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Parágrafo único - O Sistema de Avaliação previsto no "caput" deste artigo compreende, no âmbito do Poder Executivo, os seguintes órgãos:</w:t>
      </w:r>
    </w:p>
    <w:p w14:paraId="19F8774B" w14:textId="55EBE345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1. Secretaria da Fazenda e Planejamento, como órgão central;</w:t>
      </w:r>
    </w:p>
    <w:p w14:paraId="6C0524D3" w14:textId="77777777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2. Secretarias de Estado e Procuradoria Geral do Estado, como órgãos setoriais.</w:t>
      </w:r>
    </w:p>
    <w:p w14:paraId="1C62B5C8" w14:textId="77777777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 xml:space="preserve"> </w:t>
      </w:r>
    </w:p>
    <w:p w14:paraId="11E46857" w14:textId="77777777" w:rsidR="00C032EE" w:rsidRPr="00C032EE" w:rsidRDefault="00C032EE" w:rsidP="00C032EE">
      <w:pPr>
        <w:rPr>
          <w:rFonts w:ascii="Arial" w:hAnsi="Arial" w:cs="Arial"/>
        </w:rPr>
      </w:pPr>
    </w:p>
    <w:p w14:paraId="0B83DD92" w14:textId="557ABFE2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lastRenderedPageBreak/>
        <w:t xml:space="preserve">Artigo 13 - A seleção das políticas públicas a serem avaliadas será realizada pela Casa Civil em conjunto com a Secretaria da Fazenda e Planejamento e abrangerá um ou mais dos seguintes critérios: </w:t>
      </w:r>
    </w:p>
    <w:p w14:paraId="60C454D5" w14:textId="61201791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 xml:space="preserve">I - contribuição para política pública ou objetivo do Plano Plurianual; </w:t>
      </w:r>
    </w:p>
    <w:p w14:paraId="39EE61ED" w14:textId="2735070B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 xml:space="preserve">II - relevância na agenda governamental; </w:t>
      </w:r>
    </w:p>
    <w:p w14:paraId="03323109" w14:textId="3D12F12F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III - transversalidade ou arranjo institucional complexo</w:t>
      </w:r>
    </w:p>
    <w:p w14:paraId="239E91B4" w14:textId="1ABB68D9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IV - dotação orçamentária;</w:t>
      </w:r>
    </w:p>
    <w:p w14:paraId="1524FA62" w14:textId="2668B2D5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V - planejamento de sua expansão;</w:t>
      </w:r>
    </w:p>
    <w:p w14:paraId="70D3777F" w14:textId="5E6BA916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VI - quantitativo de atendimentos ou beneficiados</w:t>
      </w:r>
    </w:p>
    <w:p w14:paraId="328E6C6C" w14:textId="6342A2F5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VII - não atingimento de metas previstas no Plano Plurianual;</w:t>
      </w:r>
    </w:p>
    <w:p w14:paraId="68F53ADA" w14:textId="527C3B0D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 xml:space="preserve">VIII - impacto sobre a execução de outros programas. </w:t>
      </w:r>
    </w:p>
    <w:p w14:paraId="7921C9E0" w14:textId="02F23E6A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Artigo 14 - Cabe ao órgão central do Sistema:</w:t>
      </w:r>
    </w:p>
    <w:p w14:paraId="66A532ED" w14:textId="1AE258C9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I - construir a agenda de avaliações das políticas públicas, em conjunto com a Casa Civil;</w:t>
      </w:r>
    </w:p>
    <w:p w14:paraId="059EEED2" w14:textId="37604F94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II - dar publicidade a agenda anual de avaliações</w:t>
      </w:r>
    </w:p>
    <w:p w14:paraId="58EE9B32" w14:textId="31488D6E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III - elaborar os planos de trabalho para a realização das avaliações e validar os produtos delas resultantes;</w:t>
      </w:r>
    </w:p>
    <w:p w14:paraId="17953F8C" w14:textId="47667194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 xml:space="preserve">IV - compatibilizar a disponibilidade de recursos humanos e orçamentário-financeiros, com a necessidade de adequada realização dos estudos e avaliações das políticas públicas selecionadas, oriundas dos diversos os órgãos e entidades;  </w:t>
      </w:r>
    </w:p>
    <w:p w14:paraId="2B5CBC19" w14:textId="40201295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V - compartilhar os relatórios finais das avaliações com órgãos setoriais responsáveis pela execução da política pública avaliada;</w:t>
      </w:r>
    </w:p>
    <w:p w14:paraId="28865B68" w14:textId="2975B379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 xml:space="preserve">VI - propor a reformulação de estratégias e programas governamentais em consonância com os apontamentos das avaliações realizadas, em conjunto com a Casa Civil e com o órgão executor; </w:t>
      </w:r>
    </w:p>
    <w:p w14:paraId="6AC5E098" w14:textId="18B8C748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VII - garantir a operacionalização dos instrumentos jurídicos de cooperação necessários para a execução das avaliações.</w:t>
      </w:r>
    </w:p>
    <w:p w14:paraId="4DD4207D" w14:textId="03C1CE08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 xml:space="preserve">Artigo 15 - Cabe aos órgãos setoriais integrantes do Sistema: </w:t>
      </w:r>
    </w:p>
    <w:p w14:paraId="5DEF2CEE" w14:textId="77777777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 xml:space="preserve">I - participar da elaboração de planos de trabalho de avaliação e discutir as respectivas estratégias; </w:t>
      </w:r>
    </w:p>
    <w:p w14:paraId="3B9B9847" w14:textId="77777777" w:rsidR="00C032EE" w:rsidRPr="00C032EE" w:rsidRDefault="00C032EE" w:rsidP="00C032EE">
      <w:pPr>
        <w:rPr>
          <w:rFonts w:ascii="Arial" w:hAnsi="Arial" w:cs="Arial"/>
        </w:rPr>
      </w:pPr>
    </w:p>
    <w:p w14:paraId="031C7F59" w14:textId="3D09B736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lastRenderedPageBreak/>
        <w:t xml:space="preserve">II - </w:t>
      </w:r>
      <w:proofErr w:type="spellStart"/>
      <w:r w:rsidRPr="00C032EE">
        <w:rPr>
          <w:rFonts w:ascii="Arial" w:hAnsi="Arial" w:cs="Arial"/>
        </w:rPr>
        <w:t>fornecer</w:t>
      </w:r>
      <w:proofErr w:type="spellEnd"/>
      <w:r w:rsidRPr="00C032EE">
        <w:rPr>
          <w:rFonts w:ascii="Arial" w:hAnsi="Arial" w:cs="Arial"/>
        </w:rPr>
        <w:t xml:space="preserve"> informações sobre as políticas públicas, observando os prazos estabelecidos nas etapas das avaliações; </w:t>
      </w:r>
    </w:p>
    <w:p w14:paraId="0C143EA5" w14:textId="38C67633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III - elaborar planos de ação, considerando os resultados das avaliações;</w:t>
      </w:r>
    </w:p>
    <w:p w14:paraId="47D29A8C" w14:textId="03F87C40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 xml:space="preserve">IV - informar, anualmente, à Secretaria da Fazenda e Planejamento, sobre as avaliações realizadas internamente, assim como a perspectiva de contratação futura. </w:t>
      </w:r>
    </w:p>
    <w:p w14:paraId="75BD7FBC" w14:textId="04A543C1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Artigo 16 - A Secretaria da Fazenda e Planejamento disciplinará a implementação do disposto nesta Seção por meio de resolução, podendo celebrar ajustes, contratos, convênios e instrumentos congêneres, nos termos da legislação vigente, com o objetivo de viabilizar recursos e orientar a cooperação intragovernamental necessária à consecução dos objetivos do Sistema.</w:t>
      </w:r>
    </w:p>
    <w:p w14:paraId="4EB036B8" w14:textId="7ACB979B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Artigo 17 - A Controladoria Geral do Estado poderá acompanhar as avaliações, podendo indicar serviços públicos prestados ao cidadão que sejam de interesse para avaliação, em razão de resultado ou achado de auditoria.</w:t>
      </w:r>
    </w:p>
    <w:p w14:paraId="59301911" w14:textId="77777777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Capítulo V</w:t>
      </w:r>
    </w:p>
    <w:p w14:paraId="17EF4FF4" w14:textId="6CDBE27A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Da Modernização Administrativa</w:t>
      </w:r>
    </w:p>
    <w:p w14:paraId="35528B0E" w14:textId="4A8C660B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Artigo 18 - A modernização administrativa dar-se-á pela atualização do modelo de gestão da Administração Pública estadual, incluindo, ao menos:</w:t>
      </w:r>
    </w:p>
    <w:p w14:paraId="286EC000" w14:textId="07339A6D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I - a extinção e a reestruturação de órgãos e entidades;</w:t>
      </w:r>
    </w:p>
    <w:p w14:paraId="1589CF68" w14:textId="61B806B0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II - a revisão de estruturas administrativas;</w:t>
      </w:r>
    </w:p>
    <w:p w14:paraId="4167688F" w14:textId="6BE56587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III - a revisão das políticas de pessoal;</w:t>
      </w:r>
    </w:p>
    <w:p w14:paraId="57FC003A" w14:textId="5A74D2D8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IV - a auditoria e a modernização da folha de pagamento;</w:t>
      </w:r>
    </w:p>
    <w:p w14:paraId="445829F5" w14:textId="4EC98A66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V - a melhoria da regulamentação e dos sistemas de compras públicas e contratos;</w:t>
      </w:r>
    </w:p>
    <w:p w14:paraId="2C11C7E7" w14:textId="24CF5468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VI - a instituição de Central de Compras;</w:t>
      </w:r>
    </w:p>
    <w:p w14:paraId="39572522" w14:textId="40E5DC18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VII - a automação de procedimentos e serviços, em linha com a disciplina instituída pelo Decreto nº 67.799, de 13 de julho de 2023.</w:t>
      </w:r>
    </w:p>
    <w:p w14:paraId="100BAE71" w14:textId="4D39550B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§ 1º - Para a extinção e reestruturação de que trata o inciso I deste artigo deverá ser apresentado anteprojeto de lei, pela Casa Civil, no prazo de 60 (sessenta) dias contados da edição deste decreto.</w:t>
      </w:r>
    </w:p>
    <w:p w14:paraId="3E918B79" w14:textId="2B2D02A5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 xml:space="preserve">§ 2º - Cabe à Secretaria de Gestão e Governo Digital a elaboração dos estudos técnicos e respectivas propostas necessários ao atendimento do disposto nos incisos II a VII deste artigo, submetendo-os ao Conselho Gestor do Plano São </w:t>
      </w:r>
      <w:r w:rsidRPr="00C032EE">
        <w:rPr>
          <w:rFonts w:ascii="Arial" w:hAnsi="Arial" w:cs="Arial"/>
        </w:rPr>
        <w:lastRenderedPageBreak/>
        <w:t>Paulo na Direção Certa, no prazo de 90 (noventa) dias contados da edição deste decreto.</w:t>
      </w:r>
    </w:p>
    <w:p w14:paraId="70A07759" w14:textId="77777777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Capítulo VI</w:t>
      </w:r>
    </w:p>
    <w:p w14:paraId="5359F045" w14:textId="4773C0A6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Disposições finais</w:t>
      </w:r>
    </w:p>
    <w:p w14:paraId="2ECED406" w14:textId="1AFF2DA6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Artigo 19 - As Secretarias poderão apresentar ao Conselho Gestor outras medidas para implementação do Plano São Paulo na Direção Certa.</w:t>
      </w:r>
    </w:p>
    <w:p w14:paraId="7AD547D3" w14:textId="0EC4F133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Artigo 20 - Os prazos previstos neste decreto poderão ser prorrogados uma única vez, mediante justificativa, por decisão do Conselho Gestor do Plano São Paulo na Direção Certa.</w:t>
      </w:r>
    </w:p>
    <w:p w14:paraId="771EC61A" w14:textId="3465F138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 xml:space="preserve">Artigo 21 - O Conselho Gestor do Plano São Paulo na Direção Certa revisará anualmente o Plano, podendo propor novas diretrizes e ações. </w:t>
      </w:r>
    </w:p>
    <w:p w14:paraId="11FB1D05" w14:textId="5C7D8DAB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Parágrafo único - Caso entenda que foi cumprida a finalidade do decreto, o Conselho poderá propor sua revogação.</w:t>
      </w:r>
    </w:p>
    <w:p w14:paraId="12916714" w14:textId="57B0CCA9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Artigo 22 - O inciso IV do Decreto nº 64.065, de 2 de janeiro de 2019, para a vigorar com a seguinte redação:</w:t>
      </w:r>
    </w:p>
    <w:p w14:paraId="7603C8F9" w14:textId="37928E85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"IV - emitir recomendações aos órgãos e entidades estaduais com vistas ao aprimoramento da qualidade das contratações públicas e emprego estratégico do poder de compra do Estado de São Paulo para a geração de externalidades positivas sob os pontos de vista econômico, social e ambiental; (NR)</w:t>
      </w:r>
    </w:p>
    <w:p w14:paraId="0A41E0D6" w14:textId="77777777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 xml:space="preserve">Artigo 23 - Este decreto entra em vigor na data de sua publicação, ficando revogadas as disposições em contrário, em especial os incisos I a III e XII, todos do Decreto nº 64.065, de 2 de janeiro de 2019. </w:t>
      </w:r>
    </w:p>
    <w:p w14:paraId="4880E850" w14:textId="1AD7F31A" w:rsidR="00C032EE" w:rsidRPr="00C032EE" w:rsidRDefault="00C032EE" w:rsidP="00C032EE">
      <w:pPr>
        <w:rPr>
          <w:rFonts w:ascii="Arial" w:hAnsi="Arial" w:cs="Arial"/>
        </w:rPr>
      </w:pPr>
    </w:p>
    <w:p w14:paraId="5285E074" w14:textId="6995EFA7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TARCÍSIO DE FREITAS</w:t>
      </w:r>
    </w:p>
    <w:p w14:paraId="337DFD15" w14:textId="3817D740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 xml:space="preserve">Arthur </w:t>
      </w:r>
      <w:proofErr w:type="spellStart"/>
      <w:r w:rsidRPr="00C032EE">
        <w:rPr>
          <w:rFonts w:ascii="Arial" w:hAnsi="Arial" w:cs="Arial"/>
        </w:rPr>
        <w:t>Luis</w:t>
      </w:r>
      <w:proofErr w:type="spellEnd"/>
      <w:r w:rsidRPr="00C032EE">
        <w:rPr>
          <w:rFonts w:ascii="Arial" w:hAnsi="Arial" w:cs="Arial"/>
        </w:rPr>
        <w:t xml:space="preserve"> Pinho de Lima</w:t>
      </w:r>
    </w:p>
    <w:p w14:paraId="00B740B9" w14:textId="05A97637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Guilherme Piai Silva Filizzola</w:t>
      </w:r>
    </w:p>
    <w:p w14:paraId="137841D2" w14:textId="5128C5CA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Jorge Luiz Lima</w:t>
      </w:r>
    </w:p>
    <w:p w14:paraId="17B6B7B0" w14:textId="2438BDDC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Marilia Marton Correa</w:t>
      </w:r>
    </w:p>
    <w:p w14:paraId="50796836" w14:textId="2FD874D8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Renato Feder</w:t>
      </w:r>
    </w:p>
    <w:p w14:paraId="776C65BB" w14:textId="1E0746BB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 xml:space="preserve">Samuel Yoshiaki Oliveira </w:t>
      </w:r>
      <w:proofErr w:type="spellStart"/>
      <w:r w:rsidRPr="00C032EE">
        <w:rPr>
          <w:rFonts w:ascii="Arial" w:hAnsi="Arial" w:cs="Arial"/>
        </w:rPr>
        <w:t>Kinoshita</w:t>
      </w:r>
      <w:proofErr w:type="spellEnd"/>
    </w:p>
    <w:p w14:paraId="366121D7" w14:textId="1831399F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Marcelo Cardinale Branco</w:t>
      </w:r>
    </w:p>
    <w:p w14:paraId="475BF3E5" w14:textId="77777777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Valéria Muller Ramos Bolsonaro</w:t>
      </w:r>
    </w:p>
    <w:p w14:paraId="2DA87A46" w14:textId="77777777" w:rsidR="00C032EE" w:rsidRPr="00C032EE" w:rsidRDefault="00C032EE" w:rsidP="00C032EE">
      <w:pPr>
        <w:rPr>
          <w:rFonts w:ascii="Arial" w:hAnsi="Arial" w:cs="Arial"/>
        </w:rPr>
      </w:pPr>
    </w:p>
    <w:p w14:paraId="297F7D21" w14:textId="337C3964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lastRenderedPageBreak/>
        <w:t>Fábio Prieto de Souza</w:t>
      </w:r>
    </w:p>
    <w:p w14:paraId="0AD729D2" w14:textId="3EE829EC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 xml:space="preserve">Natália Resende Andrade </w:t>
      </w:r>
      <w:proofErr w:type="spellStart"/>
      <w:r w:rsidRPr="00C032EE">
        <w:rPr>
          <w:rFonts w:ascii="Arial" w:hAnsi="Arial" w:cs="Arial"/>
        </w:rPr>
        <w:t>Ávil</w:t>
      </w:r>
      <w:proofErr w:type="spellEnd"/>
    </w:p>
    <w:p w14:paraId="7EFF3C03" w14:textId="073E0F7B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 xml:space="preserve">Andrezza </w:t>
      </w:r>
      <w:proofErr w:type="spellStart"/>
      <w:r w:rsidRPr="00C032EE">
        <w:rPr>
          <w:rFonts w:ascii="Arial" w:hAnsi="Arial" w:cs="Arial"/>
        </w:rPr>
        <w:t>Rosalém</w:t>
      </w:r>
      <w:proofErr w:type="spellEnd"/>
      <w:r w:rsidRPr="00C032EE">
        <w:rPr>
          <w:rFonts w:ascii="Arial" w:hAnsi="Arial" w:cs="Arial"/>
        </w:rPr>
        <w:t xml:space="preserve"> </w:t>
      </w:r>
      <w:proofErr w:type="spellStart"/>
      <w:r w:rsidRPr="00C032EE">
        <w:rPr>
          <w:rFonts w:ascii="Arial" w:hAnsi="Arial" w:cs="Arial"/>
        </w:rPr>
        <w:t>Vieir</w:t>
      </w:r>
      <w:proofErr w:type="spellEnd"/>
    </w:p>
    <w:p w14:paraId="59E6D929" w14:textId="32FB2B40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 xml:space="preserve">Lais Vita </w:t>
      </w:r>
      <w:proofErr w:type="spellStart"/>
      <w:r w:rsidRPr="00C032EE">
        <w:rPr>
          <w:rFonts w:ascii="Arial" w:hAnsi="Arial" w:cs="Arial"/>
        </w:rPr>
        <w:t>Merces</w:t>
      </w:r>
      <w:proofErr w:type="spellEnd"/>
      <w:r w:rsidRPr="00C032EE">
        <w:rPr>
          <w:rFonts w:ascii="Arial" w:hAnsi="Arial" w:cs="Arial"/>
        </w:rPr>
        <w:t xml:space="preserve"> Souza</w:t>
      </w:r>
    </w:p>
    <w:p w14:paraId="315AA0E3" w14:textId="68B6FACF" w:rsidR="00C032EE" w:rsidRPr="00C032EE" w:rsidRDefault="00C032EE" w:rsidP="00C032EE">
      <w:pPr>
        <w:rPr>
          <w:rFonts w:ascii="Arial" w:hAnsi="Arial" w:cs="Arial"/>
        </w:rPr>
      </w:pPr>
      <w:proofErr w:type="spellStart"/>
      <w:r w:rsidRPr="00C032EE">
        <w:rPr>
          <w:rFonts w:ascii="Arial" w:hAnsi="Arial" w:cs="Arial"/>
        </w:rPr>
        <w:t>Eleuses</w:t>
      </w:r>
      <w:proofErr w:type="spellEnd"/>
      <w:r w:rsidRPr="00C032EE">
        <w:rPr>
          <w:rFonts w:ascii="Arial" w:hAnsi="Arial" w:cs="Arial"/>
        </w:rPr>
        <w:t xml:space="preserve"> Vieira de Paiva</w:t>
      </w:r>
    </w:p>
    <w:p w14:paraId="7874A6D7" w14:textId="33D684DF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 xml:space="preserve">Guilherme Muraro </w:t>
      </w:r>
      <w:proofErr w:type="spellStart"/>
      <w:r w:rsidRPr="00C032EE">
        <w:rPr>
          <w:rFonts w:ascii="Arial" w:hAnsi="Arial" w:cs="Arial"/>
        </w:rPr>
        <w:t>Derrite</w:t>
      </w:r>
      <w:proofErr w:type="spellEnd"/>
    </w:p>
    <w:p w14:paraId="3D1CD4E5" w14:textId="47B41EA0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 xml:space="preserve">Marcello </w:t>
      </w:r>
      <w:proofErr w:type="spellStart"/>
      <w:r w:rsidRPr="00C032EE">
        <w:rPr>
          <w:rFonts w:ascii="Arial" w:hAnsi="Arial" w:cs="Arial"/>
        </w:rPr>
        <w:t>Streifinger</w:t>
      </w:r>
      <w:proofErr w:type="spellEnd"/>
    </w:p>
    <w:p w14:paraId="6B09BF77" w14:textId="6407C221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 xml:space="preserve">Marco </w:t>
      </w:r>
      <w:proofErr w:type="spellStart"/>
      <w:r w:rsidRPr="00C032EE">
        <w:rPr>
          <w:rFonts w:ascii="Arial" w:hAnsi="Arial" w:cs="Arial"/>
        </w:rPr>
        <w:t>Antonio</w:t>
      </w:r>
      <w:proofErr w:type="spellEnd"/>
      <w:r w:rsidRPr="00C032EE">
        <w:rPr>
          <w:rFonts w:ascii="Arial" w:hAnsi="Arial" w:cs="Arial"/>
        </w:rPr>
        <w:t xml:space="preserve"> </w:t>
      </w:r>
      <w:proofErr w:type="spellStart"/>
      <w:r w:rsidRPr="00C032EE">
        <w:rPr>
          <w:rFonts w:ascii="Arial" w:hAnsi="Arial" w:cs="Arial"/>
        </w:rPr>
        <w:t>Assalve</w:t>
      </w:r>
      <w:proofErr w:type="spellEnd"/>
    </w:p>
    <w:p w14:paraId="43F54A63" w14:textId="18AF5C4F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Helena dos Santos Reis</w:t>
      </w:r>
    </w:p>
    <w:p w14:paraId="3AC64DFD" w14:textId="1A7500E4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Roberto Alves de Lucena</w:t>
      </w:r>
    </w:p>
    <w:p w14:paraId="05A79CF6" w14:textId="15AFFB87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Marcos da Costa</w:t>
      </w:r>
    </w:p>
    <w:p w14:paraId="6820957D" w14:textId="1B513593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Lucas Pedreira do Couto Ferraz</w:t>
      </w:r>
    </w:p>
    <w:p w14:paraId="2082C414" w14:textId="1580FF7A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Caio Mario Paes de Andrade</w:t>
      </w:r>
    </w:p>
    <w:p w14:paraId="1540AF50" w14:textId="10D5B235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 xml:space="preserve">Rafael </w:t>
      </w:r>
      <w:proofErr w:type="spellStart"/>
      <w:r w:rsidRPr="00C032EE">
        <w:rPr>
          <w:rFonts w:ascii="Arial" w:hAnsi="Arial" w:cs="Arial"/>
        </w:rPr>
        <w:t>Antonio</w:t>
      </w:r>
      <w:proofErr w:type="spellEnd"/>
      <w:r w:rsidRPr="00C032EE">
        <w:rPr>
          <w:rFonts w:ascii="Arial" w:hAnsi="Arial" w:cs="Arial"/>
        </w:rPr>
        <w:t xml:space="preserve"> </w:t>
      </w:r>
      <w:proofErr w:type="spellStart"/>
      <w:r w:rsidRPr="00C032EE">
        <w:rPr>
          <w:rFonts w:ascii="Arial" w:hAnsi="Arial" w:cs="Arial"/>
        </w:rPr>
        <w:t>Cren</w:t>
      </w:r>
      <w:proofErr w:type="spellEnd"/>
      <w:r w:rsidRPr="00C032EE">
        <w:rPr>
          <w:rFonts w:ascii="Arial" w:hAnsi="Arial" w:cs="Arial"/>
        </w:rPr>
        <w:t xml:space="preserve"> Benini</w:t>
      </w:r>
    </w:p>
    <w:p w14:paraId="22BC6E33" w14:textId="71224848" w:rsidR="00C032EE" w:rsidRPr="00C032EE" w:rsidRDefault="00C032EE" w:rsidP="00C032EE">
      <w:pPr>
        <w:rPr>
          <w:rFonts w:ascii="Arial" w:hAnsi="Arial" w:cs="Arial"/>
        </w:rPr>
      </w:pPr>
      <w:proofErr w:type="spellStart"/>
      <w:r w:rsidRPr="00C032EE">
        <w:rPr>
          <w:rFonts w:ascii="Arial" w:hAnsi="Arial" w:cs="Arial"/>
        </w:rPr>
        <w:t>Vahan</w:t>
      </w:r>
      <w:proofErr w:type="spellEnd"/>
      <w:r w:rsidRPr="00C032EE">
        <w:rPr>
          <w:rFonts w:ascii="Arial" w:hAnsi="Arial" w:cs="Arial"/>
        </w:rPr>
        <w:t xml:space="preserve"> </w:t>
      </w:r>
      <w:proofErr w:type="spellStart"/>
      <w:r w:rsidRPr="00C032EE">
        <w:rPr>
          <w:rFonts w:ascii="Arial" w:hAnsi="Arial" w:cs="Arial"/>
        </w:rPr>
        <w:t>Agopyan</w:t>
      </w:r>
      <w:proofErr w:type="spellEnd"/>
    </w:p>
    <w:p w14:paraId="31DC57E5" w14:textId="77777777" w:rsidR="00C032EE" w:rsidRPr="00C032EE" w:rsidRDefault="00C032EE" w:rsidP="00C032EE">
      <w:pPr>
        <w:rPr>
          <w:rFonts w:ascii="Arial" w:hAnsi="Arial" w:cs="Arial"/>
        </w:rPr>
      </w:pPr>
      <w:r w:rsidRPr="00C032EE">
        <w:rPr>
          <w:rFonts w:ascii="Arial" w:hAnsi="Arial" w:cs="Arial"/>
        </w:rPr>
        <w:t>Gilberto Kassab</w:t>
      </w:r>
    </w:p>
    <w:p w14:paraId="6D24BCF6" w14:textId="77777777" w:rsidR="00C032EE" w:rsidRPr="00C032EE" w:rsidRDefault="00C032EE" w:rsidP="00C032EE">
      <w:pPr>
        <w:rPr>
          <w:rFonts w:ascii="Arial" w:hAnsi="Arial" w:cs="Arial"/>
        </w:rPr>
      </w:pPr>
    </w:p>
    <w:p w14:paraId="20727AC6" w14:textId="77777777" w:rsidR="007F079B" w:rsidRPr="007F079B" w:rsidRDefault="007F079B" w:rsidP="00CF1F5A">
      <w:pPr>
        <w:rPr>
          <w:rFonts w:ascii="Arial" w:hAnsi="Arial" w:cs="Arial"/>
        </w:rPr>
      </w:pPr>
    </w:p>
    <w:sectPr w:rsidR="007F079B" w:rsidRPr="007F07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F9"/>
    <w:rsid w:val="004A30B6"/>
    <w:rsid w:val="007D29F9"/>
    <w:rsid w:val="007F079B"/>
    <w:rsid w:val="0097795D"/>
    <w:rsid w:val="00A20972"/>
    <w:rsid w:val="00A359DD"/>
    <w:rsid w:val="00B4041B"/>
    <w:rsid w:val="00C032EE"/>
    <w:rsid w:val="00CF1F5A"/>
    <w:rsid w:val="00D34E7F"/>
    <w:rsid w:val="00DA77AE"/>
    <w:rsid w:val="00E1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3D158"/>
  <w15:chartTrackingRefBased/>
  <w15:docId w15:val="{FB3EB11A-59E7-4389-9678-0D529B74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D29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D2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29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D29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D29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D29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D29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D29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D29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D2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D2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D29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D29F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D29F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D29F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D29F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D29F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D29F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D29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D2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D29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D2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D2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D29F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D29F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D29F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D2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D29F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D29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7D29F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D29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12</Pages>
  <Words>3061</Words>
  <Characters>16534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2</cp:revision>
  <dcterms:created xsi:type="dcterms:W3CDTF">2024-05-22T19:54:00Z</dcterms:created>
  <dcterms:modified xsi:type="dcterms:W3CDTF">2024-05-23T17:04:00Z</dcterms:modified>
</cp:coreProperties>
</file>