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91B8" w14:textId="12BBF843" w:rsidR="00A60691" w:rsidRDefault="009147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17.02.2023</w:t>
      </w:r>
    </w:p>
    <w:p w14:paraId="283BEBD2" w14:textId="0CEA0836" w:rsidR="0091477B" w:rsidRDefault="0091477B">
      <w:pPr>
        <w:rPr>
          <w:b/>
          <w:bCs/>
          <w:sz w:val="36"/>
          <w:szCs w:val="36"/>
        </w:rPr>
      </w:pPr>
    </w:p>
    <w:p w14:paraId="0949C6CD" w14:textId="77777777" w:rsidR="00B33D44" w:rsidRDefault="00B33D44">
      <w:pPr>
        <w:rPr>
          <w:b/>
          <w:bCs/>
          <w:sz w:val="36"/>
          <w:szCs w:val="36"/>
        </w:rPr>
      </w:pPr>
    </w:p>
    <w:p w14:paraId="351EC4F7" w14:textId="140380E5" w:rsidR="0091477B" w:rsidRDefault="0091477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UNIÃO</w:t>
      </w:r>
    </w:p>
    <w:p w14:paraId="65749C0B" w14:textId="2F83E620" w:rsidR="0091477B" w:rsidRDefault="0091477B">
      <w:pPr>
        <w:rPr>
          <w:b/>
          <w:bCs/>
        </w:rPr>
      </w:pPr>
    </w:p>
    <w:p w14:paraId="72201D22" w14:textId="08EB28DE" w:rsidR="0091477B" w:rsidRDefault="009147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MINISTÉRIO DA JUSTIÇA E SEGURANÇA PÚBLICA</w:t>
      </w:r>
    </w:p>
    <w:p w14:paraId="6197F0D2" w14:textId="77777777" w:rsidR="0091477B" w:rsidRPr="0091477B" w:rsidRDefault="0091477B" w:rsidP="0091477B">
      <w:pPr>
        <w:pStyle w:val="identifica"/>
        <w:shd w:val="clear" w:color="auto" w:fill="FFFFFF"/>
        <w:spacing w:before="450" w:beforeAutospacing="0" w:after="450" w:afterAutospacing="0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1477B">
        <w:rPr>
          <w:rFonts w:asciiTheme="minorHAnsi" w:hAnsiTheme="minorHAnsi" w:cstheme="minorHAnsi"/>
          <w:b/>
          <w:bCs/>
          <w:caps/>
          <w:sz w:val="22"/>
          <w:szCs w:val="22"/>
        </w:rPr>
        <w:t>PORTARIA MJSP Nº 306, DE 16 DE FEVEREIRO DE 2023</w:t>
      </w:r>
    </w:p>
    <w:p w14:paraId="1CFE9CCE" w14:textId="77777777" w:rsidR="0091477B" w:rsidRPr="0091477B" w:rsidRDefault="0091477B" w:rsidP="0091477B">
      <w:pPr>
        <w:pStyle w:val="ementa"/>
        <w:shd w:val="clear" w:color="auto" w:fill="FFFFFF"/>
        <w:spacing w:before="0" w:beforeAutospacing="0" w:after="4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1477B">
        <w:rPr>
          <w:rFonts w:asciiTheme="minorHAnsi" w:hAnsiTheme="minorHAnsi" w:cstheme="minorHAnsi"/>
          <w:sz w:val="22"/>
          <w:szCs w:val="22"/>
        </w:rPr>
        <w:t>Dispõe sobre o Observatório da Violência contra Jornalistas e Comunicadores Sociais e estabelece a sua sistemática de atuação.</w:t>
      </w:r>
    </w:p>
    <w:p w14:paraId="6ED24F9E" w14:textId="77777777" w:rsidR="0091477B" w:rsidRPr="0091477B" w:rsidRDefault="0091477B" w:rsidP="0091477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91477B">
        <w:rPr>
          <w:rFonts w:asciiTheme="minorHAnsi" w:hAnsiTheme="minorHAnsi" w:cstheme="minorHAnsi"/>
          <w:sz w:val="22"/>
          <w:szCs w:val="22"/>
        </w:rPr>
        <w:t xml:space="preserve">O MINISTRO DE ESTADO DA </w:t>
      </w:r>
      <w:proofErr w:type="gramStart"/>
      <w:r w:rsidRPr="0091477B">
        <w:rPr>
          <w:rFonts w:asciiTheme="minorHAnsi" w:hAnsiTheme="minorHAnsi" w:cstheme="minorHAnsi"/>
          <w:sz w:val="22"/>
          <w:szCs w:val="22"/>
        </w:rPr>
        <w:t>JUSTIÇA E SEGURANÇA PÚBLICA</w:t>
      </w:r>
      <w:proofErr w:type="gramEnd"/>
      <w:r w:rsidRPr="0091477B">
        <w:rPr>
          <w:rFonts w:asciiTheme="minorHAnsi" w:hAnsiTheme="minorHAnsi" w:cstheme="minorHAnsi"/>
          <w:sz w:val="22"/>
          <w:szCs w:val="22"/>
        </w:rPr>
        <w:t>, no uso das atribuições que lhe conferem os incisos I e II do parágrafo único do art. 87 da Constituição, e o que consta no Processo Administrativo nº 08015.000082/2023-30, resolve:</w:t>
      </w:r>
    </w:p>
    <w:p w14:paraId="154556DD" w14:textId="77777777" w:rsidR="0091477B" w:rsidRPr="0091477B" w:rsidRDefault="0091477B" w:rsidP="0091477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91477B">
        <w:rPr>
          <w:rFonts w:asciiTheme="minorHAnsi" w:hAnsiTheme="minorHAnsi" w:cstheme="minorHAnsi"/>
          <w:sz w:val="22"/>
          <w:szCs w:val="22"/>
        </w:rPr>
        <w:t>Art. 1º Esta Portaria dispõe sobre o Observatório da Violência contra Jornalistas e Comunicadores Sociais, órgão permanente no âmbito do Ministério da Justiça e Segurança Pública.</w:t>
      </w:r>
    </w:p>
    <w:p w14:paraId="20221682" w14:textId="77777777" w:rsidR="0091477B" w:rsidRPr="0091477B" w:rsidRDefault="0091477B" w:rsidP="0091477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91477B">
        <w:rPr>
          <w:rFonts w:asciiTheme="minorHAnsi" w:hAnsiTheme="minorHAnsi" w:cstheme="minorHAnsi"/>
          <w:sz w:val="22"/>
          <w:szCs w:val="22"/>
        </w:rPr>
        <w:t>Art. 2º Ao Observatório da Violência contra Jornalistas e Comunicadores Sociais compete:</w:t>
      </w:r>
    </w:p>
    <w:p w14:paraId="56C631DF" w14:textId="77777777" w:rsidR="0091477B" w:rsidRPr="0091477B" w:rsidRDefault="0091477B" w:rsidP="0091477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91477B">
        <w:rPr>
          <w:rFonts w:asciiTheme="minorHAnsi" w:hAnsiTheme="minorHAnsi" w:cstheme="minorHAnsi"/>
          <w:sz w:val="22"/>
          <w:szCs w:val="22"/>
        </w:rPr>
        <w:t xml:space="preserve">I - </w:t>
      </w:r>
      <w:proofErr w:type="gramStart"/>
      <w:r w:rsidRPr="0091477B">
        <w:rPr>
          <w:rFonts w:asciiTheme="minorHAnsi" w:hAnsiTheme="minorHAnsi" w:cstheme="minorHAnsi"/>
          <w:sz w:val="22"/>
          <w:szCs w:val="22"/>
        </w:rPr>
        <w:t>monitorar</w:t>
      </w:r>
      <w:proofErr w:type="gramEnd"/>
      <w:r w:rsidRPr="0091477B">
        <w:rPr>
          <w:rFonts w:asciiTheme="minorHAnsi" w:hAnsiTheme="minorHAnsi" w:cstheme="minorHAnsi"/>
          <w:sz w:val="22"/>
          <w:szCs w:val="22"/>
        </w:rPr>
        <w:t xml:space="preserve"> casos relacionados a condutas violentas contra jornalistas e comunicadores sociais;</w:t>
      </w:r>
    </w:p>
    <w:p w14:paraId="0C741E24" w14:textId="77777777" w:rsidR="0091477B" w:rsidRPr="0091477B" w:rsidRDefault="0091477B" w:rsidP="0091477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91477B">
        <w:rPr>
          <w:rFonts w:asciiTheme="minorHAnsi" w:hAnsiTheme="minorHAnsi" w:cstheme="minorHAnsi"/>
          <w:sz w:val="22"/>
          <w:szCs w:val="22"/>
        </w:rPr>
        <w:t xml:space="preserve">II - </w:t>
      </w:r>
      <w:proofErr w:type="gramStart"/>
      <w:r w:rsidRPr="0091477B">
        <w:rPr>
          <w:rFonts w:asciiTheme="minorHAnsi" w:hAnsiTheme="minorHAnsi" w:cstheme="minorHAnsi"/>
          <w:sz w:val="22"/>
          <w:szCs w:val="22"/>
        </w:rPr>
        <w:t>apoiar</w:t>
      </w:r>
      <w:proofErr w:type="gramEnd"/>
      <w:r w:rsidRPr="0091477B">
        <w:rPr>
          <w:rFonts w:asciiTheme="minorHAnsi" w:hAnsiTheme="minorHAnsi" w:cstheme="minorHAnsi"/>
          <w:sz w:val="22"/>
          <w:szCs w:val="22"/>
        </w:rPr>
        <w:t xml:space="preserve"> às investigações nas hipóteses previstas no inciso I deste artigo;</w:t>
      </w:r>
    </w:p>
    <w:p w14:paraId="5DB514A8" w14:textId="77777777" w:rsidR="0091477B" w:rsidRPr="0091477B" w:rsidRDefault="0091477B" w:rsidP="0091477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91477B">
        <w:rPr>
          <w:rFonts w:asciiTheme="minorHAnsi" w:hAnsiTheme="minorHAnsi" w:cstheme="minorHAnsi"/>
          <w:sz w:val="22"/>
          <w:szCs w:val="22"/>
        </w:rPr>
        <w:t>III - criar e manter banco de dados com indicadores sobre atos de violência contra jornalistas e comunicadores sociais; e</w:t>
      </w:r>
    </w:p>
    <w:p w14:paraId="06E6591C" w14:textId="77777777" w:rsidR="0091477B" w:rsidRPr="0091477B" w:rsidRDefault="0091477B" w:rsidP="0091477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91477B">
        <w:rPr>
          <w:rFonts w:asciiTheme="minorHAnsi" w:hAnsiTheme="minorHAnsi" w:cstheme="minorHAnsi"/>
          <w:sz w:val="22"/>
          <w:szCs w:val="22"/>
        </w:rPr>
        <w:t xml:space="preserve">IV - </w:t>
      </w:r>
      <w:proofErr w:type="gramStart"/>
      <w:r w:rsidRPr="0091477B">
        <w:rPr>
          <w:rFonts w:asciiTheme="minorHAnsi" w:hAnsiTheme="minorHAnsi" w:cstheme="minorHAnsi"/>
          <w:sz w:val="22"/>
          <w:szCs w:val="22"/>
        </w:rPr>
        <w:t>sugerir</w:t>
      </w:r>
      <w:proofErr w:type="gramEnd"/>
      <w:r w:rsidRPr="0091477B">
        <w:rPr>
          <w:rFonts w:asciiTheme="minorHAnsi" w:hAnsiTheme="minorHAnsi" w:cstheme="minorHAnsi"/>
          <w:sz w:val="22"/>
          <w:szCs w:val="22"/>
        </w:rPr>
        <w:t xml:space="preserve"> a adoção de políticas públicas voltadas à garantia do pleno gozo das funções dos jornalistas e comunicadores sociais, em articulação com as demais áreas competentes.</w:t>
      </w:r>
    </w:p>
    <w:p w14:paraId="4DF5461C" w14:textId="77777777" w:rsidR="0091477B" w:rsidRPr="0091477B" w:rsidRDefault="0091477B" w:rsidP="0091477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91477B">
        <w:rPr>
          <w:rFonts w:asciiTheme="minorHAnsi" w:hAnsiTheme="minorHAnsi" w:cstheme="minorHAnsi"/>
          <w:sz w:val="22"/>
          <w:szCs w:val="22"/>
        </w:rPr>
        <w:t xml:space="preserve">Art. 3º Compete à Secretaria Nacional de Justiça - </w:t>
      </w:r>
      <w:proofErr w:type="spellStart"/>
      <w:r w:rsidRPr="0091477B">
        <w:rPr>
          <w:rFonts w:asciiTheme="minorHAnsi" w:hAnsiTheme="minorHAnsi" w:cstheme="minorHAnsi"/>
          <w:sz w:val="22"/>
          <w:szCs w:val="22"/>
        </w:rPr>
        <w:t>Senajus</w:t>
      </w:r>
      <w:proofErr w:type="spellEnd"/>
      <w:r w:rsidRPr="0091477B">
        <w:rPr>
          <w:rFonts w:asciiTheme="minorHAnsi" w:hAnsiTheme="minorHAnsi" w:cstheme="minorHAnsi"/>
          <w:sz w:val="22"/>
          <w:szCs w:val="22"/>
        </w:rPr>
        <w:t>:</w:t>
      </w:r>
    </w:p>
    <w:p w14:paraId="558F9030" w14:textId="77777777" w:rsidR="0091477B" w:rsidRPr="0091477B" w:rsidRDefault="0091477B" w:rsidP="0091477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91477B">
        <w:rPr>
          <w:rFonts w:asciiTheme="minorHAnsi" w:hAnsiTheme="minorHAnsi" w:cstheme="minorHAnsi"/>
          <w:sz w:val="22"/>
          <w:szCs w:val="22"/>
        </w:rPr>
        <w:t xml:space="preserve">I - </w:t>
      </w:r>
      <w:proofErr w:type="gramStart"/>
      <w:r w:rsidRPr="0091477B">
        <w:rPr>
          <w:rFonts w:asciiTheme="minorHAnsi" w:hAnsiTheme="minorHAnsi" w:cstheme="minorHAnsi"/>
          <w:sz w:val="22"/>
          <w:szCs w:val="22"/>
        </w:rPr>
        <w:t>coordenar</w:t>
      </w:r>
      <w:proofErr w:type="gramEnd"/>
      <w:r w:rsidRPr="0091477B">
        <w:rPr>
          <w:rFonts w:asciiTheme="minorHAnsi" w:hAnsiTheme="minorHAnsi" w:cstheme="minorHAnsi"/>
          <w:sz w:val="22"/>
          <w:szCs w:val="22"/>
        </w:rPr>
        <w:t xml:space="preserve"> o Observatório; e</w:t>
      </w:r>
    </w:p>
    <w:p w14:paraId="7F9B707A" w14:textId="77777777" w:rsidR="0091477B" w:rsidRPr="0091477B" w:rsidRDefault="0091477B" w:rsidP="0091477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91477B">
        <w:rPr>
          <w:rFonts w:asciiTheme="minorHAnsi" w:hAnsiTheme="minorHAnsi" w:cstheme="minorHAnsi"/>
          <w:sz w:val="22"/>
          <w:szCs w:val="22"/>
        </w:rPr>
        <w:t xml:space="preserve">II - </w:t>
      </w:r>
      <w:proofErr w:type="gramStart"/>
      <w:r w:rsidRPr="0091477B">
        <w:rPr>
          <w:rFonts w:asciiTheme="minorHAnsi" w:hAnsiTheme="minorHAnsi" w:cstheme="minorHAnsi"/>
          <w:sz w:val="22"/>
          <w:szCs w:val="22"/>
        </w:rPr>
        <w:t>editar</w:t>
      </w:r>
      <w:proofErr w:type="gramEnd"/>
      <w:r w:rsidRPr="0091477B">
        <w:rPr>
          <w:rFonts w:asciiTheme="minorHAnsi" w:hAnsiTheme="minorHAnsi" w:cstheme="minorHAnsi"/>
          <w:sz w:val="22"/>
          <w:szCs w:val="22"/>
        </w:rPr>
        <w:t xml:space="preserve"> ato que discipline a composição, o funcionamento e os demais aspectos relacionados às atividades do Observatório.</w:t>
      </w:r>
    </w:p>
    <w:p w14:paraId="0936FFDF" w14:textId="77777777" w:rsidR="0091477B" w:rsidRPr="0091477B" w:rsidRDefault="0091477B" w:rsidP="0091477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91477B">
        <w:rPr>
          <w:rFonts w:asciiTheme="minorHAnsi" w:hAnsiTheme="minorHAnsi" w:cstheme="minorHAnsi"/>
          <w:sz w:val="22"/>
          <w:szCs w:val="22"/>
        </w:rPr>
        <w:t xml:space="preserve">Art. 4º Será instrumento determinante do Observatório a instalação de audiências públicas e reuniões abertas com representantes de Organizações Não Governamentais - </w:t>
      </w:r>
      <w:proofErr w:type="spellStart"/>
      <w:r w:rsidRPr="0091477B">
        <w:rPr>
          <w:rFonts w:asciiTheme="minorHAnsi" w:hAnsiTheme="minorHAnsi" w:cstheme="minorHAnsi"/>
          <w:sz w:val="22"/>
          <w:szCs w:val="22"/>
        </w:rPr>
        <w:t>ONG´s</w:t>
      </w:r>
      <w:proofErr w:type="spellEnd"/>
      <w:r w:rsidRPr="0091477B">
        <w:rPr>
          <w:rFonts w:asciiTheme="minorHAnsi" w:hAnsiTheme="minorHAnsi" w:cstheme="minorHAnsi"/>
          <w:sz w:val="22"/>
          <w:szCs w:val="22"/>
        </w:rPr>
        <w:t xml:space="preserve"> e de Organizações da Sociedade Civil - </w:t>
      </w:r>
      <w:proofErr w:type="spellStart"/>
      <w:r w:rsidRPr="0091477B">
        <w:rPr>
          <w:rFonts w:asciiTheme="minorHAnsi" w:hAnsiTheme="minorHAnsi" w:cstheme="minorHAnsi"/>
          <w:sz w:val="22"/>
          <w:szCs w:val="22"/>
        </w:rPr>
        <w:t>Oscips</w:t>
      </w:r>
      <w:proofErr w:type="spellEnd"/>
      <w:r w:rsidRPr="0091477B">
        <w:rPr>
          <w:rFonts w:asciiTheme="minorHAnsi" w:hAnsiTheme="minorHAnsi" w:cstheme="minorHAnsi"/>
          <w:sz w:val="22"/>
          <w:szCs w:val="22"/>
        </w:rPr>
        <w:t>, de forma a garantir a participação cidadã.</w:t>
      </w:r>
    </w:p>
    <w:p w14:paraId="1E02B1C1" w14:textId="77777777" w:rsidR="0091477B" w:rsidRPr="0091477B" w:rsidRDefault="0091477B" w:rsidP="0091477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91477B">
        <w:rPr>
          <w:rFonts w:asciiTheme="minorHAnsi" w:hAnsiTheme="minorHAnsi" w:cstheme="minorHAnsi"/>
          <w:sz w:val="22"/>
          <w:szCs w:val="22"/>
        </w:rPr>
        <w:lastRenderedPageBreak/>
        <w:t>Art. 5º A participação no Observatório não ensejará qualquer remuneração para os seus membros e os trabalhos nele desenvolvidos serão considerados prestação de relevante serviço público.</w:t>
      </w:r>
    </w:p>
    <w:p w14:paraId="23C91E12" w14:textId="77777777" w:rsidR="0091477B" w:rsidRDefault="0091477B" w:rsidP="0091477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91477B">
        <w:rPr>
          <w:rFonts w:asciiTheme="minorHAnsi" w:hAnsiTheme="minorHAnsi" w:cstheme="minorHAnsi"/>
          <w:sz w:val="22"/>
          <w:szCs w:val="22"/>
        </w:rPr>
        <w:t>Art. 6º Esta Portaria entra em vigor uma semana a partir da data de sua publicação.</w:t>
      </w:r>
    </w:p>
    <w:p w14:paraId="2DE992B8" w14:textId="4BD7903C" w:rsidR="00B33D44" w:rsidRPr="00B33D44" w:rsidRDefault="0091477B" w:rsidP="00B33D44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1477B">
        <w:rPr>
          <w:rFonts w:asciiTheme="minorHAnsi" w:hAnsiTheme="minorHAnsi" w:cstheme="minorHAnsi"/>
          <w:b/>
          <w:bCs/>
          <w:caps/>
          <w:sz w:val="22"/>
          <w:szCs w:val="22"/>
        </w:rPr>
        <w:t>FLÁVIO DINO</w:t>
      </w:r>
    </w:p>
    <w:sectPr w:rsidR="00B33D44" w:rsidRPr="00B33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7B"/>
    <w:rsid w:val="0014477D"/>
    <w:rsid w:val="004C2946"/>
    <w:rsid w:val="00556B2C"/>
    <w:rsid w:val="0091477B"/>
    <w:rsid w:val="00A60691"/>
    <w:rsid w:val="00B3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32CF"/>
  <w15:chartTrackingRefBased/>
  <w15:docId w15:val="{304A7A40-93B0-40D5-80F0-F03853C9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ementa">
    <w:name w:val="ement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ou-paragraph">
    <w:name w:val="dou-paragraph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1</cp:revision>
  <dcterms:created xsi:type="dcterms:W3CDTF">2023-02-17T15:24:00Z</dcterms:created>
  <dcterms:modified xsi:type="dcterms:W3CDTF">2023-02-17T15:39:00Z</dcterms:modified>
</cp:coreProperties>
</file>