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95" w:rsidRDefault="00180295">
      <w:pPr>
        <w:pStyle w:val="LO-normal"/>
        <w:rPr>
          <w:rFonts w:ascii="Arial" w:eastAsia="Arial" w:hAnsi="Arial" w:cs="Arial"/>
        </w:rPr>
      </w:pPr>
    </w:p>
    <w:p w:rsidR="00180295" w:rsidRDefault="00180295">
      <w:pPr>
        <w:pStyle w:val="LO-normal"/>
        <w:rPr>
          <w:rFonts w:ascii="Arial" w:eastAsia="Arial" w:hAnsi="Arial" w:cs="Arial"/>
        </w:rPr>
      </w:pPr>
    </w:p>
    <w:p w:rsidR="00180295" w:rsidRDefault="00180295">
      <w:pPr>
        <w:pStyle w:val="LO-normal"/>
        <w:rPr>
          <w:rFonts w:ascii="Arial" w:eastAsia="Arial" w:hAnsi="Arial" w:cs="Arial"/>
          <w:b/>
        </w:rPr>
      </w:pPr>
    </w:p>
    <w:p w:rsidR="00180295" w:rsidRDefault="00B922B7">
      <w:pPr>
        <w:pStyle w:val="LO-normal"/>
        <w:jc w:val="right"/>
      </w:pPr>
      <w:r>
        <w:rPr>
          <w:rFonts w:ascii="Arial" w:eastAsia="Arial" w:hAnsi="Arial" w:cs="Arial"/>
        </w:rPr>
        <w:t>São Paulo, 26 de outubro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202</w:t>
      </w:r>
      <w:r>
        <w:rPr>
          <w:rFonts w:ascii="Arial" w:eastAsia="Arial" w:hAnsi="Arial" w:cs="Arial"/>
        </w:rPr>
        <w:t>3</w:t>
      </w:r>
    </w:p>
    <w:p w:rsidR="00180295" w:rsidRDefault="00B922B7">
      <w:pPr>
        <w:pStyle w:val="LO-normal"/>
        <w:spacing w:before="240" w:after="240" w:line="276" w:lineRule="auto"/>
      </w:pPr>
      <w:r>
        <w:rPr>
          <w:rFonts w:ascii="Arial" w:eastAsia="Arial" w:hAnsi="Arial" w:cs="Arial"/>
          <w:b/>
          <w:sz w:val="22"/>
          <w:szCs w:val="22"/>
        </w:rPr>
        <w:t>ATA 10ª REUNIÃO ORDINÁRIA 2023</w:t>
      </w:r>
    </w:p>
    <w:p w:rsidR="00180295" w:rsidRDefault="00B922B7">
      <w:pPr>
        <w:pStyle w:val="LO-normal"/>
        <w:spacing w:before="240" w:after="240" w:line="276" w:lineRule="auto"/>
      </w:pPr>
      <w:r>
        <w:rPr>
          <w:rFonts w:ascii="Arial" w:eastAsia="Arial" w:hAnsi="Arial" w:cs="Arial"/>
          <w:sz w:val="22"/>
          <w:szCs w:val="22"/>
        </w:rPr>
        <w:t>Data: 26/10/2023</w:t>
      </w:r>
    </w:p>
    <w:p w:rsidR="00180295" w:rsidRDefault="00B922B7">
      <w:pPr>
        <w:pStyle w:val="LO-normal"/>
        <w:spacing w:before="240" w:after="240" w:line="276" w:lineRule="auto"/>
      </w:pPr>
      <w:r>
        <w:rPr>
          <w:rFonts w:ascii="Arial" w:eastAsia="Arial" w:hAnsi="Arial" w:cs="Arial"/>
          <w:sz w:val="22"/>
          <w:szCs w:val="22"/>
        </w:rPr>
        <w:t>Local: Reunião online via aplicativo Teams</w:t>
      </w:r>
    </w:p>
    <w:p w:rsidR="00180295" w:rsidRDefault="00B922B7">
      <w:pPr>
        <w:pStyle w:val="LO-normal"/>
        <w:spacing w:before="240" w:after="240" w:line="276" w:lineRule="auto"/>
      </w:pPr>
      <w:r>
        <w:rPr>
          <w:rFonts w:ascii="Arial" w:eastAsia="Arial" w:hAnsi="Arial" w:cs="Arial"/>
          <w:sz w:val="22"/>
          <w:szCs w:val="22"/>
        </w:rPr>
        <w:t>Horário: 19h às 21h</w:t>
      </w:r>
    </w:p>
    <w:p w:rsidR="00180295" w:rsidRDefault="00B922B7">
      <w:pPr>
        <w:pStyle w:val="LO-normal"/>
        <w:spacing w:before="240" w:after="240" w:line="276" w:lineRule="auto"/>
      </w:pPr>
      <w:r>
        <w:rPr>
          <w:rFonts w:ascii="Arial" w:eastAsia="Arial" w:hAnsi="Arial" w:cs="Arial"/>
          <w:sz w:val="22"/>
          <w:szCs w:val="22"/>
        </w:rPr>
        <w:t>Gravação disponível em: https://www.youtube.com/watch?v=2MHsDdyqoqE</w:t>
      </w:r>
    </w:p>
    <w:p w:rsidR="00180295" w:rsidRDefault="00180295">
      <w:pPr>
        <w:pStyle w:val="LO-normal"/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180295" w:rsidRDefault="00B922B7">
      <w:pPr>
        <w:pStyle w:val="LO-normal"/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Participantes</w:t>
      </w:r>
    </w:p>
    <w:p w:rsidR="00180295" w:rsidRDefault="00180295">
      <w:pPr>
        <w:pStyle w:val="LO-normal"/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</w:p>
    <w:p w:rsidR="00180295" w:rsidRDefault="00B922B7">
      <w:pPr>
        <w:pStyle w:val="LO-normal"/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Conselheiros/as</w:t>
      </w:r>
    </w:p>
    <w:p w:rsidR="00180295" w:rsidRDefault="00B922B7">
      <w:pPr>
        <w:pStyle w:val="LO-normal"/>
        <w:spacing w:before="240" w:after="240" w:line="276" w:lineRule="auto"/>
        <w:ind w:firstLine="720"/>
      </w:pPr>
      <w:r>
        <w:rPr>
          <w:rFonts w:ascii="Arial" w:eastAsia="Arial" w:hAnsi="Arial" w:cs="Arial"/>
          <w:sz w:val="22"/>
          <w:szCs w:val="22"/>
        </w:rPr>
        <w:t>Adriana Bicudo; Christian Person; Fernando Gomes; Kareen Terenzzo; Michel Vale; Neiva Otero; Nelson Souza (secretário); Og Dória (coordenador); Ricardo Carneiro; Vitor Veloso.</w:t>
      </w:r>
    </w:p>
    <w:p w:rsidR="00180295" w:rsidRDefault="00B922B7">
      <w:pPr>
        <w:pStyle w:val="LO-normal"/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Autoridades</w:t>
      </w:r>
    </w:p>
    <w:p w:rsidR="00180295" w:rsidRDefault="00B922B7">
      <w:pPr>
        <w:pStyle w:val="LO-normal"/>
        <w:spacing w:after="240" w:line="276" w:lineRule="auto"/>
      </w:pPr>
      <w:r>
        <w:rPr>
          <w:rFonts w:ascii="Arial" w:eastAsia="Arial" w:hAnsi="Arial" w:cs="Arial"/>
          <w:sz w:val="22"/>
          <w:szCs w:val="22"/>
        </w:rPr>
        <w:tab/>
        <w:t>Allan Cortez, coordenador de Finanças – Subprefeitura Pinheiros; Cl</w:t>
      </w:r>
      <w:r>
        <w:rPr>
          <w:rFonts w:ascii="Arial" w:eastAsia="Arial" w:hAnsi="Arial" w:cs="Arial"/>
          <w:sz w:val="22"/>
          <w:szCs w:val="22"/>
        </w:rPr>
        <w:t>áudio Araújo, supervisor da Área Técnica e Manutenção – Subprefeitura Pinheiros; Luis Fernando Guillon, coordenador de Governo Local – Subprefeitura Pinheiros.</w:t>
      </w:r>
    </w:p>
    <w:p w:rsidR="00180295" w:rsidRDefault="00B922B7">
      <w:pPr>
        <w:pStyle w:val="LO-normal"/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Munícipes</w:t>
      </w:r>
    </w:p>
    <w:p w:rsidR="00180295" w:rsidRDefault="00B922B7">
      <w:pPr>
        <w:pStyle w:val="LO-normal"/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Felipe Righetti; Guida Amaral; Hugo Alabi; Jaelson Trindade; Marcos Bicudo.</w:t>
      </w:r>
    </w:p>
    <w:p w:rsidR="00180295" w:rsidRDefault="00B922B7">
      <w:pPr>
        <w:pStyle w:val="LO-normal"/>
        <w:spacing w:before="240" w:after="240" w:line="276" w:lineRule="auto"/>
      </w:pPr>
      <w:r>
        <w:rPr>
          <w:rFonts w:ascii="Arial" w:eastAsia="Arial" w:hAnsi="Arial" w:cs="Arial"/>
          <w:b/>
          <w:sz w:val="22"/>
          <w:szCs w:val="22"/>
        </w:rPr>
        <w:t>Conselhei</w:t>
      </w:r>
      <w:r>
        <w:rPr>
          <w:rFonts w:ascii="Arial" w:eastAsia="Arial" w:hAnsi="Arial" w:cs="Arial"/>
          <w:b/>
          <w:sz w:val="22"/>
          <w:szCs w:val="22"/>
        </w:rPr>
        <w:t>ros ausentes</w:t>
      </w:r>
    </w:p>
    <w:p w:rsidR="00180295" w:rsidRDefault="00B922B7">
      <w:pPr>
        <w:pStyle w:val="LO-normal"/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Fabiano Sannino; Laurita Salles (justificada); Veronica Bilyk (justificada).</w:t>
      </w:r>
    </w:p>
    <w:p w:rsidR="00180295" w:rsidRDefault="00180295">
      <w:pPr>
        <w:pStyle w:val="LO-normal"/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180295" w:rsidRDefault="00B922B7">
      <w:pPr>
        <w:pStyle w:val="LO-normal"/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Pauta</w:t>
      </w:r>
    </w:p>
    <w:p w:rsidR="00180295" w:rsidRDefault="00B922B7">
      <w:pPr>
        <w:pStyle w:val="LO-normal"/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Boas vindas e abertura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Coordenador Og relata que participou da posse dos Conselheiros do Conselho Municipal de Política Urbana – CPMU e que, representando a comissão eleitoral, realizou discurso em que destacou a importância de se democratizar o debate sobre política urbana, em </w:t>
      </w:r>
      <w:r>
        <w:rPr>
          <w:rFonts w:ascii="Arial" w:eastAsia="Arial" w:hAnsi="Arial" w:cs="Arial"/>
          <w:sz w:val="22"/>
          <w:szCs w:val="22"/>
        </w:rPr>
        <w:t xml:space="preserve">especial sobre </w:t>
      </w: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B922B7">
      <w:pPr>
        <w:pStyle w:val="LO-normal"/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PDE e zoneamento, e a realização dos planos de bairro. Acrescentou que na mesma ocasião foi pleiteada e conquistada uma vaga por CPM nos cursos de formação do CMPU. Em seguida, deu prosseguimento com a pauta.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180295" w:rsidRDefault="00B922B7">
      <w:pPr>
        <w:pStyle w:val="LO-normal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Devolutiva status da </w:t>
      </w:r>
      <w:r>
        <w:rPr>
          <w:rFonts w:ascii="Arial" w:eastAsia="Arial" w:hAnsi="Arial" w:cs="Arial"/>
          <w:sz w:val="22"/>
          <w:szCs w:val="22"/>
        </w:rPr>
        <w:t>obra R$ 6 milhões / galeria na rua Guararapes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Guillon informa que o projeto ganhou um corpo maior, com orçamento total de R$ 21 milhões, e que havia sido aprovado neste dia na SIURB (Secretaria Municipal de Infraestrutura Urbana e Obras). Os R</w:t>
      </w:r>
      <w:r>
        <w:rPr>
          <w:rFonts w:ascii="Arial" w:eastAsia="Arial" w:hAnsi="Arial" w:cs="Arial"/>
          <w:sz w:val="22"/>
          <w:szCs w:val="22"/>
        </w:rPr>
        <w:t>$15</w:t>
      </w:r>
      <w:r>
        <w:rPr>
          <w:rFonts w:ascii="Arial" w:eastAsia="Arial" w:hAnsi="Arial" w:cs="Arial"/>
          <w:sz w:val="22"/>
          <w:szCs w:val="22"/>
        </w:rPr>
        <w:t xml:space="preserve"> milhões </w:t>
      </w:r>
      <w:r>
        <w:rPr>
          <w:rFonts w:ascii="Arial" w:eastAsia="Arial" w:hAnsi="Arial" w:cs="Arial"/>
          <w:sz w:val="22"/>
          <w:szCs w:val="22"/>
        </w:rPr>
        <w:t>adicionais estão alocados na Siurb. Falta decidir se a subprefeitura envia os R</w:t>
      </w:r>
      <w:r>
        <w:rPr>
          <w:rFonts w:ascii="Arial" w:eastAsia="Arial" w:hAnsi="Arial" w:cs="Arial"/>
          <w:sz w:val="22"/>
          <w:szCs w:val="22"/>
        </w:rPr>
        <w:t>$6</w:t>
      </w:r>
      <w:r>
        <w:rPr>
          <w:rFonts w:ascii="Arial" w:eastAsia="Arial" w:hAnsi="Arial" w:cs="Arial"/>
          <w:sz w:val="22"/>
          <w:szCs w:val="22"/>
        </w:rPr>
        <w:t xml:space="preserve"> milhões para Siurb, ou vice versa.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Karen fez questão de lembrar que o CPM tinha a preocupação de destinar a verba de R$ 6 milhões em uma iniciativa verde, sustentável. Por i</w:t>
      </w:r>
      <w:r>
        <w:rPr>
          <w:rFonts w:ascii="Arial" w:eastAsia="Arial" w:hAnsi="Arial" w:cs="Arial"/>
          <w:sz w:val="22"/>
          <w:szCs w:val="22"/>
        </w:rPr>
        <w:t>sso, o interesse do CPM em acompanhar a evolução da obra da Guararapes.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Posição sobre proposta/projeto jardins de chuva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Michel comenta que a ideia inicial do CPM era direcionar os R$ 6 milhões para a implantação de jardins de chuva, com o objetivo de</w:t>
      </w:r>
      <w:r>
        <w:rPr>
          <w:rFonts w:ascii="Arial" w:eastAsia="Arial" w:hAnsi="Arial" w:cs="Arial"/>
          <w:sz w:val="22"/>
          <w:szCs w:val="22"/>
        </w:rPr>
        <w:t xml:space="preserve"> minimizar alagamentos e enchentes. Mas que, em virtude da subprefeitura ter argumentado que a obra na galeria da Rua Guararapes era urgente, o Conselho concordou que a verba fosse destinada a esta proposta. O Conselheiro complementa que, na ocasião, o sub</w:t>
      </w:r>
      <w:r>
        <w:rPr>
          <w:rFonts w:ascii="Arial" w:eastAsia="Arial" w:hAnsi="Arial" w:cs="Arial"/>
          <w:sz w:val="22"/>
          <w:szCs w:val="22"/>
        </w:rPr>
        <w:t>prefeito comentou que os jardins de chuva poderiam ser implantados com a equipe interna/terceirizada da Sub, utilizando projeto a ser doado pelo paisa</w:t>
      </w:r>
      <w:r>
        <w:rPr>
          <w:rFonts w:ascii="Arial" w:eastAsia="Arial" w:hAnsi="Arial" w:cs="Arial"/>
          <w:sz w:val="22"/>
          <w:szCs w:val="22"/>
        </w:rPr>
        <w:t>gista</w:t>
      </w:r>
      <w:r>
        <w:rPr>
          <w:rFonts w:ascii="Arial" w:eastAsia="Arial" w:hAnsi="Arial" w:cs="Arial"/>
          <w:sz w:val="22"/>
          <w:szCs w:val="22"/>
        </w:rPr>
        <w:t xml:space="preserve"> André Graziano</w:t>
      </w:r>
      <w:r>
        <w:rPr>
          <w:rFonts w:ascii="Arial" w:eastAsia="Arial" w:hAnsi="Arial" w:cs="Arial"/>
          <w:sz w:val="22"/>
          <w:szCs w:val="22"/>
        </w:rPr>
        <w:t xml:space="preserve">, que </w:t>
      </w:r>
      <w:r>
        <w:rPr>
          <w:rFonts w:ascii="Arial" w:eastAsia="Arial" w:hAnsi="Arial" w:cs="Arial"/>
          <w:sz w:val="22"/>
          <w:szCs w:val="22"/>
        </w:rPr>
        <w:t>havia feito para a Subprefeitura Sé.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Cláudio Araujo informa que foi criado um j</w:t>
      </w:r>
      <w:r>
        <w:rPr>
          <w:rFonts w:ascii="Arial" w:eastAsia="Arial" w:hAnsi="Arial" w:cs="Arial"/>
          <w:sz w:val="22"/>
          <w:szCs w:val="22"/>
        </w:rPr>
        <w:t>ardim de chuva na rua Rússia, em ponto que estava acumulando água.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Michel relata que, na mesma reunião, havia sido acordado que o CPM e Sub atuariam em parceria neste projeto, especialmente porque a proposta havia partido deste colegiado. E observa que o </w:t>
      </w:r>
      <w:r>
        <w:rPr>
          <w:rFonts w:ascii="Arial" w:eastAsia="Arial" w:hAnsi="Arial" w:cs="Arial"/>
          <w:sz w:val="22"/>
          <w:szCs w:val="22"/>
        </w:rPr>
        <w:t>CPM desconhece o que tem sido feito e que os parâmetros parecem ser outros. A ideia inicial era de que houvesse participação e, por isso mesmo, deseja registrar o seu questionamento ao subprefeito.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Karen recorda que o tema dos jardins de chuva foi pautado</w:t>
      </w:r>
      <w:r>
        <w:rPr>
          <w:rFonts w:ascii="Arial" w:eastAsia="Arial" w:hAnsi="Arial" w:cs="Arial"/>
          <w:sz w:val="22"/>
          <w:szCs w:val="22"/>
        </w:rPr>
        <w:t xml:space="preserve"> em março como uma alternativa para minimizar as consequências das chuvas de verão e aumentar a permeabilidade do solo. O CPM se colocou à disposição para colaborar pelo fato de poder indicar potenciais locais de implantação.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Og comenta que, em reunião na</w:t>
      </w:r>
      <w:r>
        <w:rPr>
          <w:rFonts w:ascii="Arial" w:eastAsia="Arial" w:hAnsi="Arial" w:cs="Arial"/>
          <w:sz w:val="22"/>
          <w:szCs w:val="22"/>
        </w:rPr>
        <w:t xml:space="preserve"> Sub no dia 18 de outubro, em que participaram Guillon e munícipe, o subprefeito declarou que a implantação de jardins de chuva no território é prioridade. </w:t>
      </w:r>
    </w:p>
    <w:p w:rsidR="00180295" w:rsidRDefault="00B922B7">
      <w:pPr>
        <w:pStyle w:val="LO-normal"/>
        <w:spacing w:line="276" w:lineRule="auto"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Guillon afirma desconhecer esta declaração e a proposta dos jardins de chuva apresentada pelo CPM.</w:t>
      </w:r>
      <w:r>
        <w:rPr>
          <w:rFonts w:ascii="Arial" w:eastAsia="Arial" w:hAnsi="Arial" w:cs="Arial"/>
          <w:sz w:val="22"/>
          <w:szCs w:val="22"/>
        </w:rPr>
        <w:t xml:space="preserve"> Ele sugere ao colegiado que aponte locais para que a Sub possa avaliar, projetar e executar.</w:t>
      </w:r>
    </w:p>
    <w:p w:rsidR="00180295" w:rsidRDefault="00180295">
      <w:pPr>
        <w:pStyle w:val="LO-normal"/>
        <w:spacing w:line="276" w:lineRule="auto"/>
        <w:rPr>
          <w:rFonts w:ascii="Arial" w:eastAsia="Arial" w:hAnsi="Arial" w:cs="Arial"/>
        </w:rPr>
      </w:pPr>
    </w:p>
    <w:p w:rsidR="00180295" w:rsidRDefault="00B922B7">
      <w:pPr>
        <w:pStyle w:val="LO-normal"/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Verba de R$ 1 mil destinada ao CPM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Og comenta sobre a existência de uma verba anual de R</w:t>
      </w:r>
      <w:r>
        <w:rPr>
          <w:rFonts w:ascii="Arial" w:eastAsia="Arial" w:hAnsi="Arial" w:cs="Arial"/>
          <w:sz w:val="22"/>
          <w:szCs w:val="22"/>
        </w:rPr>
        <w:t>$1</w:t>
      </w:r>
      <w:r>
        <w:rPr>
          <w:rFonts w:ascii="Arial" w:eastAsia="Arial" w:hAnsi="Arial" w:cs="Arial"/>
          <w:sz w:val="22"/>
          <w:szCs w:val="22"/>
        </w:rPr>
        <w:t xml:space="preserve"> mil para o CPM e questiona a subprefeitura porque este mandato não</w:t>
      </w:r>
      <w:r>
        <w:rPr>
          <w:rFonts w:ascii="Arial" w:eastAsia="Arial" w:hAnsi="Arial" w:cs="Arial"/>
          <w:sz w:val="22"/>
          <w:szCs w:val="22"/>
        </w:rPr>
        <w:t xml:space="preserve"> havia sido informado a respeito. Alan Cortez não soube explicar a razão e acrescentou que, geralmente, quem comunica este fato ao CPM é o </w:t>
      </w: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B922B7">
      <w:pPr>
        <w:pStyle w:val="LO-normal"/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coordenador de governo local. Em seguida, informou que esta dotação, por não ter sido empenhada, havia acabado de </w:t>
      </w:r>
      <w:r>
        <w:rPr>
          <w:rFonts w:ascii="Arial" w:eastAsia="Arial" w:hAnsi="Arial" w:cs="Arial"/>
          <w:sz w:val="22"/>
          <w:szCs w:val="22"/>
        </w:rPr>
        <w:t>ser congelada pela Secretaria Municipal da Fazenda. Esta verba, esclareceu Cortez, deve ser gasta em consumo exclusivamente.</w:t>
      </w:r>
    </w:p>
    <w:p w:rsidR="00180295" w:rsidRDefault="00B922B7">
      <w:pPr>
        <w:pStyle w:val="LO-normal"/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Og solicitou que se registrasse em ata o fato do CPM não ter sido informado sobre a disponibilidade desta verba. Alan aproveitou p</w:t>
      </w:r>
      <w:r>
        <w:rPr>
          <w:rFonts w:ascii="Arial" w:eastAsia="Arial" w:hAnsi="Arial" w:cs="Arial"/>
          <w:sz w:val="22"/>
          <w:szCs w:val="22"/>
        </w:rPr>
        <w:t>ara lembrar que, além desta verba de R$ 1 mil, o  Conselho pode pleitear junto aos vereadores emendas parlamentares.</w:t>
      </w:r>
    </w:p>
    <w:p w:rsidR="00180295" w:rsidRDefault="00B922B7">
      <w:pPr>
        <w:pStyle w:val="LO-normal"/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180295" w:rsidRDefault="00B922B7">
      <w:pPr>
        <w:pStyle w:val="LO-normal"/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Solicitação de apoio para uso social de imóvel da Sub para ID Inclusão Digital</w:t>
      </w:r>
    </w:p>
    <w:p w:rsidR="00180295" w:rsidRDefault="00B922B7">
      <w:pPr>
        <w:pStyle w:val="LO-normal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ab/>
        <w:t>Conselheiro Vitor Veloso, que preside a ONG Instituto</w:t>
      </w:r>
      <w:r>
        <w:rPr>
          <w:rFonts w:ascii="Arial" w:eastAsia="Arial" w:hAnsi="Arial" w:cs="Arial"/>
          <w:sz w:val="22"/>
          <w:szCs w:val="22"/>
        </w:rPr>
        <w:t xml:space="preserve"> ID Inclusão Digital, solicitou apoio do CPM no pleito de ocupar o imóvel situado à Praça Waldir Azevedo, Alto de Pinheiros. O imóvel encontra-se a</w:t>
      </w:r>
      <w:r>
        <w:rPr>
          <w:rFonts w:ascii="Arial" w:eastAsia="Arial" w:hAnsi="Arial" w:cs="Arial"/>
          <w:sz w:val="22"/>
          <w:szCs w:val="22"/>
        </w:rPr>
        <w:t>bandonado e será necessária uma vistoria da Defesa Civil. O Instituto ID Inclusão Digital pretende reformar o</w:t>
      </w:r>
      <w:r>
        <w:rPr>
          <w:rFonts w:ascii="Arial" w:eastAsia="Arial" w:hAnsi="Arial" w:cs="Arial"/>
          <w:sz w:val="22"/>
          <w:szCs w:val="22"/>
        </w:rPr>
        <w:t xml:space="preserve"> imóvel e equipá-lo para oferecer cursos que promovem a inclusão digital de jovens. Vitor comenta que o instituto já recebeu o apoio da SAAP, associação bem ativa no entorno da praça.</w:t>
      </w: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B922B7">
      <w:pPr>
        <w:pStyle w:val="LO-normal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e) Participação dos munícipes</w:t>
      </w:r>
    </w:p>
    <w:p w:rsidR="00180295" w:rsidRDefault="00B922B7">
      <w:pPr>
        <w:pStyle w:val="LO-normal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Flávia Loureiro, moradora do Brooklin, reclama sobre o despejo de cimento realizado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construção de prédio próximo ao cruzamento da rua </w:t>
      </w:r>
      <w:r>
        <w:rPr>
          <w:rFonts w:ascii="Arial" w:eastAsia="Arial" w:hAnsi="Arial" w:cs="Arial"/>
          <w:sz w:val="22"/>
          <w:szCs w:val="22"/>
        </w:rPr>
        <w:t>Padre</w:t>
      </w:r>
      <w:r>
        <w:rPr>
          <w:rFonts w:ascii="Arial" w:eastAsia="Arial" w:hAnsi="Arial" w:cs="Arial"/>
          <w:sz w:val="22"/>
          <w:szCs w:val="22"/>
        </w:rPr>
        <w:t xml:space="preserve"> Antônio José dos Santos </w:t>
      </w:r>
      <w:r>
        <w:rPr>
          <w:rFonts w:ascii="Arial" w:eastAsia="Arial" w:hAnsi="Arial" w:cs="Arial"/>
          <w:sz w:val="22"/>
          <w:szCs w:val="22"/>
        </w:rPr>
        <w:t>com a avenida</w:t>
      </w:r>
      <w:r>
        <w:rPr>
          <w:rFonts w:ascii="Arial" w:eastAsia="Arial" w:hAnsi="Arial" w:cs="Arial"/>
          <w:sz w:val="22"/>
          <w:szCs w:val="22"/>
        </w:rPr>
        <w:t xml:space="preserve"> Santo Amaro. A moradora relata o entupimento das bocas de lobo, a cobertu</w:t>
      </w:r>
      <w:r>
        <w:rPr>
          <w:rFonts w:ascii="Arial" w:eastAsia="Arial" w:hAnsi="Arial" w:cs="Arial"/>
          <w:sz w:val="22"/>
          <w:szCs w:val="22"/>
        </w:rPr>
        <w:t>ra das faixas de acessibilidade e das raízes de árvores pelo cimento. Ela ficou de enviar vídeos e fotos ao coordenador de governo local.</w:t>
      </w:r>
    </w:p>
    <w:p w:rsidR="00180295" w:rsidRDefault="00B922B7">
      <w:pPr>
        <w:pStyle w:val="LO-normal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ab/>
        <w:t>Jaelson Trindade, morador de Pinheiros, que trouxe pela segunda vez reclamação sobre a loja Oxxo, perguntou ao coorde</w:t>
      </w:r>
      <w:r>
        <w:rPr>
          <w:rFonts w:ascii="Arial" w:eastAsia="Arial" w:hAnsi="Arial" w:cs="Arial"/>
          <w:sz w:val="22"/>
          <w:szCs w:val="22"/>
        </w:rPr>
        <w:t>nador de governo local se havia previsão de nova visita de fiscais já que o estabelecimento continua com irregularidades. Guillon informou que não havia nada previsto, mas que as fiscalizações continuam, não na agilidade que todos gostariam, e que, infeliz</w:t>
      </w:r>
      <w:r>
        <w:rPr>
          <w:rFonts w:ascii="Arial" w:eastAsia="Arial" w:hAnsi="Arial" w:cs="Arial"/>
          <w:sz w:val="22"/>
          <w:szCs w:val="22"/>
        </w:rPr>
        <w:t xml:space="preserve">mente, não tem só este local para fiscalizar em </w:t>
      </w:r>
      <w:r>
        <w:rPr>
          <w:rFonts w:ascii="Arial" w:eastAsia="Arial" w:hAnsi="Arial" w:cs="Arial"/>
          <w:sz w:val="22"/>
          <w:szCs w:val="22"/>
        </w:rPr>
        <w:t>toda a Sub</w:t>
      </w:r>
      <w:r>
        <w:rPr>
          <w:rFonts w:ascii="Arial" w:eastAsia="Arial" w:hAnsi="Arial" w:cs="Arial"/>
          <w:sz w:val="22"/>
          <w:szCs w:val="22"/>
        </w:rPr>
        <w:t>.</w:t>
      </w: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B922B7">
      <w:pPr>
        <w:pStyle w:val="LO-normal"/>
        <w:spacing w:line="276" w:lineRule="auto"/>
        <w:jc w:val="both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3. Assuntos gerais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Conselheiro Fernando Gomes </w:t>
      </w:r>
      <w:r>
        <w:rPr>
          <w:rFonts w:ascii="Arial" w:eastAsia="Arial" w:hAnsi="Arial" w:cs="Arial"/>
          <w:sz w:val="22"/>
          <w:szCs w:val="22"/>
        </w:rPr>
        <w:t xml:space="preserve">propõe que seja feito um levantamento sistemático e periódico sobre a condição fitosanitária das árvores da Sub, que subsidiaria um plano de manejo </w:t>
      </w:r>
      <w:r>
        <w:rPr>
          <w:rFonts w:ascii="Arial" w:eastAsia="Arial" w:hAnsi="Arial" w:cs="Arial"/>
          <w:sz w:val="22"/>
          <w:szCs w:val="22"/>
        </w:rPr>
        <w:t>e adequação da arborização.</w:t>
      </w:r>
    </w:p>
    <w:p w:rsidR="00180295" w:rsidRDefault="00B922B7">
      <w:pPr>
        <w:pStyle w:val="LO-normal"/>
        <w:spacing w:line="276" w:lineRule="auto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>Conselheira Neiva comenta sobre a falta de diálogo entre CPM e Sub e cita com exemplo obra realizada no cruzamento das ruas Purpurina e Delfina, em Pinheiros, que talvez pudesse ter recebido um jardim de chuva. Também lembrou de</w:t>
      </w:r>
      <w:r>
        <w:rPr>
          <w:rFonts w:ascii="Arial" w:eastAsia="Arial" w:hAnsi="Arial" w:cs="Arial"/>
          <w:sz w:val="22"/>
          <w:szCs w:val="22"/>
        </w:rPr>
        <w:t xml:space="preserve"> obras em praças no Alto de Pinheiros que, tanto em projeto como em orçamento, geram questionamentos entre moradores, o que poderia ser evitado com trabalho conjunto entre CPM e Sub.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Og compartilha com o colegiado a criação do Grupo de Trabalho Incomodida</w:t>
      </w:r>
      <w:r>
        <w:rPr>
          <w:rFonts w:ascii="Arial" w:eastAsia="Arial" w:hAnsi="Arial" w:cs="Arial"/>
          <w:sz w:val="22"/>
          <w:szCs w:val="22"/>
        </w:rPr>
        <w:t>de e Ocupação Ilegal do Espaço Público. Deste grupo de trabalho participam os conselheiros Og e Michel e os munícipes Guida Amaral e Fe</w:t>
      </w:r>
      <w:r>
        <w:rPr>
          <w:rFonts w:ascii="Arial" w:eastAsia="Arial" w:hAnsi="Arial" w:cs="Arial"/>
          <w:sz w:val="22"/>
          <w:szCs w:val="22"/>
        </w:rPr>
        <w:t>lipe</w:t>
      </w:r>
      <w:r>
        <w:rPr>
          <w:rFonts w:ascii="Arial" w:eastAsia="Arial" w:hAnsi="Arial" w:cs="Arial"/>
          <w:sz w:val="22"/>
          <w:szCs w:val="22"/>
        </w:rPr>
        <w:t xml:space="preserve"> Righetti, sendo que </w:t>
      </w:r>
      <w:r>
        <w:rPr>
          <w:rFonts w:ascii="Arial" w:eastAsia="Arial" w:hAnsi="Arial" w:cs="Arial"/>
          <w:sz w:val="22"/>
          <w:szCs w:val="22"/>
        </w:rPr>
        <w:t>último</w:t>
      </w:r>
      <w:r>
        <w:rPr>
          <w:rFonts w:ascii="Arial" w:eastAsia="Arial" w:hAnsi="Arial" w:cs="Arial"/>
          <w:sz w:val="22"/>
          <w:szCs w:val="22"/>
        </w:rPr>
        <w:t xml:space="preserve"> afirmou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que o objetivo do GT é se debruçar sobre o assunto, que não tem sido enfrentado </w:t>
      </w:r>
      <w:r>
        <w:rPr>
          <w:rFonts w:ascii="Arial" w:eastAsia="Arial" w:hAnsi="Arial" w:cs="Arial"/>
          <w:sz w:val="22"/>
          <w:szCs w:val="22"/>
        </w:rPr>
        <w:t xml:space="preserve">de maneira adequada, e buscar soluções. Segundo ele, os problemas são graves, </w:t>
      </w:r>
      <w:r>
        <w:rPr>
          <w:rFonts w:ascii="Arial" w:eastAsia="Arial" w:hAnsi="Arial" w:cs="Arial"/>
          <w:sz w:val="22"/>
          <w:szCs w:val="22"/>
        </w:rPr>
        <w:t>afetam</w:t>
      </w:r>
      <w:r>
        <w:rPr>
          <w:rFonts w:ascii="Arial" w:eastAsia="Arial" w:hAnsi="Arial" w:cs="Arial"/>
          <w:sz w:val="22"/>
          <w:szCs w:val="22"/>
        </w:rPr>
        <w:t xml:space="preserve"> a saúde pública, e se a legislação não atende é preciso propor mudanças. Foi feito convite ao munícipe Jaelson Trindade para que se </w:t>
      </w: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180295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juntasse ao grupo, que foi aceito. </w:t>
      </w:r>
      <w:r>
        <w:rPr>
          <w:rFonts w:ascii="Arial" w:eastAsia="Arial" w:hAnsi="Arial" w:cs="Arial"/>
          <w:sz w:val="22"/>
          <w:szCs w:val="22"/>
        </w:rPr>
        <w:t>Og lembrou que o GT está aberto à participação de qualquer pessoa interessada no tema.</w:t>
      </w:r>
    </w:p>
    <w:p w:rsidR="00180295" w:rsidRDefault="00B922B7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Em função da hora, duas pautas não foram desenvolvidas: análise da relação de oficinas oferecidas pelo Governo Aberto e o Planejamento CPM 2024.</w:t>
      </w:r>
    </w:p>
    <w:p w:rsidR="007D2F76" w:rsidRDefault="007D2F76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D2F76" w:rsidRDefault="007D2F76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D2F76" w:rsidRDefault="007D2F76">
      <w:pPr>
        <w:pStyle w:val="LO-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D2F76" w:rsidRDefault="007D2F76" w:rsidP="007D2F7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7D2F76" w:rsidRDefault="007D2F76" w:rsidP="007D2F7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Og Roberto Dória</w:t>
      </w:r>
    </w:p>
    <w:p w:rsidR="007D2F76" w:rsidRDefault="007D2F76" w:rsidP="007D2F7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</w:t>
      </w:r>
      <w:bookmarkStart w:id="0" w:name="_GoBack"/>
      <w:bookmarkEnd w:id="0"/>
      <w:r>
        <w:rPr>
          <w:rFonts w:ascii="Arial" w:eastAsia="Arial" w:hAnsi="Arial" w:cs="Arial"/>
        </w:rPr>
        <w:t xml:space="preserve"> do Conselho Participativo Municipal de Pinheiros</w:t>
      </w:r>
    </w:p>
    <w:p w:rsidR="007D2F76" w:rsidRDefault="007D2F76" w:rsidP="007D2F76">
      <w:pPr>
        <w:jc w:val="right"/>
        <w:rPr>
          <w:rFonts w:ascii="Arial" w:eastAsia="Arial" w:hAnsi="Arial" w:cs="Arial"/>
        </w:rPr>
      </w:pPr>
    </w:p>
    <w:p w:rsidR="007D2F76" w:rsidRDefault="007D2F76" w:rsidP="007D2F76">
      <w:pPr>
        <w:jc w:val="right"/>
        <w:rPr>
          <w:rFonts w:ascii="Arial" w:eastAsia="Arial" w:hAnsi="Arial" w:cs="Arial"/>
        </w:rPr>
      </w:pPr>
    </w:p>
    <w:p w:rsidR="007D2F76" w:rsidRDefault="007D2F76" w:rsidP="007D2F76">
      <w:pPr>
        <w:jc w:val="right"/>
        <w:rPr>
          <w:rFonts w:ascii="Arial" w:eastAsia="Arial" w:hAnsi="Arial" w:cs="Arial"/>
        </w:rPr>
      </w:pPr>
    </w:p>
    <w:p w:rsidR="007D2F76" w:rsidRDefault="007D2F76" w:rsidP="007D2F7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7D2F76" w:rsidRDefault="007D2F76" w:rsidP="007D2F7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Nelson Souza Pinto</w:t>
      </w:r>
    </w:p>
    <w:p w:rsidR="007D2F76" w:rsidRDefault="007D2F76" w:rsidP="007D2F7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Secretário do Conselho Participativo Municipal de Pinheiros</w:t>
      </w:r>
    </w:p>
    <w:p w:rsidR="007D2F76" w:rsidRDefault="007D2F76">
      <w:pPr>
        <w:pStyle w:val="LO-normal"/>
        <w:spacing w:line="276" w:lineRule="auto"/>
        <w:jc w:val="both"/>
        <w:rPr>
          <w:rFonts w:ascii="Arial" w:eastAsia="Arial" w:hAnsi="Arial" w:cs="Arial"/>
          <w:color w:val="000000"/>
        </w:rPr>
      </w:pPr>
    </w:p>
    <w:sectPr w:rsidR="007D2F76">
      <w:headerReference w:type="default" r:id="rId8"/>
      <w:footerReference w:type="default" r:id="rId9"/>
      <w:pgSz w:w="11906" w:h="16838"/>
      <w:pgMar w:top="1969" w:right="1134" w:bottom="119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B7" w:rsidRDefault="00B922B7">
      <w:r>
        <w:separator/>
      </w:r>
    </w:p>
  </w:endnote>
  <w:endnote w:type="continuationSeparator" w:id="0">
    <w:p w:rsidR="00B922B7" w:rsidRDefault="00B9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95" w:rsidRDefault="00B922B7">
    <w:pPr>
      <w:pStyle w:val="LO-normal"/>
      <w:tabs>
        <w:tab w:val="center" w:pos="4986"/>
        <w:tab w:val="right" w:pos="9972"/>
      </w:tabs>
      <w:jc w:val="center"/>
      <w:rPr>
        <w:color w:val="FFFFFF"/>
      </w:rPr>
    </w:pPr>
    <w:r>
      <w:rPr>
        <w:color w:val="FFFFFF"/>
      </w:rPr>
      <w:t>________________________________________________________________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6534785" cy="45529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3320" y="3557160"/>
                        <a:ext cx="6525360" cy="44568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80295" w:rsidRDefault="00180295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6534785" cy="455295"/>
              <wp:effectExtent b="0" l="0" r="0" t="0"/>
              <wp:wrapNone/>
              <wp:docPr id="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785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80295" w:rsidRDefault="00B922B7">
    <w:pPr>
      <w:pStyle w:val="LO-normal"/>
      <w:tabs>
        <w:tab w:val="center" w:pos="4986"/>
        <w:tab w:val="right" w:pos="9972"/>
      </w:tabs>
      <w:jc w:val="center"/>
      <w:rPr>
        <w:color w:val="FFFFFF"/>
      </w:rPr>
    </w:pPr>
    <w:r>
      <w:rPr>
        <w:color w:val="FFFFFF"/>
      </w:rPr>
      <w:t>Av. das Nações Unidas, 7123 - Alto de Pinheiros, São Paulo - SP, 05425-070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0</wp:posOffset>
              </wp:positionV>
              <wp:extent cx="755650" cy="401955"/>
              <wp:effectExtent l="0" t="0" r="0" b="0"/>
              <wp:wrapNone/>
              <wp:docPr id="7" name="Retângulo de cantos arredondado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2860" y="3583800"/>
                        <a:ext cx="746280" cy="392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3465A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80295" w:rsidRDefault="00180295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5422900</wp:posOffset>
              </wp:positionH>
              <wp:positionV relativeFrom="paragraph">
                <wp:posOffset>0</wp:posOffset>
              </wp:positionV>
              <wp:extent cx="755650" cy="40195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" cy="401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80295" w:rsidRDefault="00B922B7">
    <w:pPr>
      <w:pStyle w:val="LO-normal"/>
      <w:tabs>
        <w:tab w:val="center" w:pos="4986"/>
        <w:tab w:val="right" w:pos="9972"/>
      </w:tabs>
      <w:jc w:val="right"/>
      <w:rPr>
        <w:color w:val="FFFFFF"/>
      </w:rPr>
    </w:pPr>
    <w:r>
      <w:rPr>
        <w:color w:val="FFFFFF"/>
      </w:rPr>
      <w:t>Página</w:t>
    </w:r>
    <w:r>
      <w:rPr>
        <w:color w:val="FFFFFF"/>
      </w:rPr>
      <w:t xml:space="preserve"> </w:t>
    </w:r>
    <w:r>
      <w:rPr>
        <w:color w:val="FFFFFF"/>
      </w:rPr>
      <w:fldChar w:fldCharType="begin"/>
    </w:r>
    <w:r>
      <w:rPr>
        <w:color w:val="FFFFFF"/>
      </w:rPr>
      <w:instrText>PAGE</w:instrText>
    </w:r>
    <w:r w:rsidR="007D2F76">
      <w:rPr>
        <w:color w:val="FFFFFF"/>
      </w:rPr>
      <w:fldChar w:fldCharType="separate"/>
    </w:r>
    <w:r w:rsidR="007D2F76">
      <w:rPr>
        <w:noProof/>
        <w:color w:val="FFFFFF"/>
      </w:rPr>
      <w:t>1</w:t>
    </w:r>
    <w:r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B7" w:rsidRDefault="00B922B7">
      <w:r>
        <w:separator/>
      </w:r>
    </w:p>
  </w:footnote>
  <w:footnote w:type="continuationSeparator" w:id="0">
    <w:p w:rsidR="00B922B7" w:rsidRDefault="00B9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95" w:rsidRDefault="00B922B7">
    <w:pPr>
      <w:pStyle w:val="LO-normal"/>
      <w:tabs>
        <w:tab w:val="center" w:pos="4986"/>
        <w:tab w:val="right" w:pos="9972"/>
      </w:tabs>
      <w:rPr>
        <w:color w:val="000000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-673099</wp:posOffset>
              </wp:positionV>
              <wp:extent cx="1533045" cy="1513995"/>
              <wp:effectExtent l="0" t="0" r="0" b="0"/>
              <wp:wrapNone/>
              <wp:docPr id="9" name="E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7740" y="3041100"/>
                        <a:ext cx="1496520" cy="14778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6350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80295" w:rsidRDefault="00180295">
                          <w:pPr>
                            <w:pStyle w:val="LO-normal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-673099</wp:posOffset>
              </wp:positionV>
              <wp:extent cx="1533045" cy="151399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045" cy="1513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-203199</wp:posOffset>
              </wp:positionV>
              <wp:extent cx="7573010" cy="53911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200" y="3515220"/>
                        <a:ext cx="7563600" cy="52956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80295" w:rsidRDefault="00B922B7">
                          <w:pPr>
                            <w:pStyle w:val="LO-normal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 xml:space="preserve">            </w:t>
                          </w:r>
                          <w:r>
                            <w:rPr>
                              <w:color w:val="000000"/>
                            </w:rPr>
                            <w:t xml:space="preserve">                                 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-203199</wp:posOffset>
              </wp:positionV>
              <wp:extent cx="7573010" cy="539115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3010" cy="539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-38099</wp:posOffset>
              </wp:positionV>
              <wp:extent cx="5356225" cy="271145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2640" y="3649140"/>
                        <a:ext cx="534672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0295" w:rsidRDefault="00B922B7">
                          <w:pPr>
                            <w:pStyle w:val="LO-normal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8"/>
                            </w:rPr>
                            <w:t>Conselho Participativo Municipal  - Subprefeitura Pinheiros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-38099</wp:posOffset>
              </wp:positionV>
              <wp:extent cx="5356225" cy="27114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6225" cy="271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-265429</wp:posOffset>
          </wp:positionH>
          <wp:positionV relativeFrom="paragraph">
            <wp:posOffset>-210819</wp:posOffset>
          </wp:positionV>
          <wp:extent cx="942975" cy="53086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-62" t="-110" r="-62" b="-109"/>
                  <a:stretch>
                    <a:fillRect/>
                  </a:stretch>
                </pic:blipFill>
                <pic:spPr>
                  <a:xfrm>
                    <a:off x="0" y="0"/>
                    <a:ext cx="942975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0295" w:rsidRDefault="00B922B7">
    <w:pPr>
      <w:pStyle w:val="LO-normal"/>
      <w:tabs>
        <w:tab w:val="center" w:pos="4986"/>
        <w:tab w:val="right" w:pos="99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295"/>
    <w:rsid w:val="00180295"/>
    <w:rsid w:val="007D2F76"/>
    <w:rsid w:val="00B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  <w:qFormat/>
  </w:style>
  <w:style w:type="paragraph" w:customStyle="1" w:styleId="Ttulo10">
    <w:name w:val="Título1"/>
    <w:basedOn w:val="LO-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LO-normal"/>
    <w:qFormat/>
  </w:style>
  <w:style w:type="paragraph" w:styleId="PargrafodaLista">
    <w:name w:val="List Paragraph"/>
    <w:basedOn w:val="LO-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  <w:qFormat/>
  </w:style>
  <w:style w:type="paragraph" w:customStyle="1" w:styleId="Ttulo10">
    <w:name w:val="Título1"/>
    <w:basedOn w:val="LO-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LO-normal"/>
    <w:qFormat/>
  </w:style>
  <w:style w:type="paragraph" w:styleId="PargrafodaLista">
    <w:name w:val="List Paragraph"/>
    <w:basedOn w:val="LO-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dZzTe+TpAPMRBxylmhDDr+g2Q==">CgMxLjA4AHIhMTZJalNiM0JXT3VJYUh3dk4tSndqR0VYZV9Wa3BzOGhD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 Terenzzo</dc:creator>
  <cp:lastModifiedBy>Miguel Martins Fiorelli</cp:lastModifiedBy>
  <cp:revision>2</cp:revision>
  <dcterms:created xsi:type="dcterms:W3CDTF">2023-11-17T18:46:00Z</dcterms:created>
  <dcterms:modified xsi:type="dcterms:W3CDTF">2023-11-17T18:46:00Z</dcterms:modified>
</cp:coreProperties>
</file>