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19" w:rsidRPr="008765CA" w:rsidRDefault="00DC3F19" w:rsidP="003E668B">
      <w:pPr>
        <w:pStyle w:val="BodyTextIndent2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C3F19" w:rsidRPr="00D03697" w:rsidRDefault="00DC3F19" w:rsidP="003E668B">
      <w:pPr>
        <w:pStyle w:val="BodyTextIndent2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03697">
        <w:rPr>
          <w:rFonts w:ascii="Arial" w:hAnsi="Arial" w:cs="Arial"/>
          <w:b/>
          <w:bCs/>
          <w:sz w:val="22"/>
          <w:szCs w:val="22"/>
        </w:rPr>
        <w:t xml:space="preserve">RESOLUÇÃO Nº </w:t>
      </w:r>
      <w:r>
        <w:rPr>
          <w:rFonts w:ascii="Arial" w:hAnsi="Arial" w:cs="Arial"/>
          <w:b/>
          <w:bCs/>
          <w:sz w:val="22"/>
          <w:szCs w:val="22"/>
        </w:rPr>
        <w:t xml:space="preserve"> 05</w:t>
      </w:r>
      <w:r w:rsidRPr="00D03697">
        <w:rPr>
          <w:rFonts w:ascii="Arial" w:hAnsi="Arial" w:cs="Arial"/>
          <w:b/>
          <w:bCs/>
          <w:sz w:val="22"/>
          <w:szCs w:val="22"/>
        </w:rPr>
        <w:t xml:space="preserve"> /CONPRESP / 2014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color w:val="000000"/>
          <w:sz w:val="22"/>
          <w:szCs w:val="22"/>
        </w:rPr>
        <w:t xml:space="preserve">O Conselho Municipal de Preservação do Patrimônio Histórico, Cultural e Ambiental da Cidade de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 xml:space="preserve"> - CONPRESP, no uso de suas atribuições legais e nos termos da Lei nº 10.032, de 27 de dezembro de 1985, e alterações posteriores, e de acordo com a decisão dos Conselheiros presentes 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586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ª Reunião Ordinária</w:t>
      </w:r>
      <w:r w:rsidRPr="00D03697">
        <w:rPr>
          <w:rFonts w:ascii="Arial" w:hAnsi="Arial" w:cs="Arial"/>
          <w:color w:val="000000"/>
          <w:sz w:val="22"/>
          <w:szCs w:val="22"/>
        </w:rPr>
        <w:t>, realizada 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01 de abril de 2014</w:t>
      </w:r>
      <w:r w:rsidRPr="00D03697">
        <w:rPr>
          <w:rFonts w:ascii="Arial" w:hAnsi="Arial" w:cs="Arial"/>
          <w:color w:val="000000"/>
          <w:sz w:val="22"/>
          <w:szCs w:val="22"/>
        </w:rPr>
        <w:t>;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a decisão do Conselho de Defesa do Patrimônio Histórico, Arqueológico, Artístico e Turístico do Estado de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CONDEPHAAT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, que através da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Resolução de Tombamento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SC-13</w:t>
      </w:r>
      <w:r w:rsidRPr="00D03697">
        <w:rPr>
          <w:rFonts w:ascii="Arial" w:hAnsi="Arial" w:cs="Arial"/>
          <w:color w:val="000000"/>
          <w:sz w:val="22"/>
          <w:szCs w:val="22"/>
        </w:rPr>
        <w:t>, datada de 18/02/2014 e publicada no DOE de 22/02/2014, pág. 37 e 38, tombou a área do antigo Hospital Humberto I, destacando os seguintes valores desse bem cultural e arquitetônico: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color w:val="000000"/>
          <w:sz w:val="22"/>
          <w:szCs w:val="22"/>
        </w:rPr>
        <w:t>As manifestações constantes do Processo CONDEPHAAT n</w:t>
      </w:r>
      <w:r w:rsidRPr="00D03697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23.374/1984, o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qual foi apreciado pelo Conselho de Defesa do Patrimônio Histórico, Arqueológico, Artístico e Turístico do Estado de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 xml:space="preserve"> – CONDEPHAAT - em Sessão Ordinária de 19/05/1986, cuja deliberação foi favorável ao tombamento do antigo Hospital Umberto I, em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D03697">
        <w:rPr>
          <w:rFonts w:ascii="Arial" w:hAnsi="Arial" w:cs="Arial"/>
          <w:color w:val="000000"/>
          <w:sz w:val="22"/>
          <w:szCs w:val="22"/>
        </w:rPr>
        <w:t>e;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color w:val="000000"/>
          <w:sz w:val="22"/>
          <w:szCs w:val="22"/>
        </w:rPr>
        <w:t>Reiterando os termos expressos na fundamentação das justificativas desse tombamento transcritas abaixo: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Que o Hospital e Maternidade Umberto</w:t>
      </w:r>
      <w:r>
        <w:rPr>
          <w:rFonts w:ascii="Arial" w:hAnsi="Arial" w:cs="Arial"/>
          <w:color w:val="000000"/>
          <w:sz w:val="22"/>
          <w:szCs w:val="22"/>
        </w:rPr>
        <w:t xml:space="preserve"> I (ex-Hospital Matarazzo) é um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remanescente altamente representativo das instituições organizadas pela parcela mais significativa dos imigrantes fixados em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>, os italianos;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Que exerceu papel de destaque no atendimento médico-hospitalar da população trabalhadora da cidade, especialmente no período em que a assistência pública era absolutamente deficiente;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Que desenvolveu uma qualidade de atendimento que o fez também ser procurado – em especial a maternidade – pela população da cidade;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Que se destacou como espaço de formação profissional e de estudo da ciência médica;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Que teve papel pioneiro no desenvolvimento de algumas atividades hospitalares da cidade de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>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Que forma um conjunto arquitetonicamente harmonioso e agradável, que denota as origens italianas do hospital e apresenta soluções espaciais de boa qualidade, principalmente em seus edifícios mais antigos;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>E reconhecendo que esses valores expressam-se no conjunto de edificações de diferentes padrões de organização hospitalar e distintas linguagens arquitetônicas, resultantes da permanente dinâmica de transformação dos espaços ao longo da existência da instituição hospitalar;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E, ainda, verificando a necessidade de atualização das diretrizes de proteção então propostas, com vistas a garantir ao mesmo tempo a preservação de valores essenciais do conjunto e a sua utilização de modo a interromper sua degradação, intenções que foram expressas na deliberação do Conselho em Sessão Ordinária de 05/08/2013, cuja decisão foi favorável à abertura de processo de revisão da Resolução de Tombamento do antigo Hospital Umberto I, em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 xml:space="preserve"> e, discutida na Audiência Pública realizada dia 07/10/2013; revisão essa aprovada pelo CONDEPHAAT no processo 67814/13, em sua sessão ordinária de 09/12/2013, Ata 1731;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que no âmbito municipal o conjunto arquitetônico já se classifica como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ZONA ESPECIAL de PRESERVAÇÃO CULTURAL – ZEPEC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093 (antiga Z8-200-093) nos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termos dos incisos I e II do artigo 115 da Lei Municipal n.º 13.885 conforme consta no Quadro 8-B da Lei Municipal n.º 8.328 de 1975. 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color w:val="000000"/>
          <w:sz w:val="22"/>
          <w:szCs w:val="22"/>
        </w:rPr>
        <w:t>o contido no processo administrativo nº 1996-0.031.079-3 e 2014-0.077.800-6;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RESOLVE: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1º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7EBF">
        <w:rPr>
          <w:rFonts w:ascii="Arial" w:hAnsi="Arial" w:cs="Arial"/>
          <w:b/>
          <w:bCs/>
          <w:color w:val="000000"/>
          <w:sz w:val="22"/>
          <w:szCs w:val="22"/>
        </w:rPr>
        <w:t>Tombar “ex-offício”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, conforme determina o parágrafo único do artigo 7 da Lei n° 10.032 de 27 de dezembro de 1985 e motivado pelo tombamento efetivado pelo </w:t>
      </w:r>
      <w:r w:rsidRPr="00355A0C">
        <w:rPr>
          <w:rFonts w:ascii="Arial" w:hAnsi="Arial" w:cs="Arial"/>
          <w:color w:val="000000"/>
          <w:sz w:val="22"/>
          <w:szCs w:val="22"/>
        </w:rPr>
        <w:t>CONDEPHAAT através da Resolução SC n° 13/2014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, como bem cultural de interesse histórico-arquitetônico, o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 xml:space="preserve">CONJUNTO EDIFICADO DO ANTIGO HOSPITAL UMBERTO I </w:t>
      </w:r>
      <w:r w:rsidRPr="00F37EBF">
        <w:rPr>
          <w:rFonts w:ascii="Arial" w:hAnsi="Arial" w:cs="Arial"/>
          <w:b/>
          <w:bCs/>
          <w:color w:val="000000"/>
          <w:sz w:val="22"/>
          <w:szCs w:val="22"/>
        </w:rPr>
        <w:t>(antigo Hospital Matarazzo)</w:t>
      </w:r>
      <w:r w:rsidRPr="00D03697">
        <w:rPr>
          <w:rFonts w:ascii="Arial" w:hAnsi="Arial" w:cs="Arial"/>
          <w:color w:val="000000"/>
          <w:sz w:val="22"/>
          <w:szCs w:val="22"/>
        </w:rPr>
        <w:t>, localizado à Alameda Rio Claro, n</w:t>
      </w:r>
      <w:r w:rsidRPr="00D03697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190, no Bairro da Bela Vista, cadastrado sob SQL  009.015.0031-3 e 009.015.0032-1 do Cadastro de Contribuintes da Secretaria de Finanças e Desenvolvimento Econômico, no bairro da Bela Vista, Subprefeitura da Sé, objeto das matrículas n.º 75.418 e 75.419 do 4º Cartório de Registro de Imóveis da Comarca da Capital.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2º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 área ora tombada é delimitada pelo perímetro de proteção conforme descrição / identificação abaixo e, Anexo I que acompanha esta Resolução: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 –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7EBF">
        <w:rPr>
          <w:rFonts w:ascii="Arial" w:hAnsi="Arial" w:cs="Arial"/>
          <w:color w:val="000000"/>
          <w:sz w:val="22"/>
          <w:szCs w:val="22"/>
          <w:u w:val="single"/>
        </w:rPr>
        <w:t>Perímetro de Proteção</w:t>
      </w:r>
      <w:r w:rsidRPr="00D03697">
        <w:rPr>
          <w:rFonts w:ascii="Arial" w:hAnsi="Arial" w:cs="Arial"/>
          <w:color w:val="000000"/>
          <w:sz w:val="22"/>
          <w:szCs w:val="22"/>
        </w:rPr>
        <w:t>: Polígono irregular, que se inicia na intersecção da Rua São Carlos do Pinhal com a Alameda Rio Claro, segue pela Rua São Carlos do Pinhal, Rua Itapeva, deflete à direita seguindo pela linha de divisa laterais dos lotes 009.015.0032</w:t>
      </w:r>
      <w:r w:rsidRPr="00D03697">
        <w:rPr>
          <w:rFonts w:ascii="Arial" w:hAnsi="Arial" w:cs="Arial"/>
          <w:sz w:val="22"/>
          <w:szCs w:val="22"/>
        </w:rPr>
        <w:t>-1</w:t>
      </w:r>
      <w:r w:rsidRPr="00D03697">
        <w:rPr>
          <w:rFonts w:ascii="Arial" w:hAnsi="Arial" w:cs="Arial"/>
          <w:color w:val="000000"/>
          <w:sz w:val="22"/>
          <w:szCs w:val="22"/>
        </w:rPr>
        <w:t>, deflete à direita na Alameda Rio Claro, segue por esta até o ponto inicial, conformando assim o perímetro.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Edifício Francisco Matarazzo;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Edifício Ermelino Matarazzo;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Antigo Pavilhão Administrativo;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Pavilhão Vittório Emanuelle III;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Pavilhão de Ambulatórios/ Residência das Irmãs;</w:t>
      </w:r>
    </w:p>
    <w:p w:rsidR="00DC3F19" w:rsidRPr="003400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Capela;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Maternidade Condessa Filomena Matarazzo;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IX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O Eixo articulador do esquema de circulação horizontal, localizado paralelo à Alameda Rio Claro, elemento de conexão entre os edifícios Francisco Matarazzo, Ermelino Matarazzo, Antigo Pavilhão Administrativo, Pavilhão Vittório Emanuelle III, Pavilhão de Ambulatórios/ Residência das Irmãs.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3º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Fica estabelecida a seguinte proteção dos elementos listados: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os edifícios descritos no Art. 2º, incisos II, IV, V, VI a proteção recai sobre fachadas, volumetria e a estátua do Conde Matarazzo defronte ao Edifício Francisco Matarazzo;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edifício descrito no Art. 2º, inciso III (Ermelino Matarazzo) a proteção recai sobre fachadas, volumetria, escada com piso de mármore de Carrara, com guarda-corpos de ferro ornamentados e corrimãos de madeira e remanescentes da claraboia original e o busto de Ermelino Matarazzo com a respectiva placa comemorativa em travertino;</w:t>
      </w:r>
    </w:p>
    <w:p w:rsidR="00DC3F19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edifício descrito no Art. 2º, inciso VII (Capela), a proteção recai sobre fachadas, volumetria e áreas internas;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edifício descrito no Art. 2º, inciso VIII (Maternidade) a proteção recai sobre fachadas e volumetria do corpo principal simétrico, o espaço do saguão do térreo, o esquema de circulação em “U” de ambos os pavimentos e o busto de mármore de D. Filomena Matarazzo;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elemento descrito no Art. 2º, inciso IX (Eixo articulador), a proteção recai sobre a manutenção da conexão visual de uma ponta à outra do eixo;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4º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Ficam estabelecidas as seguintes diretrizes, de modo a assegurar a preservação dos elementos listados no Artigo 2º reconhecendo a variedade e o dinamismo de suas funções:</w:t>
      </w:r>
    </w:p>
    <w:p w:rsidR="00DC3F19" w:rsidRDefault="00DC3F19" w:rsidP="003E668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As intervenções deverão ser previamente aprovadas pelo Conselho Municipal de Preservação do Patrimônio Histórico, Cultural e Ambiental da Cidade de São </w:t>
      </w:r>
      <w:smartTag w:uri="urn:schemas-microsoft-com:office:smarttags" w:element="PersonName">
        <w:r w:rsidRPr="00D03697">
          <w:rPr>
            <w:rFonts w:ascii="Arial" w:hAnsi="Arial" w:cs="Arial"/>
            <w:color w:val="000000"/>
            <w:sz w:val="22"/>
            <w:szCs w:val="22"/>
          </w:rPr>
          <w:t>Paulo</w:t>
        </w:r>
      </w:smartTag>
      <w:r w:rsidRPr="00D03697">
        <w:rPr>
          <w:rFonts w:ascii="Arial" w:hAnsi="Arial" w:cs="Arial"/>
          <w:color w:val="000000"/>
          <w:sz w:val="22"/>
          <w:szCs w:val="22"/>
        </w:rPr>
        <w:t xml:space="preserve"> – CONPRESP, pautadas por critérios científicos de preservação patrimonial, sobretudo pelos princípios de distinguibilidade e reversibilidade;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Projetos de intervenção deverão privilegiar a manutenção de elementos que expressam o processo dinâmico de constituição do espaço do conjunto, através do qual as novas construções foram sendo agregadas acompanhando o crescimento da instituição, na primeira metade do século XX;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As novas intervenções deverão valorizar a qualidade dos espaços criados;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As novas intervenções deverão buscar conciliar-se e não apagar totalmente as marcas de intervenções pretéritas que buscaram linguagens que unificassem o conjunto, especialmente quando da construção da maternidade nos anos 1940;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Edifício Francisco Matarazzo, Edifício Ermelino Matarazzo, Antigo Pavilhão Administrativo, Pavilhão Vittório Emanuelle III, Pavilhão de Ambulatórios/ Residência das Irmãs e Maternidade Condessa Filomena Matarazzo (Art. 2º, incisos II, III, IV, V, VI, VIII), deve-se buscar externamente a recuperação de elementos compositivos e/ou volumes descaracterizados, bem como materiais de vedação, envasaduras, acabamento e ornamentação;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a Capela (Art. 2º, inciso VII):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Externamente, deve-se buscar a recuperação de elementos compositivos, bem como materiais de vedação, envasaduras, acabamento e ornamentação;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b)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Internamente, as intervenções deverão apresentar soluções em conformidade às especificidades tipológicas, espaciais e arquitetônicas do edifício, revertendo elementos prejudiciais e/ ou opções incongruentes de obras anteriores, com o objetivo de promover a valorização de sua espacialidade e ornamentação internas.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 eixo articulador do esquema de circulação horizontal (Art. 2º, inciso IX), não serão permitidas obstruções por intervenções de caráter permanente e deve-se prever a utilização de materiais transparentes de vedação;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VIII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as áreas entre os edifícios conectados pelo eixo articulador; listados nos itens II, III, IV, V e VI do Artigo 2º fica determinado que as intervenções paisagísticas deverão prever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valorização dos edifícios e elementos arrolados para este tombamento, conciliando-se com os indivíduos arbóreos existentes. Não serão permitidos elementos que prejudiquem a percepção que caracteriza a alternância de cheios e vazios entre os prédios do conjunto de origem pavilionar;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IX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Fica contemplada a possibilidade das intervenções a seguir exemplificadas, porém não limitadas a elas apenas, desde que criteriosamente justificadas para a valorização do bem tombado e que estejam graficamente expressas com clareza: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Compatibilizações no interior dos edifícios para atualização de espaços e/ou materiais;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b)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Demolições de elementos não listados, construções de novos edifícios dentro do perímetro de proteção e intervenções paisagísticas, cujas relações resultantes deverão ser valorizadoras dos elementos listados e da qualidade ambiental do sítio;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c)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Os projetos para os espaços não edificados do conjunto deverão pautar-se pela percepção das relações visuais, funcionais e perceptivas estabelecidas entres os elementos listados.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X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Fica sujeita à aprovação a instalação elementos de paisagismo, identificação e elementos publicitários no interior do perímetro de proteção;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XI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Fica sujeita à aprovação a instalação de elementos de mobiliário urbano e publicidade em seus passeios e vias de comunicação limítrofes;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XII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os edifícios não listados neste tombamento (Edifício da antiga Clínica Pediátrico Amélia de Camillis, aqueles construídos juntos aos muros da Rua Itapeva, o antigo Necrotério e a ampliação do prédio hospitalar da década de 1970):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Demolições serão permitidas no caso de novas intervenções;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b)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No caso dos edifícios construídos juntos aos muros da Rua Itapeva, deve-se privilegiar o ajardinamento da área;</w:t>
      </w:r>
    </w:p>
    <w:p w:rsidR="00DC3F19" w:rsidRPr="00D03697" w:rsidRDefault="00DC3F19" w:rsidP="008765C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c)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No caso específico de nova construção em substituição à antiga Clínica Pediátrica Amélia de Camillis, a altura máxima da nova edificação será 20 metros (6 pavimentos).</w:t>
      </w: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XIII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A fim de preservar o potencial de evocação da memória das atividades desenvolvidas no complexo hospitalar, desde a constituição da associação de ajuda mútua da colônia italiana em sua origem na Rua Major Diogo, até o local de nascimento de gerações de paulistas, a Maternidade, passando pela dinâmica de crescimento e transformação do conjunto, deve-se prever, no interior de um ou mais pavilhões tombados, área(s) com possibilidade de fruição pública para exposição permanente de documentação relativa à sua história.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5º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Para efeito deste tombamento, estabelece-se como área envoltória do Hospital Umberto I as calçadas adjacentes ao lote tombado na Rua São Carlos do Pinhal, Rua Itapeva, Rua Pamplona e Alameda Rio Claro.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 xml:space="preserve">Artigo 6º - 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Qualquer intervenção no perímetro descrito no artigo 1º - inclusive pequenos reparos e/ou pinturas nas edificações tombadas e demais elementos indicados para preservação, deverá ser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03697">
        <w:rPr>
          <w:rFonts w:ascii="Arial" w:hAnsi="Arial" w:cs="Arial"/>
          <w:color w:val="000000"/>
          <w:sz w:val="22"/>
          <w:szCs w:val="22"/>
        </w:rPr>
        <w:t>reviamente analisada e aprovada pelo Departamento do Patrimônio Histórico (DPH) e pelo Conpresp.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Pr="00D03697" w:rsidRDefault="00DC3F19" w:rsidP="003E66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3697">
        <w:rPr>
          <w:rFonts w:ascii="Arial" w:hAnsi="Arial" w:cs="Arial"/>
          <w:b/>
          <w:bCs/>
          <w:color w:val="000000"/>
          <w:sz w:val="22"/>
          <w:szCs w:val="22"/>
        </w:rPr>
        <w:t>Artigo 7º -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Esta Resolução entrará em vigor na data de sua publicação no Diário Oficial da Cidade, revogadas as disposições em contrário, especialmente o constante na Resolução n</w:t>
      </w:r>
      <w:r w:rsidRPr="00D03697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05/CONPRESP/91, publicada em 10 de abril de 1991, </w:t>
      </w:r>
      <w:r w:rsidRPr="00D0369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em seu</w:t>
      </w:r>
      <w:r w:rsidRPr="00D03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69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item n</w:t>
      </w:r>
      <w:r w:rsidRPr="00D03697">
        <w:rPr>
          <w:rFonts w:ascii="Arial" w:hAnsi="Arial" w:cs="Arial"/>
          <w:b/>
          <w:bCs/>
          <w:i/>
          <w:iCs/>
          <w:color w:val="000000"/>
          <w:sz w:val="22"/>
          <w:szCs w:val="22"/>
          <w:vertAlign w:val="superscript"/>
        </w:rPr>
        <w:t>o</w:t>
      </w:r>
      <w:r w:rsidRPr="00D0369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73.</w:t>
      </w:r>
    </w:p>
    <w:p w:rsidR="00DC3F19" w:rsidRPr="00D03697" w:rsidRDefault="00DC3F19" w:rsidP="003E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F19" w:rsidRDefault="00DC3F19" w:rsidP="003E668B">
      <w:pPr>
        <w:spacing w:line="360" w:lineRule="auto"/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DC3F19" w:rsidRPr="00D03697" w:rsidRDefault="00DC3F19" w:rsidP="003E668B">
      <w:pPr>
        <w:pStyle w:val="BodyTextIndent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 22/05/2014 – pág. 58</w:t>
      </w:r>
    </w:p>
    <w:sectPr w:rsidR="00DC3F19" w:rsidRPr="00D03697" w:rsidSect="008A3599">
      <w:headerReference w:type="default" r:id="rId7"/>
      <w:footerReference w:type="default" r:id="rId8"/>
      <w:pgSz w:w="11907" w:h="16840" w:code="9"/>
      <w:pgMar w:top="2268" w:right="1418" w:bottom="1134" w:left="1701" w:header="851" w:footer="9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19" w:rsidRDefault="00DC3F19">
      <w:r>
        <w:separator/>
      </w:r>
    </w:p>
  </w:endnote>
  <w:endnote w:type="continuationSeparator" w:id="0">
    <w:p w:rsidR="00DC3F19" w:rsidRDefault="00DC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19" w:rsidRDefault="00DC3F19">
    <w:pPr>
      <w:pStyle w:val="Footer"/>
      <w:jc w:val="right"/>
    </w:pPr>
  </w:p>
  <w:p w:rsidR="00DC3F19" w:rsidRDefault="00DC3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19" w:rsidRDefault="00DC3F19">
      <w:r>
        <w:separator/>
      </w:r>
    </w:p>
  </w:footnote>
  <w:footnote w:type="continuationSeparator" w:id="0">
    <w:p w:rsidR="00DC3F19" w:rsidRDefault="00DC3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19" w:rsidRDefault="00DC3F19">
    <w:pPr>
      <w:framePr w:hSpace="141" w:wrap="notBeside" w:vAnchor="text" w:hAnchor="page" w:x="1129" w:y="-59"/>
      <w:rPr>
        <w:rFonts w:ascii="Arial" w:hAnsi="Arial" w:cs="Arial"/>
        <w:b/>
        <w:bCs/>
        <w:noProof/>
      </w:rPr>
    </w:pPr>
    <w:r w:rsidRPr="00F36A22">
      <w:rPr>
        <w:rFonts w:ascii="Arial" w:hAnsi="Arial" w:cs="Arial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6.25pt;height:57.75pt;visibility:visible">
          <v:imagedata r:id="rId1" o:title=""/>
        </v:shape>
      </w:pict>
    </w:r>
  </w:p>
  <w:p w:rsidR="00DC3F19" w:rsidRDefault="00DC3F19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PREFEITURA DO MUNICÍPIO DE SÃO PAULO</w:t>
    </w:r>
  </w:p>
  <w:p w:rsidR="00DC3F19" w:rsidRDefault="00DC3F19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SECRETARIA MUNICIPAL DE CULTURA</w:t>
    </w:r>
  </w:p>
  <w:p w:rsidR="00DC3F19" w:rsidRDefault="00DC3F19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CONPRESP - Conselho Municipal de Preservação do Patrimônio</w:t>
    </w:r>
  </w:p>
  <w:p w:rsidR="00DC3F19" w:rsidRDefault="00DC3F19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Histórico, Cultural e Ambiental da Cidade de São </w:t>
    </w:r>
    <w:smartTag w:uri="urn:schemas-microsoft-com:office:smarttags" w:element="PersonName">
      <w:r>
        <w:rPr>
          <w:rFonts w:ascii="Arial" w:hAnsi="Arial" w:cs="Arial"/>
          <w:b/>
          <w:bCs/>
          <w:sz w:val="22"/>
          <w:szCs w:val="22"/>
        </w:rPr>
        <w:t>Paulo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95B"/>
    <w:multiLevelType w:val="hybridMultilevel"/>
    <w:tmpl w:val="9DA44280"/>
    <w:lvl w:ilvl="0" w:tplc="FB8A94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485"/>
    <w:multiLevelType w:val="hybridMultilevel"/>
    <w:tmpl w:val="A53A1762"/>
    <w:lvl w:ilvl="0" w:tplc="19621CA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4671508"/>
    <w:multiLevelType w:val="hybridMultilevel"/>
    <w:tmpl w:val="BF8AA232"/>
    <w:lvl w:ilvl="0" w:tplc="9DCE71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cs="Wingdings" w:hint="default"/>
      </w:rPr>
    </w:lvl>
  </w:abstractNum>
  <w:abstractNum w:abstractNumId="5">
    <w:nsid w:val="44616F57"/>
    <w:multiLevelType w:val="hybridMultilevel"/>
    <w:tmpl w:val="F4E6A6EA"/>
    <w:lvl w:ilvl="0" w:tplc="16E83F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310BC9"/>
    <w:multiLevelType w:val="hybridMultilevel"/>
    <w:tmpl w:val="6CFEE13A"/>
    <w:lvl w:ilvl="0" w:tplc="223E103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E9A000B"/>
    <w:multiLevelType w:val="hybridMultilevel"/>
    <w:tmpl w:val="ED590E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ED04E5C"/>
    <w:multiLevelType w:val="hybridMultilevel"/>
    <w:tmpl w:val="AE128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rawingGridVerticalSpacing w:val="127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687"/>
    <w:rsid w:val="000747CC"/>
    <w:rsid w:val="000A3B1D"/>
    <w:rsid w:val="000B4E63"/>
    <w:rsid w:val="000B6B94"/>
    <w:rsid w:val="000C0674"/>
    <w:rsid w:val="000D5C0B"/>
    <w:rsid w:val="000E456B"/>
    <w:rsid w:val="00102510"/>
    <w:rsid w:val="001071B4"/>
    <w:rsid w:val="001128AC"/>
    <w:rsid w:val="0011407C"/>
    <w:rsid w:val="00117167"/>
    <w:rsid w:val="00127E16"/>
    <w:rsid w:val="001473C1"/>
    <w:rsid w:val="00162A56"/>
    <w:rsid w:val="001841B4"/>
    <w:rsid w:val="00193FAB"/>
    <w:rsid w:val="001956C1"/>
    <w:rsid w:val="001E1687"/>
    <w:rsid w:val="001F11BC"/>
    <w:rsid w:val="002122DE"/>
    <w:rsid w:val="00245D48"/>
    <w:rsid w:val="00255004"/>
    <w:rsid w:val="002A099D"/>
    <w:rsid w:val="002B6FCA"/>
    <w:rsid w:val="003140CE"/>
    <w:rsid w:val="00335BCB"/>
    <w:rsid w:val="00340097"/>
    <w:rsid w:val="00351BFF"/>
    <w:rsid w:val="00355A0C"/>
    <w:rsid w:val="0039101B"/>
    <w:rsid w:val="003A6DA2"/>
    <w:rsid w:val="003C49B3"/>
    <w:rsid w:val="003D2A54"/>
    <w:rsid w:val="003E668B"/>
    <w:rsid w:val="003F58D1"/>
    <w:rsid w:val="0040253E"/>
    <w:rsid w:val="004D1760"/>
    <w:rsid w:val="004E0F03"/>
    <w:rsid w:val="004F1D9E"/>
    <w:rsid w:val="00522F67"/>
    <w:rsid w:val="005C7B06"/>
    <w:rsid w:val="00605830"/>
    <w:rsid w:val="0062562A"/>
    <w:rsid w:val="006368EB"/>
    <w:rsid w:val="0064062F"/>
    <w:rsid w:val="0066188B"/>
    <w:rsid w:val="006716EB"/>
    <w:rsid w:val="00681DCD"/>
    <w:rsid w:val="00682627"/>
    <w:rsid w:val="00683877"/>
    <w:rsid w:val="006A1580"/>
    <w:rsid w:val="006D110C"/>
    <w:rsid w:val="006D6197"/>
    <w:rsid w:val="006F6158"/>
    <w:rsid w:val="00700DC3"/>
    <w:rsid w:val="0075202C"/>
    <w:rsid w:val="00797E72"/>
    <w:rsid w:val="007C5A70"/>
    <w:rsid w:val="007E55C4"/>
    <w:rsid w:val="00830B8A"/>
    <w:rsid w:val="0085490B"/>
    <w:rsid w:val="00857910"/>
    <w:rsid w:val="008765CA"/>
    <w:rsid w:val="00876A02"/>
    <w:rsid w:val="00896071"/>
    <w:rsid w:val="008A3599"/>
    <w:rsid w:val="008C4336"/>
    <w:rsid w:val="008D185E"/>
    <w:rsid w:val="008E504F"/>
    <w:rsid w:val="0091249F"/>
    <w:rsid w:val="00917707"/>
    <w:rsid w:val="00934351"/>
    <w:rsid w:val="009463D3"/>
    <w:rsid w:val="00947310"/>
    <w:rsid w:val="00986731"/>
    <w:rsid w:val="00991C6E"/>
    <w:rsid w:val="009A0FE5"/>
    <w:rsid w:val="009D3E62"/>
    <w:rsid w:val="00A658D7"/>
    <w:rsid w:val="00A80A7C"/>
    <w:rsid w:val="00A85A1E"/>
    <w:rsid w:val="00A86086"/>
    <w:rsid w:val="00A94E2F"/>
    <w:rsid w:val="00AC11B5"/>
    <w:rsid w:val="00AC79C8"/>
    <w:rsid w:val="00AF4639"/>
    <w:rsid w:val="00B4034F"/>
    <w:rsid w:val="00B5312C"/>
    <w:rsid w:val="00B76C96"/>
    <w:rsid w:val="00B91ABC"/>
    <w:rsid w:val="00B97056"/>
    <w:rsid w:val="00BA3824"/>
    <w:rsid w:val="00BD2970"/>
    <w:rsid w:val="00BF7AEB"/>
    <w:rsid w:val="00C11545"/>
    <w:rsid w:val="00C1668C"/>
    <w:rsid w:val="00C33AFA"/>
    <w:rsid w:val="00C34E9C"/>
    <w:rsid w:val="00C60153"/>
    <w:rsid w:val="00C6154C"/>
    <w:rsid w:val="00C94681"/>
    <w:rsid w:val="00CA0305"/>
    <w:rsid w:val="00CA19D7"/>
    <w:rsid w:val="00CE4115"/>
    <w:rsid w:val="00CF2A9E"/>
    <w:rsid w:val="00D03697"/>
    <w:rsid w:val="00D07B6C"/>
    <w:rsid w:val="00D2551C"/>
    <w:rsid w:val="00D73E11"/>
    <w:rsid w:val="00DC3F19"/>
    <w:rsid w:val="00DE4ED0"/>
    <w:rsid w:val="00E014BD"/>
    <w:rsid w:val="00E13045"/>
    <w:rsid w:val="00E245B7"/>
    <w:rsid w:val="00E576B6"/>
    <w:rsid w:val="00E834E0"/>
    <w:rsid w:val="00E864C1"/>
    <w:rsid w:val="00EC4643"/>
    <w:rsid w:val="00EE6319"/>
    <w:rsid w:val="00F06F5C"/>
    <w:rsid w:val="00F30DE7"/>
    <w:rsid w:val="00F36A22"/>
    <w:rsid w:val="00F37EBF"/>
    <w:rsid w:val="00F4466D"/>
    <w:rsid w:val="00F459DC"/>
    <w:rsid w:val="00F70FE4"/>
    <w:rsid w:val="00F80496"/>
    <w:rsid w:val="00FB67D8"/>
    <w:rsid w:val="00FC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9D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Calibri"/>
      <w:b/>
      <w:bCs/>
      <w:small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249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124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1249F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A19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24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19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A19D7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249F"/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CA19D7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A19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49F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CA19D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sid w:val="00CA19D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CA19D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91249F"/>
    <w:rPr>
      <w:rFonts w:ascii="Cambria" w:hAnsi="Cambria" w:cs="Cambria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rsid w:val="00CA19D7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249F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112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28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5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D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0A3B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3B1D"/>
    <w:rPr>
      <w:sz w:val="24"/>
      <w:szCs w:val="24"/>
    </w:rPr>
  </w:style>
  <w:style w:type="paragraph" w:customStyle="1" w:styleId="Default">
    <w:name w:val="Default"/>
    <w:uiPriority w:val="99"/>
    <w:rsid w:val="003A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D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1884</Words>
  <Characters>10175</Characters>
  <Application>Microsoft Office Outlook</Application>
  <DocSecurity>0</DocSecurity>
  <Lines>0</Lines>
  <Paragraphs>0</Paragraphs>
  <ScaleCrop>false</ScaleCrop>
  <Company>Maria Ester de Araujo Lopes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subject/>
  <dc:creator>Maria Ester de Araujo Lopes</dc:creator>
  <cp:keywords/>
  <dc:description/>
  <cp:lastModifiedBy>d788321</cp:lastModifiedBy>
  <cp:revision>2</cp:revision>
  <cp:lastPrinted>2013-11-07T15:37:00Z</cp:lastPrinted>
  <dcterms:created xsi:type="dcterms:W3CDTF">2014-05-22T13:59:00Z</dcterms:created>
  <dcterms:modified xsi:type="dcterms:W3CDTF">2014-05-22T13:59:00Z</dcterms:modified>
</cp:coreProperties>
</file>