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69" w:rsidRDefault="00316569">
      <w:pPr>
        <w:widowControl w:val="0"/>
        <w:autoSpaceDE w:val="0"/>
        <w:autoSpaceDN w:val="0"/>
        <w:adjustRightInd w:val="0"/>
        <w:spacing w:line="249" w:lineRule="exact"/>
        <w:ind w:left="10" w:right="4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316569" w:rsidRDefault="00316569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316569" w:rsidRDefault="00316569">
      <w:pPr>
        <w:widowControl w:val="0"/>
        <w:autoSpaceDE w:val="0"/>
        <w:autoSpaceDN w:val="0"/>
        <w:adjustRightInd w:val="0"/>
        <w:spacing w:line="253" w:lineRule="exact"/>
        <w:ind w:left="10" w:right="48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316569" w:rsidRDefault="00316569">
      <w:pPr>
        <w:widowControl w:val="0"/>
        <w:autoSpaceDE w:val="0"/>
        <w:autoSpaceDN w:val="0"/>
        <w:adjustRightInd w:val="0"/>
        <w:spacing w:line="300" w:lineRule="exact"/>
        <w:ind w:left="10" w:right="4839"/>
        <w:rPr>
          <w:sz w:val="30"/>
          <w:szCs w:val="30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40" w:lineRule="exact"/>
        <w:ind w:left="10" w:right="4839"/>
      </w:pP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316569" w:rsidRDefault="00316569">
      <w:pPr>
        <w:widowControl w:val="0"/>
        <w:autoSpaceDE w:val="0"/>
        <w:autoSpaceDN w:val="0"/>
        <w:adjustRightInd w:val="0"/>
        <w:spacing w:line="234" w:lineRule="exact"/>
        <w:ind w:left="10" w:right="8007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46/92 </w:t>
      </w:r>
    </w:p>
    <w:p w:rsidR="00316569" w:rsidRDefault="00316569">
      <w:pPr>
        <w:widowControl w:val="0"/>
        <w:autoSpaceDE w:val="0"/>
        <w:autoSpaceDN w:val="0"/>
        <w:adjustRightInd w:val="0"/>
        <w:spacing w:line="218" w:lineRule="exact"/>
        <w:ind w:left="10" w:right="6100"/>
        <w:rPr>
          <w:sz w:val="22"/>
          <w:szCs w:val="22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São Paulo - CONPRESP, por decisão unânime dos Conselheiros presentes à reunião extraordinária </w:t>
      </w:r>
    </w:p>
    <w:p w:rsidR="00316569" w:rsidRDefault="00316569">
      <w:pPr>
        <w:widowControl w:val="0"/>
        <w:autoSpaceDE w:val="0"/>
        <w:autoSpaceDN w:val="0"/>
        <w:adjustRightInd w:val="0"/>
        <w:spacing w:line="345" w:lineRule="exact"/>
        <w:ind w:left="10" w:right="47"/>
      </w:pPr>
      <w:r>
        <w:rPr>
          <w:rFonts w:ascii="Arial" w:hAnsi="Arial" w:cs="Arial"/>
          <w:spacing w:val="1"/>
          <w:sz w:val="20"/>
          <w:szCs w:val="20"/>
        </w:rPr>
        <w:t>realizada em 11 de dezembro de 1992, no uso d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>e suas atribuições legais e nos termos da Lei n</w:t>
      </w:r>
      <w:r>
        <w:rPr>
          <w:rFonts w:ascii="Arial" w:hAnsi="Arial" w:cs="Arial"/>
          <w:spacing w:val="1"/>
          <w:position w:val="5"/>
          <w:sz w:val="12"/>
          <w:szCs w:val="12"/>
        </w:rPr>
        <w:t xml:space="preserve">o </w:t>
      </w:r>
    </w:p>
    <w:p w:rsidR="00316569" w:rsidRDefault="00316569">
      <w:pPr>
        <w:widowControl w:val="0"/>
        <w:autoSpaceDE w:val="0"/>
        <w:autoSpaceDN w:val="0"/>
        <w:adjustRightInd w:val="0"/>
        <w:spacing w:line="114" w:lineRule="exact"/>
        <w:ind w:left="10" w:right="3139"/>
      </w:pPr>
      <w:r>
        <w:rPr>
          <w:rFonts w:ascii="Arial" w:hAnsi="Arial" w:cs="Arial"/>
          <w:spacing w:val="-1"/>
          <w:sz w:val="20"/>
          <w:szCs w:val="20"/>
        </w:rPr>
        <w:t xml:space="preserve">10.032/85, com as alterações introduzidas pela Lei n 10.236/86, e </w:t>
      </w:r>
    </w:p>
    <w:p w:rsidR="00316569" w:rsidRDefault="00316569">
      <w:pPr>
        <w:widowControl w:val="0"/>
        <w:autoSpaceDE w:val="0"/>
        <w:autoSpaceDN w:val="0"/>
        <w:adjustRightInd w:val="0"/>
        <w:spacing w:line="231" w:lineRule="exact"/>
        <w:ind w:left="10" w:right="3139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48" w:firstLine="425"/>
      </w:pPr>
      <w:r>
        <w:rPr>
          <w:rFonts w:ascii="Arial" w:hAnsi="Arial" w:cs="Arial"/>
          <w:spacing w:val="-1"/>
          <w:sz w:val="20"/>
          <w:szCs w:val="20"/>
        </w:rPr>
        <w:t xml:space="preserve">Considerando o valor histórico representado pela área da Freguesia do Ó no processo de ocupação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5947"/>
      </w:pPr>
      <w:r>
        <w:rPr>
          <w:rFonts w:ascii="Arial" w:hAnsi="Arial" w:cs="Arial"/>
          <w:spacing w:val="-3"/>
          <w:sz w:val="20"/>
          <w:szCs w:val="20"/>
        </w:rPr>
        <w:t xml:space="preserve">da margem direita do Rio Tietê; </w:t>
      </w:r>
    </w:p>
    <w:p w:rsidR="00316569" w:rsidRDefault="00316569">
      <w:pPr>
        <w:widowControl w:val="0"/>
        <w:autoSpaceDE w:val="0"/>
        <w:autoSpaceDN w:val="0"/>
        <w:adjustRightInd w:val="0"/>
        <w:spacing w:line="231" w:lineRule="exact"/>
        <w:ind w:left="10" w:right="5947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48" w:firstLine="425"/>
      </w:pPr>
      <w:r>
        <w:rPr>
          <w:rFonts w:ascii="Arial" w:hAnsi="Arial" w:cs="Arial"/>
          <w:sz w:val="20"/>
          <w:szCs w:val="20"/>
        </w:rPr>
        <w:t xml:space="preserve">Considerando o valor urbanístico e referencial na paisagem urbana paulistana, representado pelo </w:t>
      </w:r>
      <w:r>
        <w:rPr>
          <w:rFonts w:ascii="Arial" w:hAnsi="Arial" w:cs="Arial"/>
          <w:spacing w:val="-1"/>
          <w:sz w:val="20"/>
          <w:szCs w:val="20"/>
        </w:rPr>
        <w:t xml:space="preserve">conjunto de edificações que ocupa o núcleo original de povoamento do bairro, destacando-se a partir do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3314"/>
      </w:pPr>
      <w:r>
        <w:rPr>
          <w:rFonts w:ascii="Arial" w:hAnsi="Arial" w:cs="Arial"/>
          <w:spacing w:val="-2"/>
          <w:sz w:val="20"/>
          <w:szCs w:val="20"/>
        </w:rPr>
        <w:t xml:space="preserve">final do século XIX a atual Igreja Matriz de Nossa Senhora do Ó;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3314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pacing w:val="-1"/>
          <w:sz w:val="20"/>
          <w:szCs w:val="20"/>
        </w:rPr>
        <w:t xml:space="preserve">Considerando o valor histórico-arquitetônico, ambiental e afetivo de diversas edificações localizadas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1022"/>
      </w:pPr>
      <w:r>
        <w:rPr>
          <w:rFonts w:ascii="Arial" w:hAnsi="Arial" w:cs="Arial"/>
          <w:spacing w:val="-2"/>
          <w:sz w:val="20"/>
          <w:szCs w:val="20"/>
        </w:rPr>
        <w:t xml:space="preserve">em torno dos dois largos - da Matriz Velha e da atual Igreja - na caracterização dessa área; e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1022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Considerando a relação indissociável entre a conformação espacial desse núcleo e as relações de </w:t>
      </w:r>
      <w:r>
        <w:rPr>
          <w:rFonts w:ascii="Arial" w:hAnsi="Arial" w:cs="Arial"/>
          <w:spacing w:val="1"/>
          <w:sz w:val="20"/>
          <w:szCs w:val="20"/>
        </w:rPr>
        <w:t xml:space="preserve">solidariedade e sociabilidade que caracterizam a identidade própria dos moradores desse antigo </w:t>
      </w:r>
      <w:r>
        <w:rPr>
          <w:rFonts w:ascii="Arial" w:hAnsi="Arial" w:cs="Arial"/>
          <w:sz w:val="20"/>
          <w:szCs w:val="20"/>
        </w:rPr>
        <w:t xml:space="preserve">assentamento, e que até hoje se mantém, mesmo com as intensas modificações urbanas ocorridas em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7226"/>
      </w:pPr>
      <w:r>
        <w:rPr>
          <w:rFonts w:ascii="Arial" w:hAnsi="Arial" w:cs="Arial"/>
          <w:spacing w:val="-5"/>
          <w:sz w:val="20"/>
          <w:szCs w:val="20"/>
        </w:rPr>
        <w:t xml:space="preserve">sua vizinhança, </w:t>
      </w:r>
    </w:p>
    <w:p w:rsidR="00316569" w:rsidRDefault="00316569">
      <w:pPr>
        <w:widowControl w:val="0"/>
        <w:autoSpaceDE w:val="0"/>
        <w:autoSpaceDN w:val="0"/>
        <w:adjustRightInd w:val="0"/>
        <w:spacing w:line="259" w:lineRule="exact"/>
        <w:ind w:left="10" w:right="7226"/>
        <w:rPr>
          <w:sz w:val="26"/>
          <w:szCs w:val="26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00" w:lineRule="exact"/>
        <w:ind w:left="436" w:right="7983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316569" w:rsidRDefault="00316569">
      <w:pPr>
        <w:widowControl w:val="0"/>
        <w:autoSpaceDE w:val="0"/>
        <w:autoSpaceDN w:val="0"/>
        <w:adjustRightInd w:val="0"/>
        <w:spacing w:line="226" w:lineRule="exact"/>
        <w:ind w:left="436" w:right="7983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349" w:lineRule="exact"/>
        <w:ind w:left="436" w:right="54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1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Ficam tombados</w:t>
      </w:r>
      <w:r>
        <w:rPr>
          <w:rFonts w:ascii="Arial" w:hAnsi="Arial" w:cs="Arial"/>
          <w:spacing w:val="1"/>
          <w:sz w:val="20"/>
          <w:szCs w:val="20"/>
        </w:rPr>
        <w:t>, no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NÚCLEO ORIGINAL</w:t>
      </w:r>
      <w:r>
        <w:rPr>
          <w:rFonts w:ascii="Arial" w:hAnsi="Arial" w:cs="Arial"/>
          <w:spacing w:val="1"/>
          <w:position w:val="-9"/>
          <w:sz w:val="12"/>
          <w:szCs w:val="12"/>
        </w:rPr>
        <w:t xml:space="preserve"> o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DE POVOAMENTO DO BAIRRO DA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>FREGUESIA DO Ó</w:t>
      </w:r>
      <w:r>
        <w:rPr>
          <w:rFonts w:ascii="Arial" w:hAnsi="Arial" w:cs="Arial"/>
          <w:sz w:val="20"/>
          <w:szCs w:val="20"/>
        </w:rPr>
        <w:t xml:space="preserve"> , definido pelas Resoluções CONPRESP n</w:t>
      </w:r>
      <w:r>
        <w:rPr>
          <w:rFonts w:ascii="Arial" w:hAnsi="Arial" w:cs="Arial"/>
          <w:sz w:val="12"/>
          <w:szCs w:val="12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18/91 e 21/91, o seguinte conjunto de </w:t>
      </w:r>
    </w:p>
    <w:p w:rsidR="00316569" w:rsidRDefault="00316569">
      <w:pPr>
        <w:widowControl w:val="0"/>
        <w:autoSpaceDE w:val="0"/>
        <w:autoSpaceDN w:val="0"/>
        <w:adjustRightInd w:val="0"/>
        <w:spacing w:line="114" w:lineRule="exact"/>
        <w:ind w:left="10" w:right="739"/>
      </w:pPr>
      <w:r>
        <w:rPr>
          <w:rFonts w:ascii="Arial" w:hAnsi="Arial" w:cs="Arial"/>
          <w:spacing w:val="-1"/>
          <w:sz w:val="20"/>
          <w:szCs w:val="20"/>
        </w:rPr>
        <w:t xml:space="preserve">elementos constituidores da paisagem urbana, conforme planta n 1 que integra esta Resolução: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739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2052"/>
      </w:pPr>
      <w:r>
        <w:rPr>
          <w:rFonts w:ascii="Arial" w:hAnsi="Arial" w:cs="Arial"/>
          <w:spacing w:val="-2"/>
          <w:sz w:val="20"/>
          <w:szCs w:val="20"/>
        </w:rPr>
        <w:t xml:space="preserve">I - Traçado urbano constituído pelas seguintes: vias e logradouros públicos: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4430"/>
      </w:pPr>
      <w:r>
        <w:rPr>
          <w:rFonts w:ascii="Arial" w:hAnsi="Arial" w:cs="Arial"/>
          <w:spacing w:val="-3"/>
          <w:sz w:val="20"/>
          <w:szCs w:val="20"/>
        </w:rPr>
        <w:t xml:space="preserve">1. Largo da Matriz Velha (CADLOG 13726-0);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2959"/>
      </w:pPr>
      <w:r>
        <w:rPr>
          <w:rFonts w:ascii="Arial" w:hAnsi="Arial" w:cs="Arial"/>
          <w:spacing w:val="-2"/>
          <w:sz w:val="20"/>
          <w:szCs w:val="20"/>
        </w:rPr>
        <w:t xml:space="preserve">2. Largo da Matriz de Nossa Senhora do Ó (CADLOG 13725-1);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436" w:right="47"/>
      </w:pPr>
      <w:r>
        <w:rPr>
          <w:rFonts w:ascii="Arial" w:hAnsi="Arial" w:cs="Arial"/>
          <w:sz w:val="20"/>
          <w:szCs w:val="20"/>
        </w:rPr>
        <w:t xml:space="preserve">3. Avenida Itaberaba (CADLOG 09420-0) - entre o Largo da Matriz Velha e a Rua Chico de Paulo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6826"/>
      </w:pPr>
      <w:r>
        <w:rPr>
          <w:rFonts w:ascii="Arial" w:hAnsi="Arial" w:cs="Arial"/>
          <w:spacing w:val="-5"/>
          <w:sz w:val="20"/>
          <w:szCs w:val="20"/>
        </w:rPr>
        <w:t xml:space="preserve">(CADLOG 04892-5);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5252"/>
      </w:pPr>
      <w:r>
        <w:rPr>
          <w:rFonts w:ascii="Arial" w:hAnsi="Arial" w:cs="Arial"/>
          <w:spacing w:val="-3"/>
          <w:sz w:val="20"/>
          <w:szCs w:val="20"/>
        </w:rPr>
        <w:t xml:space="preserve">4. Rua Piqueri (CADLOG 16306-6);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436" w:right="47"/>
      </w:pPr>
      <w:r>
        <w:rPr>
          <w:rFonts w:ascii="Arial" w:hAnsi="Arial" w:cs="Arial"/>
          <w:spacing w:val="-1"/>
          <w:sz w:val="20"/>
          <w:szCs w:val="20"/>
        </w:rPr>
        <w:t xml:space="preserve">5. Rua João Alves (CADLOG 10125-7) - entre o Largo da Matriz Velha e a Ladeira Velha (CADLOG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7696"/>
      </w:pPr>
      <w:r>
        <w:rPr>
          <w:rFonts w:ascii="Arial" w:hAnsi="Arial" w:cs="Arial"/>
          <w:spacing w:val="-8"/>
          <w:sz w:val="20"/>
          <w:szCs w:val="20"/>
        </w:rPr>
        <w:t xml:space="preserve">19527-8);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5083"/>
      </w:pPr>
      <w:r>
        <w:rPr>
          <w:rFonts w:ascii="Arial" w:hAnsi="Arial" w:cs="Arial"/>
          <w:spacing w:val="-3"/>
          <w:sz w:val="20"/>
          <w:szCs w:val="20"/>
        </w:rPr>
        <w:t xml:space="preserve">6. Ladeira Velha (CADLOG 19527-8);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436" w:right="48"/>
      </w:pPr>
      <w:r>
        <w:rPr>
          <w:rFonts w:ascii="Arial" w:hAnsi="Arial" w:cs="Arial"/>
          <w:sz w:val="20"/>
          <w:szCs w:val="20"/>
        </w:rPr>
        <w:t xml:space="preserve">7. Rua da Bica (CADLOG 03357-0) - entre a Rua Anastácio de Souza Pinto (CADLOG 18334-2) e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6805"/>
      </w:pPr>
      <w:r>
        <w:rPr>
          <w:rFonts w:ascii="Arial" w:hAnsi="Arial" w:cs="Arial"/>
          <w:spacing w:val="-4"/>
          <w:sz w:val="20"/>
          <w:szCs w:val="20"/>
        </w:rPr>
        <w:t xml:space="preserve">a Avenida Itaberaba;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9" w:firstLine="426"/>
      </w:pPr>
      <w:r>
        <w:rPr>
          <w:rFonts w:ascii="Arial" w:hAnsi="Arial" w:cs="Arial"/>
          <w:sz w:val="20"/>
          <w:szCs w:val="20"/>
        </w:rPr>
        <w:t xml:space="preserve">8. Rua Coronel Tristão (CADLOG 19172-8) - entre a Rua da Bica e o Largo da Matriz de Nossa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7297"/>
      </w:pPr>
      <w:r>
        <w:rPr>
          <w:rFonts w:ascii="Arial" w:hAnsi="Arial" w:cs="Arial"/>
          <w:spacing w:val="-6"/>
          <w:sz w:val="20"/>
          <w:szCs w:val="20"/>
        </w:rPr>
        <w:t xml:space="preserve">Senhora do Ó;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9. Rua José de Siqueira (CADLOG 11199-6) - entre a Rua da Bica e o Largo da Matriz de Nossa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7297"/>
      </w:pPr>
      <w:r>
        <w:rPr>
          <w:rFonts w:ascii="Arial" w:hAnsi="Arial" w:cs="Arial"/>
          <w:spacing w:val="-6"/>
          <w:sz w:val="20"/>
          <w:szCs w:val="20"/>
        </w:rPr>
        <w:t xml:space="preserve">Senhora do Ó;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10. Rua Anástacio de Souza Pinto (CADLOG 18334-2) - entre a Rua da Bica e a Rua Jesuíno de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6406"/>
      </w:pPr>
      <w:r>
        <w:rPr>
          <w:rFonts w:ascii="Arial" w:hAnsi="Arial" w:cs="Arial"/>
          <w:spacing w:val="-4"/>
          <w:sz w:val="20"/>
          <w:szCs w:val="20"/>
        </w:rPr>
        <w:t xml:space="preserve">Brito (CADLOG 10075-7);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436" w:right="3611"/>
      </w:pPr>
      <w:r>
        <w:rPr>
          <w:rFonts w:ascii="Arial" w:hAnsi="Arial" w:cs="Arial"/>
          <w:spacing w:val="-3"/>
          <w:sz w:val="20"/>
          <w:szCs w:val="20"/>
        </w:rPr>
        <w:t xml:space="preserve">11. Rua Antônio de Sousa Ferreira (CADLOG 07581-7);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47"/>
      </w:pPr>
      <w:r>
        <w:rPr>
          <w:rFonts w:ascii="Arial" w:hAnsi="Arial" w:cs="Arial"/>
          <w:spacing w:val="-2"/>
          <w:sz w:val="20"/>
          <w:szCs w:val="20"/>
        </w:rPr>
        <w:t xml:space="preserve">12. Rua Jesuíno de Brito (CADLOG 10075-7) - entre a Rua Antonieta Leitão (CADLOG 01508-3) e o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6507"/>
      </w:pPr>
      <w:r>
        <w:rPr>
          <w:rFonts w:ascii="Arial" w:hAnsi="Arial" w:cs="Arial"/>
          <w:spacing w:val="-4"/>
          <w:sz w:val="20"/>
          <w:szCs w:val="20"/>
        </w:rPr>
        <w:t xml:space="preserve">Largo da Matriz Velha; e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Avenida Paula Ferreira (CADLOG 15626-4) - entre a Rua Jesuíno de Brito e o Largo da Matriz </w:t>
      </w:r>
      <w:r>
        <w:rPr>
          <w:rFonts w:ascii="Arial" w:hAnsi="Arial" w:cs="Arial"/>
          <w:spacing w:val="-4"/>
          <w:sz w:val="20"/>
          <w:szCs w:val="20"/>
        </w:rPr>
        <w:t xml:space="preserve">de Nossa Senhora do Ó.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  <w:rPr>
          <w:rFonts w:ascii="Arial" w:hAnsi="Arial" w:cs="Arial"/>
          <w:spacing w:val="-4"/>
          <w:sz w:val="20"/>
          <w:szCs w:val="20"/>
        </w:rPr>
        <w:sectPr w:rsidR="00316569">
          <w:pgSz w:w="11900" w:h="16840"/>
          <w:pgMar w:top="1420" w:right="1640" w:bottom="320" w:left="840" w:header="720" w:footer="720" w:gutter="0"/>
          <w:cols w:space="720"/>
          <w:noEndnote/>
        </w:sectPr>
      </w:pPr>
    </w:p>
    <w:p w:rsidR="00316569" w:rsidRDefault="00316569">
      <w:pPr>
        <w:widowControl w:val="0"/>
        <w:autoSpaceDE w:val="0"/>
        <w:autoSpaceDN w:val="0"/>
        <w:adjustRightInd w:val="0"/>
        <w:spacing w:line="255" w:lineRule="exact"/>
        <w:ind w:left="436" w:right="3581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2"/>
          <w:sz w:val="20"/>
          <w:szCs w:val="20"/>
        </w:rPr>
        <w:t xml:space="preserve">II - Edificações classificadas em dois níveis de proteção: </w:t>
      </w:r>
    </w:p>
    <w:p w:rsidR="00316569" w:rsidRDefault="00316569">
      <w:pPr>
        <w:widowControl w:val="0"/>
        <w:autoSpaceDE w:val="0"/>
        <w:autoSpaceDN w:val="0"/>
        <w:adjustRightInd w:val="0"/>
        <w:spacing w:line="231" w:lineRule="exact"/>
        <w:ind w:left="436" w:right="3581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436" w:right="5633"/>
      </w:pPr>
      <w:r>
        <w:rPr>
          <w:rFonts w:ascii="Arial" w:hAnsi="Arial" w:cs="Arial"/>
          <w:spacing w:val="-3"/>
          <w:sz w:val="20"/>
          <w:szCs w:val="20"/>
        </w:rPr>
        <w:t>a)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Nível de Proteção 1 (NP-1)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436" w:right="49"/>
      </w:pPr>
      <w:r>
        <w:rPr>
          <w:rFonts w:ascii="Arial" w:hAnsi="Arial" w:cs="Arial"/>
          <w:spacing w:val="-2"/>
          <w:sz w:val="20"/>
          <w:szCs w:val="20"/>
        </w:rPr>
        <w:t>1. Igreja de Nossa Senhora do Ó - Largo da Matriz de Nossa Senhora do Ó s/n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(Setor 104 - Quadra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7297"/>
      </w:pPr>
      <w:r>
        <w:rPr>
          <w:rFonts w:ascii="Arial" w:hAnsi="Arial" w:cs="Arial"/>
          <w:spacing w:val="-5"/>
          <w:sz w:val="20"/>
          <w:szCs w:val="20"/>
        </w:rPr>
        <w:t xml:space="preserve">133 - Lote 01).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7297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5633"/>
      </w:pPr>
      <w:r>
        <w:rPr>
          <w:rFonts w:ascii="Arial" w:hAnsi="Arial" w:cs="Arial"/>
          <w:spacing w:val="-3"/>
          <w:sz w:val="20"/>
          <w:szCs w:val="20"/>
        </w:rPr>
        <w:t>b)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Nível de Proteção 2 (NP-2)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591"/>
      </w:pPr>
      <w:r>
        <w:rPr>
          <w:rFonts w:ascii="Arial" w:hAnsi="Arial" w:cs="Arial"/>
          <w:spacing w:val="-2"/>
          <w:sz w:val="20"/>
          <w:szCs w:val="20"/>
        </w:rPr>
        <w:t>2. Reservatório da SABESP (Caixa d'água) - Avenida Itaberaba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185 (S 104 - Q 119 - L 08);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1185"/>
      </w:pPr>
      <w:r>
        <w:rPr>
          <w:rFonts w:ascii="Arial" w:hAnsi="Arial" w:cs="Arial"/>
          <w:spacing w:val="-2"/>
          <w:sz w:val="20"/>
          <w:szCs w:val="20"/>
        </w:rPr>
        <w:t>3. EEPG Padre Manoel de Nóbrega - Avenida Itaberaba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135 (S 104 - Q 119 - L 09):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436" w:right="2234"/>
      </w:pPr>
      <w:r>
        <w:rPr>
          <w:rFonts w:ascii="Arial" w:hAnsi="Arial" w:cs="Arial"/>
          <w:spacing w:val="-2"/>
          <w:sz w:val="20"/>
          <w:szCs w:val="20"/>
        </w:rPr>
        <w:t>4. Largo da Matriz de Nossa Senhora do Ó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144 (S 104 - Q 125 - L 03); 5. Largo da Matriz de Nossa Senhora do Ó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168 (S 104 - Q 125 - L 07); 6. Largo da Matriz de Nossa Senhora do Ó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134 (S 104 - Q 125 - L 09); 7. Largo da Matriz de Nossa Senhora do Ó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152 (S 104 - Q 125 - L 21; </w:t>
      </w:r>
    </w:p>
    <w:p w:rsidR="00316569" w:rsidRDefault="00316569">
      <w:pPr>
        <w:widowControl w:val="0"/>
        <w:autoSpaceDE w:val="0"/>
        <w:autoSpaceDN w:val="0"/>
        <w:adjustRightInd w:val="0"/>
        <w:spacing w:line="345" w:lineRule="exact"/>
        <w:ind w:left="436" w:right="2234"/>
      </w:pPr>
      <w:r>
        <w:rPr>
          <w:rFonts w:ascii="Arial" w:hAnsi="Arial" w:cs="Arial"/>
          <w:spacing w:val="-2"/>
          <w:sz w:val="20"/>
          <w:szCs w:val="20"/>
        </w:rPr>
        <w:t>8. Largo da Matriz de Noss</w:t>
      </w:r>
      <w:r>
        <w:rPr>
          <w:rFonts w:ascii="Arial" w:hAnsi="Arial" w:cs="Arial"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>a Senhora do Ó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124 (S 104 - Q 125 - L 25); </w:t>
      </w:r>
    </w:p>
    <w:p w:rsidR="00316569" w:rsidRDefault="00316569">
      <w:pPr>
        <w:widowControl w:val="0"/>
        <w:autoSpaceDE w:val="0"/>
        <w:autoSpaceDN w:val="0"/>
        <w:adjustRightInd w:val="0"/>
        <w:spacing w:line="114" w:lineRule="exact"/>
        <w:ind w:left="436" w:right="3705"/>
      </w:pPr>
      <w:r>
        <w:rPr>
          <w:rFonts w:ascii="Arial" w:hAnsi="Arial" w:cs="Arial"/>
          <w:spacing w:val="-1"/>
          <w:sz w:val="20"/>
          <w:szCs w:val="20"/>
        </w:rPr>
        <w:t xml:space="preserve">9. Largo da Matriz Velha n 133 (S 104 - Q 127 - L 03);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4397"/>
      </w:pPr>
      <w:r>
        <w:rPr>
          <w:rFonts w:ascii="Arial" w:hAnsi="Arial" w:cs="Arial"/>
          <w:spacing w:val="-2"/>
          <w:sz w:val="20"/>
          <w:szCs w:val="20"/>
        </w:rPr>
        <w:t>10. Av. Itaberaba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23 (S 104 - Q 127 - L 06); </w:t>
      </w:r>
    </w:p>
    <w:p w:rsidR="00316569" w:rsidRDefault="00316569">
      <w:pPr>
        <w:widowControl w:val="0"/>
        <w:autoSpaceDE w:val="0"/>
        <w:autoSpaceDN w:val="0"/>
        <w:adjustRightInd w:val="0"/>
        <w:spacing w:line="345" w:lineRule="exact"/>
        <w:ind w:left="436" w:right="4397"/>
      </w:pPr>
      <w:r>
        <w:rPr>
          <w:rFonts w:ascii="Arial" w:hAnsi="Arial" w:cs="Arial"/>
          <w:spacing w:val="-2"/>
          <w:sz w:val="20"/>
          <w:szCs w:val="20"/>
        </w:rPr>
        <w:t>11. Av. Itaberaba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29 (S</w:t>
      </w:r>
      <w:r>
        <w:rPr>
          <w:rFonts w:ascii="Arial" w:hAnsi="Arial" w:cs="Arial"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104 - Q 127 - L 26);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3907"/>
      </w:pPr>
      <w:r>
        <w:rPr>
          <w:rFonts w:ascii="Arial" w:hAnsi="Arial" w:cs="Arial"/>
          <w:spacing w:val="-1"/>
          <w:sz w:val="20"/>
          <w:szCs w:val="20"/>
        </w:rPr>
        <w:t>12. Rua Coronel Tri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stão n 64 (S 104 - Q 127 - L 20)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4397"/>
      </w:pPr>
      <w:r>
        <w:rPr>
          <w:rFonts w:ascii="Arial" w:hAnsi="Arial" w:cs="Arial"/>
          <w:spacing w:val="-2"/>
          <w:sz w:val="20"/>
          <w:szCs w:val="20"/>
        </w:rPr>
        <w:t>13. Av. Itaberaba n</w:t>
      </w:r>
      <w:r>
        <w:rPr>
          <w:rFonts w:ascii="Arial" w:hAnsi="Arial" w:cs="Arial"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26 (S 104 - Q 128 - L 04); </w:t>
      </w:r>
    </w:p>
    <w:p w:rsidR="00316569" w:rsidRDefault="00316569">
      <w:pPr>
        <w:widowControl w:val="0"/>
        <w:autoSpaceDE w:val="0"/>
        <w:autoSpaceDN w:val="0"/>
        <w:adjustRightInd w:val="0"/>
        <w:spacing w:line="114" w:lineRule="exact"/>
        <w:ind w:left="436" w:right="4397"/>
      </w:pPr>
      <w:r>
        <w:rPr>
          <w:rFonts w:ascii="Arial" w:hAnsi="Arial" w:cs="Arial"/>
          <w:spacing w:val="-1"/>
          <w:sz w:val="20"/>
          <w:szCs w:val="20"/>
        </w:rPr>
        <w:t xml:space="preserve">14. Av. Itaberaba n 30 (S 104 - Q 128 - L 03);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436" w:right="3766"/>
      </w:pPr>
      <w:r>
        <w:rPr>
          <w:rFonts w:ascii="Arial" w:hAnsi="Arial" w:cs="Arial"/>
          <w:spacing w:val="-2"/>
          <w:sz w:val="20"/>
          <w:szCs w:val="20"/>
        </w:rPr>
        <w:t>15. Largo da Matriz Velha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16 (S 104 - Q 136 - l 49); 16. Largo da Matriz Velha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17 (S 104 - Q 136 - L 50); 17. Largo da Matriz Velha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27 (S 104 - Q 136 - L 51). </w:t>
      </w:r>
    </w:p>
    <w:p w:rsidR="00316569" w:rsidRDefault="00316569">
      <w:pPr>
        <w:widowControl w:val="0"/>
        <w:autoSpaceDE w:val="0"/>
        <w:autoSpaceDN w:val="0"/>
        <w:adjustRightInd w:val="0"/>
        <w:spacing w:line="225" w:lineRule="exact"/>
        <w:ind w:left="436" w:right="3766"/>
        <w:rPr>
          <w:sz w:val="22"/>
          <w:szCs w:val="22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34" w:lineRule="exact"/>
        <w:ind w:left="436" w:right="677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2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Os bens tombados ficam classificados conforme os seguintes níveis de proteção: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436" w:right="677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436" w:right="47"/>
      </w:pPr>
      <w:r>
        <w:rPr>
          <w:rFonts w:ascii="Arial" w:hAnsi="Arial" w:cs="Arial"/>
          <w:spacing w:val="2"/>
          <w:sz w:val="20"/>
          <w:szCs w:val="20"/>
        </w:rPr>
        <w:t>I.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Nível de proteção 1 (NP-1)</w:t>
      </w:r>
      <w:r>
        <w:rPr>
          <w:rFonts w:ascii="Arial" w:hAnsi="Arial" w:cs="Arial"/>
          <w:spacing w:val="2"/>
          <w:sz w:val="20"/>
          <w:szCs w:val="20"/>
        </w:rPr>
        <w:t xml:space="preserve">: correspondendo aos bens de grande interesse histórico e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213"/>
      </w:pPr>
      <w:r>
        <w:rPr>
          <w:rFonts w:ascii="Arial" w:hAnsi="Arial" w:cs="Arial"/>
          <w:spacing w:val="-2"/>
          <w:sz w:val="20"/>
          <w:szCs w:val="20"/>
        </w:rPr>
        <w:t xml:space="preserve">arquitetônico determinando sua preservação integral.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4213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8" w:firstLine="425"/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 xml:space="preserve"> Nível de Proteção 2 (NP-2)</w:t>
      </w:r>
      <w:r>
        <w:rPr>
          <w:rFonts w:ascii="Arial" w:hAnsi="Arial" w:cs="Arial"/>
          <w:sz w:val="20"/>
          <w:szCs w:val="20"/>
        </w:rPr>
        <w:t xml:space="preserve">: correspondendo aos bens de interesse arquitetônico ou ambiental, </w:t>
      </w:r>
      <w:r>
        <w:rPr>
          <w:rFonts w:ascii="Arial" w:hAnsi="Arial" w:cs="Arial"/>
          <w:spacing w:val="-1"/>
          <w:sz w:val="20"/>
          <w:szCs w:val="20"/>
        </w:rPr>
        <w:t xml:space="preserve">determinando a preservação de seus elementos arquitetônicos externos (fachadas, coberturas, acessos, </w:t>
      </w:r>
      <w:r>
        <w:rPr>
          <w:rFonts w:ascii="Arial" w:hAnsi="Arial" w:cs="Arial"/>
          <w:spacing w:val="-10"/>
          <w:sz w:val="20"/>
          <w:szCs w:val="20"/>
        </w:rPr>
        <w:t xml:space="preserve">etc.). </w:t>
      </w:r>
    </w:p>
    <w:p w:rsidR="00316569" w:rsidRDefault="00316569">
      <w:pPr>
        <w:widowControl w:val="0"/>
        <w:autoSpaceDE w:val="0"/>
        <w:autoSpaceDN w:val="0"/>
        <w:adjustRightInd w:val="0"/>
        <w:spacing w:line="226" w:lineRule="exact"/>
        <w:ind w:left="10" w:right="48" w:firstLine="425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349" w:lineRule="exact"/>
        <w:ind w:left="10" w:right="48" w:firstLine="425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3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Fica definido como espaço envolt</w:t>
      </w:r>
      <w:r>
        <w:rPr>
          <w:rFonts w:ascii="Arial" w:hAnsi="Arial" w:cs="Arial"/>
          <w:spacing w:val="-2"/>
          <w:position w:val="-9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ório de proteção dos bens tombados as quadras e lotes </w:t>
      </w:r>
    </w:p>
    <w:p w:rsidR="00316569" w:rsidRDefault="00316569">
      <w:pPr>
        <w:widowControl w:val="0"/>
        <w:autoSpaceDE w:val="0"/>
        <w:autoSpaceDN w:val="0"/>
        <w:adjustRightInd w:val="0"/>
        <w:spacing w:line="114" w:lineRule="exact"/>
        <w:ind w:left="10" w:right="48"/>
      </w:pPr>
      <w:r>
        <w:rPr>
          <w:rFonts w:ascii="Arial" w:hAnsi="Arial" w:cs="Arial"/>
          <w:sz w:val="20"/>
          <w:szCs w:val="20"/>
        </w:rPr>
        <w:t xml:space="preserve">discriminados a seguir, e indicados na planta n 1 que integra esta Resolução, com suas respectivas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6066"/>
      </w:pPr>
      <w:r>
        <w:rPr>
          <w:rFonts w:ascii="Arial" w:hAnsi="Arial" w:cs="Arial"/>
          <w:spacing w:val="-3"/>
          <w:sz w:val="20"/>
          <w:szCs w:val="20"/>
        </w:rPr>
        <w:t xml:space="preserve">diretrizes gerais de ocupação: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6066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I. Lotes onde as novas edificações ou ampliações deverão ter altura máxima de 8 metros e recuos </w:t>
      </w:r>
      <w:r>
        <w:rPr>
          <w:rFonts w:ascii="Arial" w:hAnsi="Arial" w:cs="Arial"/>
          <w:spacing w:val="1"/>
          <w:sz w:val="20"/>
          <w:szCs w:val="20"/>
        </w:rPr>
        <w:t xml:space="preserve">predominantes na testada de quadra, e cujos projetos deverão ser aprovados previamente pelo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8231"/>
      </w:pPr>
      <w:r>
        <w:rPr>
          <w:rFonts w:ascii="Arial" w:hAnsi="Arial" w:cs="Arial"/>
          <w:spacing w:val="-9"/>
          <w:sz w:val="20"/>
          <w:szCs w:val="20"/>
        </w:rPr>
        <w:t xml:space="preserve">CONPRESP: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48" w:firstLine="426"/>
      </w:pPr>
      <w:r>
        <w:rPr>
          <w:rFonts w:ascii="Arial" w:hAnsi="Arial" w:cs="Arial"/>
          <w:spacing w:val="-1"/>
          <w:sz w:val="20"/>
          <w:szCs w:val="20"/>
        </w:rPr>
        <w:t xml:space="preserve">a. Todos os lotes não enquadrados nos níveis de proteção NP-1 e NP-2 e localizados nas Quadras </w:t>
      </w:r>
      <w:r>
        <w:rPr>
          <w:rFonts w:ascii="Arial" w:hAnsi="Arial" w:cs="Arial"/>
          <w:spacing w:val="-2"/>
          <w:sz w:val="20"/>
          <w:szCs w:val="20"/>
        </w:rPr>
        <w:t xml:space="preserve">119, 120, 121, 124, 125, 126, 127, 128, 132, 134 e 135, do Setor 104.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9" w:firstLine="425"/>
      </w:pPr>
      <w:r>
        <w:rPr>
          <w:rFonts w:ascii="Arial" w:hAnsi="Arial" w:cs="Arial"/>
          <w:sz w:val="20"/>
          <w:szCs w:val="20"/>
        </w:rPr>
        <w:t xml:space="preserve">b. Lotes da Quadra 136, do Setor 104, com testada para os seguintes logradouros públicos: Rua </w:t>
      </w:r>
      <w:r>
        <w:rPr>
          <w:rFonts w:ascii="Arial" w:hAnsi="Arial" w:cs="Arial"/>
          <w:spacing w:val="-2"/>
          <w:sz w:val="20"/>
          <w:szCs w:val="20"/>
        </w:rPr>
        <w:t xml:space="preserve">João Alves, Largo da Matriz Velha, Rua Jesuíno de Brito e Rua Antonieta Leitão (entre a Rua Jesuíno de </w:t>
      </w:r>
      <w:r>
        <w:rPr>
          <w:rFonts w:ascii="Arial" w:hAnsi="Arial" w:cs="Arial"/>
          <w:spacing w:val="-3"/>
          <w:sz w:val="20"/>
          <w:szCs w:val="20"/>
        </w:rPr>
        <w:t xml:space="preserve">Brito e a Rua Anjos do Mar - CADLOG 24268-3). </w:t>
      </w:r>
    </w:p>
    <w:p w:rsidR="00316569" w:rsidRDefault="00316569">
      <w:pPr>
        <w:widowControl w:val="0"/>
        <w:autoSpaceDE w:val="0"/>
        <w:autoSpaceDN w:val="0"/>
        <w:adjustRightInd w:val="0"/>
        <w:spacing w:line="229" w:lineRule="exact"/>
        <w:ind w:left="10" w:right="49" w:firstLine="425"/>
        <w:rPr>
          <w:sz w:val="23"/>
          <w:szCs w:val="23"/>
        </w:rPr>
      </w:pP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II. Lotes onde os projetos de ampliações ou novas edificações deverão ser aprovados previamente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7018"/>
      </w:pPr>
      <w:r>
        <w:rPr>
          <w:rFonts w:ascii="Arial" w:hAnsi="Arial" w:cs="Arial"/>
          <w:spacing w:val="-6"/>
          <w:sz w:val="20"/>
          <w:szCs w:val="20"/>
        </w:rPr>
        <w:t xml:space="preserve">pelo CONPRESP: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Lotes localizados nas Quadras 117, 118, 122, 129, 136 e 140 (entre a Rua Nazaré Machado - </w:t>
      </w:r>
    </w:p>
    <w:p w:rsidR="00316569" w:rsidRDefault="00316569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  <w:rPr>
          <w:rFonts w:ascii="Arial" w:hAnsi="Arial" w:cs="Arial"/>
          <w:sz w:val="20"/>
          <w:szCs w:val="20"/>
        </w:rPr>
        <w:sectPr w:rsidR="00316569">
          <w:pgSz w:w="11900" w:h="16840"/>
          <w:pgMar w:top="1620" w:right="1640" w:bottom="680" w:left="840" w:header="720" w:footer="720" w:gutter="0"/>
          <w:cols w:space="720"/>
          <w:noEndnote/>
        </w:sectPr>
      </w:pPr>
    </w:p>
    <w:p w:rsidR="00316569" w:rsidRDefault="00316569">
      <w:pPr>
        <w:widowControl w:val="0"/>
        <w:autoSpaceDE w:val="0"/>
        <w:autoSpaceDN w:val="0"/>
        <w:adjustRightInd w:val="0"/>
        <w:spacing w:line="345" w:lineRule="exact"/>
        <w:ind w:left="10" w:right="47"/>
      </w:pPr>
      <w:r>
        <w:rPr>
          <w:rFonts w:ascii="Arial" w:hAnsi="Arial" w:cs="Arial"/>
          <w:spacing w:val="2"/>
          <w:sz w:val="20"/>
          <w:szCs w:val="20"/>
        </w:rPr>
        <w:t>CADLOG 14450/9 - e Avenida Santa Mari</w:t>
      </w:r>
      <w:r>
        <w:rPr>
          <w:rFonts w:ascii="Arial" w:hAnsi="Arial" w:cs="Arial"/>
          <w:spacing w:val="2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na - CADLOG 13417/1), do Setor 104, que não se </w:t>
      </w:r>
    </w:p>
    <w:p w:rsidR="00316569" w:rsidRDefault="00316569">
      <w:pPr>
        <w:widowControl w:val="0"/>
        <w:autoSpaceDE w:val="0"/>
        <w:autoSpaceDN w:val="0"/>
        <w:adjustRightInd w:val="0"/>
        <w:spacing w:line="114" w:lineRule="exact"/>
        <w:ind w:left="10" w:right="1194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enquadraram nas regulamentações do artigo 1 e do inciso I do artigo 3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, desta Resolução. </w:t>
      </w:r>
    </w:p>
    <w:p w:rsidR="00316569" w:rsidRDefault="00316569">
      <w:pPr>
        <w:widowControl w:val="0"/>
        <w:autoSpaceDE w:val="0"/>
        <w:autoSpaceDN w:val="0"/>
        <w:adjustRightInd w:val="0"/>
        <w:spacing w:line="114" w:lineRule="exact"/>
        <w:ind w:left="10" w:right="1194"/>
        <w:rPr>
          <w:rFonts w:ascii="Arial" w:hAnsi="Arial" w:cs="Arial"/>
          <w:spacing w:val="-1"/>
          <w:sz w:val="20"/>
          <w:szCs w:val="20"/>
        </w:rPr>
        <w:sectPr w:rsidR="00316569">
          <w:type w:val="continuous"/>
          <w:pgSz w:w="11900" w:h="16840"/>
          <w:pgMar w:top="1620" w:right="1640" w:bottom="680" w:left="840" w:header="720" w:footer="720" w:gutter="0"/>
          <w:cols w:space="720" w:equalWidth="0">
            <w:col w:w="9420"/>
          </w:cols>
          <w:noEndnote/>
        </w:sectPr>
      </w:pPr>
    </w:p>
    <w:p w:rsidR="00316569" w:rsidRDefault="0031656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8" type="#_x0000_t75" style="position:absolute;margin-left:0;margin-top:0;width:595.2pt;height:841.9pt;z-index:-251656192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316569" w:rsidSect="00316569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8A2"/>
    <w:rsid w:val="00316569"/>
    <w:rsid w:val="00525AD7"/>
    <w:rsid w:val="005E68A2"/>
    <w:rsid w:val="00C2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923</Words>
  <Characters>4988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2014-02-06T19:39:00Z</dcterms:created>
  <dcterms:modified xsi:type="dcterms:W3CDTF">2014-02-06T19:39:00Z</dcterms:modified>
</cp:coreProperties>
</file>