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9B" w:rsidRDefault="00D5559B">
      <w:pPr>
        <w:widowControl w:val="0"/>
        <w:autoSpaceDE w:val="0"/>
        <w:autoSpaceDN w:val="0"/>
        <w:adjustRightInd w:val="0"/>
        <w:spacing w:line="249" w:lineRule="exact"/>
        <w:ind w:left="10" w:right="497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D5559B" w:rsidRDefault="00D5559B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D5559B" w:rsidRDefault="00D5559B">
      <w:pPr>
        <w:widowControl w:val="0"/>
        <w:autoSpaceDE w:val="0"/>
        <w:autoSpaceDN w:val="0"/>
        <w:adjustRightInd w:val="0"/>
        <w:spacing w:line="253" w:lineRule="exact"/>
        <w:ind w:left="10" w:right="483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D5559B" w:rsidRDefault="00D5559B">
      <w:pPr>
        <w:widowControl w:val="0"/>
        <w:autoSpaceDE w:val="0"/>
        <w:autoSpaceDN w:val="0"/>
        <w:adjustRightInd w:val="0"/>
        <w:spacing w:line="300" w:lineRule="exact"/>
        <w:ind w:left="10" w:right="4839"/>
        <w:rPr>
          <w:sz w:val="30"/>
          <w:szCs w:val="30"/>
        </w:rPr>
      </w:pPr>
    </w:p>
    <w:p w:rsidR="00D5559B" w:rsidRDefault="00D5559B">
      <w:pPr>
        <w:widowControl w:val="0"/>
        <w:autoSpaceDE w:val="0"/>
        <w:autoSpaceDN w:val="0"/>
        <w:adjustRightInd w:val="0"/>
        <w:spacing w:line="240" w:lineRule="exact"/>
        <w:ind w:left="10" w:right="4839"/>
      </w:pPr>
    </w:p>
    <w:p w:rsidR="00D5559B" w:rsidRDefault="00D5559B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D5559B" w:rsidRDefault="00D5559B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D5559B" w:rsidRDefault="00D5559B">
      <w:pPr>
        <w:widowControl w:val="0"/>
        <w:autoSpaceDE w:val="0"/>
        <w:autoSpaceDN w:val="0"/>
        <w:adjustRightInd w:val="0"/>
        <w:spacing w:line="234" w:lineRule="exact"/>
        <w:ind w:left="10" w:right="8007"/>
        <w:rPr>
          <w:sz w:val="23"/>
          <w:szCs w:val="23"/>
        </w:rPr>
      </w:pPr>
    </w:p>
    <w:p w:rsidR="00D5559B" w:rsidRDefault="00D5559B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36/92 </w:t>
      </w:r>
    </w:p>
    <w:p w:rsidR="00D5559B" w:rsidRDefault="00D5559B">
      <w:pPr>
        <w:widowControl w:val="0"/>
        <w:autoSpaceDE w:val="0"/>
        <w:autoSpaceDN w:val="0"/>
        <w:adjustRightInd w:val="0"/>
        <w:spacing w:line="248" w:lineRule="exact"/>
        <w:ind w:left="10" w:right="6100"/>
        <w:rPr>
          <w:sz w:val="25"/>
          <w:szCs w:val="25"/>
        </w:rPr>
      </w:pPr>
    </w:p>
    <w:p w:rsidR="00D5559B" w:rsidRDefault="00D5559B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D5559B" w:rsidRDefault="00D5559B">
      <w:pPr>
        <w:widowControl w:val="0"/>
        <w:autoSpaceDE w:val="0"/>
        <w:autoSpaceDN w:val="0"/>
        <w:adjustRightInd w:val="0"/>
        <w:spacing w:line="200" w:lineRule="exact"/>
        <w:ind w:left="10" w:right="47" w:firstLine="425"/>
      </w:pPr>
      <w:r>
        <w:rPr>
          <w:rFonts w:ascii="Arial" w:hAnsi="Arial" w:cs="Arial"/>
          <w:spacing w:val="-1"/>
          <w:sz w:val="20"/>
          <w:szCs w:val="20"/>
        </w:rPr>
        <w:t xml:space="preserve">Por decisão unânime dos Conselheiros presentes à reunião realizada em 04 de dezembro de 1992, </w:t>
      </w:r>
    </w:p>
    <w:p w:rsidR="00D5559B" w:rsidRDefault="00D5559B">
      <w:pPr>
        <w:widowControl w:val="0"/>
        <w:autoSpaceDE w:val="0"/>
        <w:autoSpaceDN w:val="0"/>
        <w:adjustRightInd w:val="0"/>
        <w:spacing w:line="346" w:lineRule="exact"/>
        <w:ind w:left="10" w:right="48"/>
      </w:pPr>
      <w:r>
        <w:rPr>
          <w:rFonts w:ascii="Arial" w:hAnsi="Arial" w:cs="Arial"/>
          <w:sz w:val="20"/>
          <w:szCs w:val="20"/>
        </w:rPr>
        <w:t>o Conselho Municipal de Preservação do Patrimônio Histórico, Cultura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l e Ambiental da Cidade de São </w:t>
      </w:r>
    </w:p>
    <w:p w:rsidR="00D5559B" w:rsidRDefault="00D5559B">
      <w:pPr>
        <w:widowControl w:val="0"/>
        <w:autoSpaceDE w:val="0"/>
        <w:autoSpaceDN w:val="0"/>
        <w:adjustRightInd w:val="0"/>
        <w:spacing w:line="114" w:lineRule="exact"/>
        <w:ind w:left="10" w:right="49"/>
      </w:pPr>
      <w:r>
        <w:rPr>
          <w:rFonts w:ascii="Arial" w:hAnsi="Arial" w:cs="Arial"/>
          <w:spacing w:val="2"/>
          <w:sz w:val="20"/>
          <w:szCs w:val="20"/>
        </w:rPr>
        <w:t xml:space="preserve">Paulo - CONPRESP, resolve, nos termos e para os fins da Lei n 10.032/85, com as alterações </w:t>
      </w:r>
    </w:p>
    <w:p w:rsidR="00D5559B" w:rsidRDefault="00D5559B">
      <w:pPr>
        <w:widowControl w:val="0"/>
        <w:autoSpaceDE w:val="0"/>
        <w:autoSpaceDN w:val="0"/>
        <w:adjustRightInd w:val="0"/>
        <w:spacing w:line="229" w:lineRule="exact"/>
        <w:ind w:left="10" w:right="47"/>
      </w:pPr>
      <w:r>
        <w:rPr>
          <w:rFonts w:ascii="Arial" w:hAnsi="Arial" w:cs="Arial"/>
          <w:spacing w:val="2"/>
          <w:sz w:val="20"/>
          <w:szCs w:val="20"/>
        </w:rPr>
        <w:t>introduzidas pela Lei n</w:t>
      </w:r>
      <w:r>
        <w:rPr>
          <w:rFonts w:ascii="Arial" w:hAnsi="Arial" w:cs="Arial"/>
          <w:spacing w:val="2"/>
          <w:position w:val="5"/>
          <w:sz w:val="12"/>
          <w:szCs w:val="12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10.236/86,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abrir processo de tombamento</w:t>
      </w:r>
      <w:r>
        <w:rPr>
          <w:rFonts w:ascii="Arial" w:hAnsi="Arial" w:cs="Arial"/>
          <w:spacing w:val="2"/>
          <w:sz w:val="20"/>
          <w:szCs w:val="20"/>
        </w:rPr>
        <w:t xml:space="preserve"> da área conhecida como </w:t>
      </w:r>
      <w:r>
        <w:rPr>
          <w:rFonts w:ascii="Arial" w:hAnsi="Arial" w:cs="Arial"/>
          <w:sz w:val="20"/>
          <w:szCs w:val="20"/>
        </w:rPr>
        <w:t>"</w:t>
      </w:r>
      <w:r>
        <w:rPr>
          <w:rFonts w:ascii="Arial" w:hAnsi="Arial" w:cs="Arial"/>
          <w:b/>
          <w:bCs/>
          <w:i/>
          <w:iCs/>
          <w:sz w:val="20"/>
          <w:szCs w:val="20"/>
        </w:rPr>
        <w:t>FAZENDINHA</w:t>
      </w:r>
      <w:r>
        <w:rPr>
          <w:rFonts w:ascii="Arial" w:hAnsi="Arial" w:cs="Arial"/>
          <w:sz w:val="20"/>
          <w:szCs w:val="20"/>
        </w:rPr>
        <w:t xml:space="preserve">", localizada no Distrito de Perus, próxima ao leito da antiga Estrada de Ferro Santos- </w:t>
      </w:r>
      <w:r>
        <w:rPr>
          <w:rFonts w:ascii="Arial" w:hAnsi="Arial" w:cs="Arial"/>
          <w:spacing w:val="-8"/>
          <w:sz w:val="20"/>
          <w:szCs w:val="20"/>
        </w:rPr>
        <w:t xml:space="preserve">Jundiaí. </w:t>
      </w:r>
    </w:p>
    <w:p w:rsidR="00D5559B" w:rsidRDefault="00D5559B">
      <w:pPr>
        <w:widowControl w:val="0"/>
        <w:autoSpaceDE w:val="0"/>
        <w:autoSpaceDN w:val="0"/>
        <w:adjustRightInd w:val="0"/>
        <w:spacing w:line="225" w:lineRule="exact"/>
        <w:ind w:left="10" w:right="47"/>
        <w:rPr>
          <w:sz w:val="22"/>
          <w:szCs w:val="22"/>
        </w:rPr>
      </w:pPr>
    </w:p>
    <w:p w:rsidR="00D5559B" w:rsidRDefault="00D5559B">
      <w:pPr>
        <w:widowControl w:val="0"/>
        <w:autoSpaceDE w:val="0"/>
        <w:autoSpaceDN w:val="0"/>
        <w:adjustRightInd w:val="0"/>
        <w:spacing w:line="234" w:lineRule="exact"/>
        <w:ind w:left="10" w:right="47" w:firstLine="426"/>
      </w:pPr>
      <w:r>
        <w:rPr>
          <w:rFonts w:ascii="Arial" w:hAnsi="Arial" w:cs="Arial"/>
          <w:spacing w:val="-1"/>
          <w:sz w:val="20"/>
          <w:szCs w:val="20"/>
        </w:rPr>
        <w:t>A área definida por esta Resolução, conforme a Matrícula n</w:t>
      </w:r>
      <w:r>
        <w:rPr>
          <w:rFonts w:ascii="Arial" w:hAnsi="Arial" w:cs="Arial"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>. 43.861 do 18</w:t>
      </w:r>
      <w:r>
        <w:rPr>
          <w:rFonts w:ascii="Arial" w:hAnsi="Arial" w:cs="Arial"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. Cartório de Registro de </w:t>
      </w:r>
    </w:p>
    <w:p w:rsidR="00D5559B" w:rsidRDefault="00D5559B">
      <w:pPr>
        <w:widowControl w:val="0"/>
        <w:autoSpaceDE w:val="0"/>
        <w:autoSpaceDN w:val="0"/>
        <w:adjustRightInd w:val="0"/>
        <w:spacing w:line="230" w:lineRule="exact"/>
        <w:ind w:left="10" w:right="49"/>
      </w:pPr>
      <w:r>
        <w:rPr>
          <w:rFonts w:ascii="Arial" w:hAnsi="Arial" w:cs="Arial"/>
          <w:sz w:val="20"/>
          <w:szCs w:val="20"/>
        </w:rPr>
        <w:t xml:space="preserve">Imóveis de São Paulo, "divide pelo lado de cima com a cerca de arame da Estrada de Ferro Santos- </w:t>
      </w:r>
      <w:r>
        <w:rPr>
          <w:rFonts w:ascii="Arial" w:hAnsi="Arial" w:cs="Arial"/>
          <w:spacing w:val="-1"/>
          <w:sz w:val="20"/>
          <w:szCs w:val="20"/>
        </w:rPr>
        <w:t xml:space="preserve">Jundiaí, em cuja cerca existe uma porteira que dá acesso à propriedade; de outro lado (o de baixo) pelo </w:t>
      </w:r>
      <w:r>
        <w:rPr>
          <w:rFonts w:ascii="Arial" w:hAnsi="Arial" w:cs="Arial"/>
          <w:sz w:val="20"/>
          <w:szCs w:val="20"/>
        </w:rPr>
        <w:t xml:space="preserve">Ribeirão dos Perus com terras pertencentes à Companhia Brasileira de Cimento Portland Perus e pelos </w:t>
      </w:r>
    </w:p>
    <w:p w:rsidR="00D5559B" w:rsidRDefault="00D5559B">
      <w:pPr>
        <w:widowControl w:val="0"/>
        <w:autoSpaceDE w:val="0"/>
        <w:autoSpaceDN w:val="0"/>
        <w:adjustRightInd w:val="0"/>
        <w:spacing w:line="230" w:lineRule="exact"/>
        <w:ind w:left="10" w:right="1330"/>
      </w:pPr>
      <w:r>
        <w:rPr>
          <w:rFonts w:ascii="Arial" w:hAnsi="Arial" w:cs="Arial"/>
          <w:spacing w:val="-2"/>
          <w:sz w:val="20"/>
          <w:szCs w:val="20"/>
        </w:rPr>
        <w:t xml:space="preserve">fundos com cerca de arame, com terrenos da Companhia Melhoramentos de São Paulo." </w:t>
      </w:r>
    </w:p>
    <w:p w:rsidR="00D5559B" w:rsidRDefault="00D5559B">
      <w:pPr>
        <w:widowControl w:val="0"/>
        <w:autoSpaceDE w:val="0"/>
        <w:autoSpaceDN w:val="0"/>
        <w:adjustRightInd w:val="0"/>
        <w:spacing w:line="229" w:lineRule="exact"/>
        <w:ind w:left="10" w:right="1330"/>
        <w:rPr>
          <w:sz w:val="23"/>
          <w:szCs w:val="23"/>
        </w:rPr>
      </w:pPr>
    </w:p>
    <w:p w:rsidR="00D5559B" w:rsidRDefault="00D5559B">
      <w:pPr>
        <w:widowControl w:val="0"/>
        <w:autoSpaceDE w:val="0"/>
        <w:autoSpaceDN w:val="0"/>
        <w:adjustRightInd w:val="0"/>
        <w:spacing w:line="230" w:lineRule="exact"/>
        <w:ind w:left="10" w:right="49" w:firstLine="425"/>
      </w:pPr>
      <w:r>
        <w:rPr>
          <w:rFonts w:ascii="Arial" w:hAnsi="Arial" w:cs="Arial"/>
          <w:sz w:val="20"/>
          <w:szCs w:val="20"/>
        </w:rPr>
        <w:t xml:space="preserve">A presente Resolução aplica-se aos seguintes elementos na área da "Fazendinha": edificações, </w:t>
      </w:r>
    </w:p>
    <w:p w:rsidR="00D5559B" w:rsidRDefault="00D5559B">
      <w:pPr>
        <w:widowControl w:val="0"/>
        <w:autoSpaceDE w:val="0"/>
        <w:autoSpaceDN w:val="0"/>
        <w:adjustRightInd w:val="0"/>
        <w:spacing w:line="230" w:lineRule="exact"/>
        <w:ind w:left="10" w:right="1034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arborização, construções de apoio, elementos paisagísticos e eventuais sítios arqueológicos. </w:t>
      </w:r>
    </w:p>
    <w:sectPr w:rsidR="00D5559B" w:rsidSect="00D5559B">
      <w:pgSz w:w="11900" w:h="16840"/>
      <w:pgMar w:top="1420" w:right="1640" w:bottom="184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314"/>
    <w:rsid w:val="003834F1"/>
    <w:rsid w:val="004F5314"/>
    <w:rsid w:val="00525AD7"/>
    <w:rsid w:val="00D5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219</Words>
  <Characters>1183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2014-02-06T19:36:00Z</dcterms:created>
  <dcterms:modified xsi:type="dcterms:W3CDTF">2014-02-06T19:36:00Z</dcterms:modified>
</cp:coreProperties>
</file>