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AA" w:rsidRDefault="003B0AAA">
      <w:pPr>
        <w:widowControl w:val="0"/>
        <w:autoSpaceDE w:val="0"/>
        <w:autoSpaceDN w:val="0"/>
        <w:adjustRightInd w:val="0"/>
        <w:spacing w:line="249" w:lineRule="exact"/>
        <w:ind w:left="10" w:right="497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3B0AAA" w:rsidRDefault="003B0AAA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3B0AAA" w:rsidRDefault="003B0AAA">
      <w:pPr>
        <w:widowControl w:val="0"/>
        <w:autoSpaceDE w:val="0"/>
        <w:autoSpaceDN w:val="0"/>
        <w:adjustRightInd w:val="0"/>
        <w:spacing w:line="253" w:lineRule="exact"/>
        <w:ind w:left="10" w:right="483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3B0AAA" w:rsidRDefault="003B0AAA">
      <w:pPr>
        <w:widowControl w:val="0"/>
        <w:autoSpaceDE w:val="0"/>
        <w:autoSpaceDN w:val="0"/>
        <w:adjustRightInd w:val="0"/>
        <w:spacing w:line="300" w:lineRule="exact"/>
        <w:ind w:left="10" w:right="4839"/>
        <w:rPr>
          <w:sz w:val="30"/>
          <w:szCs w:val="30"/>
        </w:rPr>
      </w:pPr>
    </w:p>
    <w:p w:rsidR="003B0AAA" w:rsidRDefault="003B0AAA">
      <w:pPr>
        <w:widowControl w:val="0"/>
        <w:autoSpaceDE w:val="0"/>
        <w:autoSpaceDN w:val="0"/>
        <w:adjustRightInd w:val="0"/>
        <w:spacing w:line="240" w:lineRule="exact"/>
        <w:ind w:left="10" w:right="4839"/>
      </w:pPr>
    </w:p>
    <w:p w:rsidR="003B0AAA" w:rsidRDefault="003B0AAA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3B0AAA" w:rsidRDefault="003B0AAA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3B0AAA" w:rsidRDefault="003B0AAA">
      <w:pPr>
        <w:widowControl w:val="0"/>
        <w:autoSpaceDE w:val="0"/>
        <w:autoSpaceDN w:val="0"/>
        <w:adjustRightInd w:val="0"/>
        <w:spacing w:line="234" w:lineRule="exact"/>
        <w:ind w:left="10" w:right="8007"/>
        <w:rPr>
          <w:sz w:val="23"/>
          <w:szCs w:val="23"/>
        </w:rPr>
      </w:pPr>
    </w:p>
    <w:p w:rsidR="003B0AAA" w:rsidRDefault="003B0AAA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31/92 </w:t>
      </w:r>
    </w:p>
    <w:p w:rsidR="003B0AAA" w:rsidRDefault="003B0AAA">
      <w:pPr>
        <w:widowControl w:val="0"/>
        <w:autoSpaceDE w:val="0"/>
        <w:autoSpaceDN w:val="0"/>
        <w:adjustRightInd w:val="0"/>
        <w:spacing w:line="218" w:lineRule="exact"/>
        <w:ind w:left="10" w:right="6100"/>
        <w:rPr>
          <w:sz w:val="22"/>
          <w:szCs w:val="22"/>
        </w:rPr>
      </w:pPr>
    </w:p>
    <w:p w:rsidR="003B0AAA" w:rsidRDefault="003B0AAA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3B0AAA" w:rsidRDefault="003B0AAA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São Paulo - CONPRESP, por decisão unânime dos Conselheiros presentes à reunião realizada em 27 </w:t>
      </w:r>
    </w:p>
    <w:p w:rsidR="003B0AAA" w:rsidRDefault="003B0AAA">
      <w:pPr>
        <w:widowControl w:val="0"/>
        <w:autoSpaceDE w:val="0"/>
        <w:autoSpaceDN w:val="0"/>
        <w:adjustRightInd w:val="0"/>
        <w:spacing w:line="345" w:lineRule="exact"/>
        <w:ind w:left="10" w:right="49"/>
      </w:pPr>
      <w:r>
        <w:rPr>
          <w:rFonts w:ascii="Arial" w:hAnsi="Arial" w:cs="Arial"/>
          <w:sz w:val="20"/>
          <w:szCs w:val="20"/>
        </w:rPr>
        <w:t>de novembro de 1992, no uso d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>e suas atribuições legais e nos termos da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10.032/85, com as </w:t>
      </w:r>
    </w:p>
    <w:p w:rsidR="003B0AAA" w:rsidRDefault="003B0AAA">
      <w:pPr>
        <w:widowControl w:val="0"/>
        <w:autoSpaceDE w:val="0"/>
        <w:autoSpaceDN w:val="0"/>
        <w:adjustRightInd w:val="0"/>
        <w:spacing w:line="114" w:lineRule="exact"/>
        <w:ind w:left="10" w:right="3871"/>
      </w:pPr>
      <w:r>
        <w:rPr>
          <w:rFonts w:ascii="Arial" w:hAnsi="Arial" w:cs="Arial"/>
          <w:spacing w:val="-1"/>
          <w:sz w:val="20"/>
          <w:szCs w:val="20"/>
        </w:rPr>
        <w:t xml:space="preserve">alterações introduzidas pela Lei n 10.236/86, RESOLVE: </w:t>
      </w:r>
    </w:p>
    <w:p w:rsidR="003B0AAA" w:rsidRDefault="003B0AAA">
      <w:pPr>
        <w:widowControl w:val="0"/>
        <w:autoSpaceDE w:val="0"/>
        <w:autoSpaceDN w:val="0"/>
        <w:adjustRightInd w:val="0"/>
        <w:spacing w:line="226" w:lineRule="exact"/>
        <w:ind w:left="10" w:right="3871"/>
        <w:rPr>
          <w:sz w:val="23"/>
          <w:szCs w:val="23"/>
        </w:rPr>
      </w:pPr>
    </w:p>
    <w:p w:rsidR="003B0AAA" w:rsidRDefault="003B0AAA">
      <w:pPr>
        <w:widowControl w:val="0"/>
        <w:autoSpaceDE w:val="0"/>
        <w:autoSpaceDN w:val="0"/>
        <w:adjustRightInd w:val="0"/>
        <w:spacing w:line="234" w:lineRule="exact"/>
        <w:ind w:left="10" w:right="47" w:firstLine="425"/>
      </w:pPr>
      <w:r>
        <w:rPr>
          <w:rFonts w:ascii="Arial" w:hAnsi="Arial" w:cs="Arial"/>
          <w:b/>
          <w:bCs/>
          <w:sz w:val="20"/>
          <w:szCs w:val="20"/>
        </w:rPr>
        <w:t>Artigo 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Ficam</w:t>
      </w:r>
      <w:r>
        <w:rPr>
          <w:rFonts w:ascii="Arial" w:hAnsi="Arial" w:cs="Arial"/>
          <w:b/>
          <w:bCs/>
          <w:sz w:val="20"/>
          <w:szCs w:val="20"/>
        </w:rPr>
        <w:t xml:space="preserve"> tombados "ex-officio"</w:t>
      </w:r>
      <w:r>
        <w:rPr>
          <w:rFonts w:ascii="Arial" w:hAnsi="Arial" w:cs="Arial"/>
          <w:sz w:val="20"/>
          <w:szCs w:val="20"/>
        </w:rPr>
        <w:t>, conforme determina o Parágrafo Único, do artigo 7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, da </w:t>
      </w:r>
    </w:p>
    <w:p w:rsidR="003B0AAA" w:rsidRDefault="003B0AAA">
      <w:pPr>
        <w:widowControl w:val="0"/>
        <w:autoSpaceDE w:val="0"/>
        <w:autoSpaceDN w:val="0"/>
        <w:adjustRightInd w:val="0"/>
        <w:spacing w:line="229" w:lineRule="exact"/>
        <w:ind w:left="10" w:right="2548"/>
      </w:pPr>
      <w:r>
        <w:rPr>
          <w:rFonts w:ascii="Arial" w:hAnsi="Arial" w:cs="Arial"/>
          <w:spacing w:val="-2"/>
          <w:sz w:val="20"/>
          <w:szCs w:val="20"/>
        </w:rPr>
        <w:t>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10.032, de 27 de dezembro de 1985, os bens abaixo discriminados: </w:t>
      </w:r>
    </w:p>
    <w:p w:rsidR="003B0AAA" w:rsidRDefault="003B0AAA">
      <w:pPr>
        <w:widowControl w:val="0"/>
        <w:autoSpaceDE w:val="0"/>
        <w:autoSpaceDN w:val="0"/>
        <w:adjustRightInd w:val="0"/>
        <w:spacing w:line="231" w:lineRule="exact"/>
        <w:ind w:left="10" w:right="2548"/>
        <w:rPr>
          <w:sz w:val="23"/>
          <w:szCs w:val="23"/>
        </w:rPr>
      </w:pPr>
    </w:p>
    <w:p w:rsidR="003B0AAA" w:rsidRDefault="003B0AAA">
      <w:pPr>
        <w:widowControl w:val="0"/>
        <w:autoSpaceDE w:val="0"/>
        <w:autoSpaceDN w:val="0"/>
        <w:adjustRightInd w:val="0"/>
        <w:spacing w:line="229" w:lineRule="exact"/>
        <w:ind w:left="10" w:right="47" w:firstLine="425"/>
      </w:pPr>
      <w:r>
        <w:rPr>
          <w:rFonts w:ascii="Arial" w:hAnsi="Arial" w:cs="Arial"/>
          <w:spacing w:val="-2"/>
          <w:sz w:val="20"/>
          <w:szCs w:val="20"/>
        </w:rPr>
        <w:t>1.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Parque Estadual do Jaraguá</w:t>
      </w:r>
      <w:r>
        <w:rPr>
          <w:rFonts w:ascii="Arial" w:hAnsi="Arial" w:cs="Arial"/>
          <w:spacing w:val="-2"/>
          <w:sz w:val="20"/>
          <w:szCs w:val="20"/>
        </w:rPr>
        <w:t xml:space="preserve">, na área correspondente ao Município de São Paulo. Tombamento </w:t>
      </w:r>
      <w:r>
        <w:rPr>
          <w:rFonts w:ascii="Arial" w:hAnsi="Arial" w:cs="Arial"/>
          <w:spacing w:val="-3"/>
          <w:sz w:val="20"/>
          <w:szCs w:val="20"/>
        </w:rPr>
        <w:t>pelo CONDEPHAAT através da Resolução n</w:t>
      </w:r>
      <w:r>
        <w:rPr>
          <w:rFonts w:ascii="Arial" w:hAnsi="Arial" w:cs="Arial"/>
          <w:spacing w:val="-3"/>
          <w:position w:val="5"/>
          <w:sz w:val="12"/>
          <w:szCs w:val="12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5, de 04/02/1983. </w:t>
      </w:r>
    </w:p>
    <w:p w:rsidR="003B0AAA" w:rsidRDefault="003B0AAA">
      <w:pPr>
        <w:widowControl w:val="0"/>
        <w:autoSpaceDE w:val="0"/>
        <w:autoSpaceDN w:val="0"/>
        <w:adjustRightInd w:val="0"/>
        <w:spacing w:line="231" w:lineRule="exact"/>
        <w:ind w:left="10" w:right="47" w:firstLine="425"/>
        <w:rPr>
          <w:sz w:val="23"/>
          <w:szCs w:val="23"/>
        </w:rPr>
      </w:pPr>
    </w:p>
    <w:p w:rsidR="003B0AAA" w:rsidRDefault="003B0AAA">
      <w:pPr>
        <w:widowControl w:val="0"/>
        <w:autoSpaceDE w:val="0"/>
        <w:autoSpaceDN w:val="0"/>
        <w:adjustRightInd w:val="0"/>
        <w:spacing w:line="229" w:lineRule="exact"/>
        <w:ind w:left="10" w:right="47" w:firstLine="425"/>
      </w:pPr>
      <w:r>
        <w:rPr>
          <w:rFonts w:ascii="Arial" w:hAnsi="Arial" w:cs="Arial"/>
          <w:spacing w:val="1"/>
          <w:sz w:val="20"/>
          <w:szCs w:val="20"/>
        </w:rPr>
        <w:t>2.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Reserva Estadual da Cantareira e Parque Estadual da Capital</w:t>
      </w:r>
      <w:r>
        <w:rPr>
          <w:rFonts w:ascii="Arial" w:hAnsi="Arial" w:cs="Arial"/>
          <w:spacing w:val="1"/>
          <w:sz w:val="20"/>
          <w:szCs w:val="20"/>
        </w:rPr>
        <w:t xml:space="preserve"> (Horto Florestal), na área </w:t>
      </w:r>
      <w:r>
        <w:rPr>
          <w:rFonts w:ascii="Arial" w:hAnsi="Arial" w:cs="Arial"/>
          <w:sz w:val="20"/>
          <w:szCs w:val="20"/>
        </w:rPr>
        <w:t xml:space="preserve">correspondente ao Município de São Paulo. Tombamento pelo CONDEPHAAT através das Resoluções </w:t>
      </w:r>
      <w:r>
        <w:rPr>
          <w:rFonts w:ascii="Arial" w:hAnsi="Arial" w:cs="Arial"/>
          <w:spacing w:val="-3"/>
          <w:sz w:val="20"/>
          <w:szCs w:val="20"/>
        </w:rPr>
        <w:t>n</w:t>
      </w:r>
      <w:r>
        <w:rPr>
          <w:rFonts w:ascii="Arial" w:hAnsi="Arial" w:cs="Arial"/>
          <w:spacing w:val="-3"/>
          <w:position w:val="5"/>
          <w:sz w:val="12"/>
          <w:szCs w:val="12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s 18, de 04/08/1983, e SC-57, de 19/10/1988. </w:t>
      </w:r>
    </w:p>
    <w:p w:rsidR="003B0AAA" w:rsidRDefault="003B0AAA">
      <w:pPr>
        <w:widowControl w:val="0"/>
        <w:autoSpaceDE w:val="0"/>
        <w:autoSpaceDN w:val="0"/>
        <w:adjustRightInd w:val="0"/>
        <w:spacing w:line="229" w:lineRule="exact"/>
        <w:ind w:left="10" w:right="47" w:firstLine="425"/>
        <w:rPr>
          <w:sz w:val="23"/>
          <w:szCs w:val="23"/>
        </w:rPr>
      </w:pPr>
    </w:p>
    <w:p w:rsidR="003B0AAA" w:rsidRDefault="003B0AAA">
      <w:pPr>
        <w:widowControl w:val="0"/>
        <w:autoSpaceDE w:val="0"/>
        <w:autoSpaceDN w:val="0"/>
        <w:adjustRightInd w:val="0"/>
        <w:spacing w:line="230" w:lineRule="exact"/>
        <w:ind w:left="10" w:right="48" w:firstLine="425"/>
      </w:pPr>
      <w:r>
        <w:rPr>
          <w:rFonts w:ascii="Arial" w:hAnsi="Arial" w:cs="Arial"/>
          <w:spacing w:val="1"/>
          <w:sz w:val="20"/>
          <w:szCs w:val="20"/>
        </w:rPr>
        <w:t>3.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Serra do Mar e de Paranapiacaba</w:t>
      </w:r>
      <w:r>
        <w:rPr>
          <w:rFonts w:ascii="Arial" w:hAnsi="Arial" w:cs="Arial"/>
          <w:spacing w:val="1"/>
          <w:sz w:val="20"/>
          <w:szCs w:val="20"/>
        </w:rPr>
        <w:t xml:space="preserve">, na área correspondente ao Município de São Paulo. </w:t>
      </w:r>
      <w:r>
        <w:rPr>
          <w:rFonts w:ascii="Arial" w:hAnsi="Arial" w:cs="Arial"/>
          <w:spacing w:val="-2"/>
          <w:sz w:val="20"/>
          <w:szCs w:val="20"/>
        </w:rPr>
        <w:t>Tombamento pelo CONDEPHAAT através da Resolução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40, de 06/06/1985. </w:t>
      </w:r>
    </w:p>
    <w:p w:rsidR="003B0AAA" w:rsidRDefault="003B0AAA">
      <w:pPr>
        <w:widowControl w:val="0"/>
        <w:autoSpaceDE w:val="0"/>
        <w:autoSpaceDN w:val="0"/>
        <w:adjustRightInd w:val="0"/>
        <w:spacing w:line="225" w:lineRule="exact"/>
        <w:ind w:left="10" w:right="48" w:firstLine="425"/>
        <w:rPr>
          <w:sz w:val="22"/>
          <w:szCs w:val="22"/>
        </w:rPr>
      </w:pPr>
    </w:p>
    <w:p w:rsidR="003B0AAA" w:rsidRDefault="003B0AAA">
      <w:pPr>
        <w:widowControl w:val="0"/>
        <w:autoSpaceDE w:val="0"/>
        <w:autoSpaceDN w:val="0"/>
        <w:adjustRightInd w:val="0"/>
        <w:spacing w:line="234" w:lineRule="exact"/>
        <w:ind w:left="10" w:right="49" w:firstLine="425"/>
      </w:pPr>
      <w:r>
        <w:rPr>
          <w:rFonts w:ascii="Arial" w:hAnsi="Arial" w:cs="Arial"/>
          <w:spacing w:val="2"/>
          <w:sz w:val="20"/>
          <w:szCs w:val="20"/>
        </w:rPr>
        <w:t>4.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Terreiro de Candomblé Aché Ilê Obá</w:t>
      </w:r>
      <w:r>
        <w:rPr>
          <w:rFonts w:ascii="Arial" w:hAnsi="Arial" w:cs="Arial"/>
          <w:spacing w:val="2"/>
          <w:sz w:val="20"/>
          <w:szCs w:val="20"/>
        </w:rPr>
        <w:t>, situado à Rua Azor Silva n</w:t>
      </w:r>
      <w:r>
        <w:rPr>
          <w:rFonts w:ascii="Arial" w:hAnsi="Arial" w:cs="Arial"/>
          <w:spacing w:val="2"/>
          <w:position w:val="5"/>
          <w:sz w:val="12"/>
          <w:szCs w:val="12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77, Vila Facchini. </w:t>
      </w:r>
    </w:p>
    <w:p w:rsidR="003B0AAA" w:rsidRDefault="003B0AAA">
      <w:pPr>
        <w:widowControl w:val="0"/>
        <w:autoSpaceDE w:val="0"/>
        <w:autoSpaceDN w:val="0"/>
        <w:adjustRightInd w:val="0"/>
        <w:spacing w:line="230" w:lineRule="exact"/>
        <w:ind w:left="10" w:right="2063"/>
      </w:pPr>
      <w:r>
        <w:rPr>
          <w:rFonts w:ascii="Arial" w:hAnsi="Arial" w:cs="Arial"/>
          <w:spacing w:val="-2"/>
          <w:sz w:val="20"/>
          <w:szCs w:val="20"/>
        </w:rPr>
        <w:t xml:space="preserve">Tombamento pelo CONDEPHAAT através da Resolução SC-22, de 14/08/1990. </w:t>
      </w:r>
    </w:p>
    <w:p w:rsidR="003B0AAA" w:rsidRDefault="003B0AAA">
      <w:pPr>
        <w:widowControl w:val="0"/>
        <w:autoSpaceDE w:val="0"/>
        <w:autoSpaceDN w:val="0"/>
        <w:adjustRightInd w:val="0"/>
        <w:spacing w:line="225" w:lineRule="exact"/>
        <w:ind w:left="10" w:right="2063"/>
        <w:rPr>
          <w:sz w:val="22"/>
          <w:szCs w:val="22"/>
        </w:rPr>
      </w:pPr>
    </w:p>
    <w:p w:rsidR="003B0AAA" w:rsidRDefault="003B0AAA">
      <w:pPr>
        <w:widowControl w:val="0"/>
        <w:autoSpaceDE w:val="0"/>
        <w:autoSpaceDN w:val="0"/>
        <w:adjustRightInd w:val="0"/>
        <w:spacing w:line="234" w:lineRule="exact"/>
        <w:ind w:left="10" w:right="48" w:firstLine="426"/>
      </w:pPr>
      <w:r>
        <w:rPr>
          <w:rFonts w:ascii="Arial" w:hAnsi="Arial" w:cs="Arial"/>
          <w:spacing w:val="2"/>
          <w:sz w:val="20"/>
          <w:szCs w:val="20"/>
        </w:rPr>
        <w:t>5.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Edifício Esther</w:t>
      </w:r>
      <w:r>
        <w:rPr>
          <w:rFonts w:ascii="Arial" w:hAnsi="Arial" w:cs="Arial"/>
          <w:spacing w:val="2"/>
          <w:sz w:val="20"/>
          <w:szCs w:val="20"/>
        </w:rPr>
        <w:t>, situado à Avenida Ipiranga n</w:t>
      </w:r>
      <w:r>
        <w:rPr>
          <w:rFonts w:ascii="Arial" w:hAnsi="Arial" w:cs="Arial"/>
          <w:spacing w:val="2"/>
          <w:position w:val="5"/>
          <w:sz w:val="12"/>
          <w:szCs w:val="12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s 64, 76 e 80, Centro. Tombamento pelo </w:t>
      </w:r>
    </w:p>
    <w:p w:rsidR="003B0AAA" w:rsidRDefault="003B0AAA">
      <w:pPr>
        <w:widowControl w:val="0"/>
        <w:autoSpaceDE w:val="0"/>
        <w:autoSpaceDN w:val="0"/>
        <w:adjustRightInd w:val="0"/>
        <w:spacing w:line="230" w:lineRule="exact"/>
        <w:ind w:left="10" w:right="3563"/>
      </w:pPr>
      <w:r>
        <w:rPr>
          <w:rFonts w:ascii="Arial" w:hAnsi="Arial" w:cs="Arial"/>
          <w:spacing w:val="-3"/>
          <w:sz w:val="20"/>
          <w:szCs w:val="20"/>
        </w:rPr>
        <w:t xml:space="preserve">CONDEPHAAT através da Resolução SC-25, de 24/08/1990. </w:t>
      </w:r>
    </w:p>
    <w:p w:rsidR="003B0AAA" w:rsidRDefault="003B0AAA">
      <w:pPr>
        <w:widowControl w:val="0"/>
        <w:autoSpaceDE w:val="0"/>
        <w:autoSpaceDN w:val="0"/>
        <w:adjustRightInd w:val="0"/>
        <w:spacing w:line="225" w:lineRule="exact"/>
        <w:ind w:left="10" w:right="3563"/>
        <w:rPr>
          <w:sz w:val="22"/>
          <w:szCs w:val="22"/>
        </w:rPr>
      </w:pPr>
    </w:p>
    <w:p w:rsidR="003B0AAA" w:rsidRDefault="003B0AAA">
      <w:pPr>
        <w:widowControl w:val="0"/>
        <w:autoSpaceDE w:val="0"/>
        <w:autoSpaceDN w:val="0"/>
        <w:adjustRightInd w:val="0"/>
        <w:spacing w:line="234" w:lineRule="exact"/>
        <w:ind w:left="10" w:right="47" w:firstLine="425"/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Edifício da Sociedade Harmonia de Tênis</w:t>
      </w:r>
      <w:r>
        <w:rPr>
          <w:rFonts w:ascii="Arial" w:hAnsi="Arial" w:cs="Arial"/>
          <w:sz w:val="20"/>
          <w:szCs w:val="20"/>
        </w:rPr>
        <w:t>, situado à Rua Canadá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658, Jardim América. </w:t>
      </w:r>
    </w:p>
    <w:p w:rsidR="003B0AAA" w:rsidRDefault="003B0AAA">
      <w:pPr>
        <w:widowControl w:val="0"/>
        <w:autoSpaceDE w:val="0"/>
        <w:autoSpaceDN w:val="0"/>
        <w:adjustRightInd w:val="0"/>
        <w:spacing w:line="230" w:lineRule="exact"/>
        <w:ind w:left="10" w:right="2063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Tombamento pelo CONDEPHAAT através da Resolução SC-34, de 11/11/1992. </w:t>
      </w:r>
    </w:p>
    <w:p w:rsidR="003B0AAA" w:rsidRDefault="003B0AAA">
      <w:pPr>
        <w:widowControl w:val="0"/>
        <w:autoSpaceDE w:val="0"/>
        <w:autoSpaceDN w:val="0"/>
        <w:adjustRightInd w:val="0"/>
        <w:spacing w:line="230" w:lineRule="exact"/>
        <w:ind w:left="10" w:right="2063"/>
        <w:rPr>
          <w:rFonts w:ascii="Arial" w:hAnsi="Arial" w:cs="Arial"/>
          <w:spacing w:val="-2"/>
          <w:sz w:val="20"/>
          <w:szCs w:val="20"/>
        </w:rPr>
        <w:sectPr w:rsidR="003B0AAA">
          <w:pgSz w:w="11900" w:h="16840"/>
          <w:pgMar w:top="1420" w:right="1640" w:bottom="1000" w:left="840" w:header="720" w:footer="720" w:gutter="0"/>
          <w:cols w:space="720"/>
          <w:noEndnote/>
        </w:sectPr>
      </w:pPr>
    </w:p>
    <w:p w:rsidR="003B0AAA" w:rsidRDefault="003B0AAA">
      <w:pPr>
        <w:widowControl w:val="0"/>
        <w:autoSpaceDE w:val="0"/>
        <w:autoSpaceDN w:val="0"/>
        <w:adjustRightInd w:val="0"/>
        <w:spacing w:line="225" w:lineRule="exact"/>
        <w:ind w:left="10" w:right="2063"/>
        <w:rPr>
          <w:sz w:val="22"/>
          <w:szCs w:val="22"/>
        </w:rPr>
      </w:pPr>
    </w:p>
    <w:p w:rsidR="003B0AAA" w:rsidRDefault="003B0AAA">
      <w:pPr>
        <w:widowControl w:val="0"/>
        <w:autoSpaceDE w:val="0"/>
        <w:autoSpaceDN w:val="0"/>
        <w:adjustRightInd w:val="0"/>
        <w:spacing w:line="350" w:lineRule="exact"/>
        <w:ind w:left="10" w:right="48"/>
      </w:pPr>
      <w:r>
        <w:rPr>
          <w:rFonts w:ascii="Arial" w:hAnsi="Arial" w:cs="Arial"/>
          <w:b/>
          <w:bCs/>
          <w:sz w:val="20"/>
          <w:szCs w:val="20"/>
        </w:rPr>
        <w:t>Artigo 2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Ficam definidas como regulamentação dos es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paços envoltórios dos bens discriminados no </w:t>
      </w:r>
    </w:p>
    <w:p w:rsidR="003B0AAA" w:rsidRDefault="003B0AAA">
      <w:pPr>
        <w:widowControl w:val="0"/>
        <w:autoSpaceDE w:val="0"/>
        <w:autoSpaceDN w:val="0"/>
        <w:adjustRightInd w:val="0"/>
        <w:spacing w:line="114" w:lineRule="exact"/>
        <w:ind w:left="10" w:right="47"/>
      </w:pPr>
      <w:r>
        <w:rPr>
          <w:rFonts w:ascii="Arial" w:hAnsi="Arial" w:cs="Arial"/>
          <w:sz w:val="20"/>
          <w:szCs w:val="20"/>
        </w:rPr>
        <w:t>artigo 1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>, para atender o disposto no artigo 10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da Lei n 10.032/85, as diretrizes estabelecidas pelos </w:t>
      </w:r>
    </w:p>
    <w:p w:rsidR="003B0AAA" w:rsidRDefault="003B0AAA">
      <w:pPr>
        <w:widowControl w:val="0"/>
        <w:autoSpaceDE w:val="0"/>
        <w:autoSpaceDN w:val="0"/>
        <w:adjustRightInd w:val="0"/>
        <w:spacing w:line="229" w:lineRule="exact"/>
        <w:ind w:left="10" w:right="3203"/>
      </w:pPr>
      <w:r>
        <w:rPr>
          <w:rFonts w:ascii="Arial" w:hAnsi="Arial" w:cs="Arial"/>
          <w:spacing w:val="-2"/>
          <w:sz w:val="20"/>
          <w:szCs w:val="20"/>
        </w:rPr>
        <w:t xml:space="preserve">órgãos federal e estadual responsáveis pelo tombamento original. </w:t>
      </w:r>
    </w:p>
    <w:p w:rsidR="003B0AAA" w:rsidRDefault="003B0AAA">
      <w:pPr>
        <w:widowControl w:val="0"/>
        <w:autoSpaceDE w:val="0"/>
        <w:autoSpaceDN w:val="0"/>
        <w:adjustRightInd w:val="0"/>
        <w:spacing w:line="226" w:lineRule="exact"/>
        <w:ind w:left="10" w:right="3203"/>
        <w:rPr>
          <w:sz w:val="23"/>
          <w:szCs w:val="23"/>
        </w:rPr>
      </w:pPr>
    </w:p>
    <w:p w:rsidR="003B0AAA" w:rsidRDefault="003B0AAA">
      <w:pPr>
        <w:widowControl w:val="0"/>
        <w:autoSpaceDE w:val="0"/>
        <w:autoSpaceDN w:val="0"/>
        <w:adjustRightInd w:val="0"/>
        <w:spacing w:line="349" w:lineRule="exact"/>
        <w:ind w:left="10" w:right="47"/>
      </w:pPr>
      <w:r>
        <w:rPr>
          <w:rFonts w:ascii="Arial" w:hAnsi="Arial" w:cs="Arial"/>
          <w:b/>
          <w:bCs/>
          <w:spacing w:val="1"/>
          <w:sz w:val="20"/>
          <w:szCs w:val="20"/>
        </w:rPr>
        <w:t>Artigo 3</w:t>
      </w:r>
      <w:r>
        <w:rPr>
          <w:rFonts w:ascii="Arial" w:hAnsi="Arial" w:cs="Arial"/>
          <w:b/>
          <w:bCs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- Os projetos e obras em imóveis localizados nesses espaços env</w:t>
      </w:r>
      <w:r>
        <w:rPr>
          <w:rFonts w:ascii="Arial" w:hAnsi="Arial" w:cs="Arial"/>
          <w:spacing w:val="1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oltórios deverão ser </w:t>
      </w:r>
    </w:p>
    <w:p w:rsidR="003B0AAA" w:rsidRDefault="003B0AAA">
      <w:pPr>
        <w:widowControl w:val="0"/>
        <w:autoSpaceDE w:val="0"/>
        <w:autoSpaceDN w:val="0"/>
        <w:adjustRightInd w:val="0"/>
        <w:spacing w:line="114" w:lineRule="exact"/>
        <w:ind w:left="10" w:right="809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submetidos à aprovação prévia do CONPRESP, de acordo com o artigo 26 da Lei n 10.032/85. </w:t>
      </w:r>
    </w:p>
    <w:sectPr w:rsidR="003B0AAA" w:rsidSect="003B0AAA">
      <w:type w:val="continuous"/>
      <w:pgSz w:w="11900" w:h="16840"/>
      <w:pgMar w:top="1420" w:right="1640" w:bottom="1000" w:left="840" w:header="720" w:footer="720" w:gutter="0"/>
      <w:cols w:space="720" w:equalWidth="0">
        <w:col w:w="94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A5B"/>
    <w:rsid w:val="00250A5B"/>
    <w:rsid w:val="00313903"/>
    <w:rsid w:val="003B0AAA"/>
    <w:rsid w:val="0052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347</Words>
  <Characters>1876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2014-02-06T19:35:00Z</dcterms:created>
  <dcterms:modified xsi:type="dcterms:W3CDTF">2014-02-06T19:35:00Z</dcterms:modified>
</cp:coreProperties>
</file>