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A1" w:rsidRDefault="00EF33A1">
      <w:pPr>
        <w:widowControl w:val="0"/>
        <w:autoSpaceDE w:val="0"/>
        <w:autoSpaceDN w:val="0"/>
        <w:adjustRightInd w:val="0"/>
        <w:spacing w:line="277" w:lineRule="exact"/>
        <w:ind w:left="14" w:right="441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EF33A1" w:rsidRDefault="00EF33A1">
      <w:pPr>
        <w:widowControl w:val="0"/>
        <w:autoSpaceDE w:val="0"/>
        <w:autoSpaceDN w:val="0"/>
        <w:adjustRightInd w:val="0"/>
        <w:spacing w:line="245" w:lineRule="exact"/>
        <w:ind w:left="14" w:right="49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EF33A1" w:rsidRDefault="00EF33A1">
      <w:pPr>
        <w:widowControl w:val="0"/>
        <w:autoSpaceDE w:val="0"/>
        <w:autoSpaceDN w:val="0"/>
        <w:adjustRightInd w:val="0"/>
        <w:spacing w:line="244" w:lineRule="exact"/>
        <w:ind w:left="14" w:right="4287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EF33A1" w:rsidRDefault="00EF33A1">
      <w:pPr>
        <w:widowControl w:val="0"/>
        <w:autoSpaceDE w:val="0"/>
        <w:autoSpaceDN w:val="0"/>
        <w:adjustRightInd w:val="0"/>
        <w:spacing w:line="287" w:lineRule="exact"/>
        <w:ind w:left="14" w:right="4287"/>
        <w:rPr>
          <w:sz w:val="29"/>
          <w:szCs w:val="29"/>
        </w:rPr>
      </w:pPr>
    </w:p>
    <w:p w:rsidR="00EF33A1" w:rsidRDefault="00EF33A1">
      <w:pPr>
        <w:widowControl w:val="0"/>
        <w:autoSpaceDE w:val="0"/>
        <w:autoSpaceDN w:val="0"/>
        <w:adjustRightInd w:val="0"/>
        <w:spacing w:line="240" w:lineRule="exact"/>
        <w:ind w:left="14" w:right="4287"/>
      </w:pPr>
    </w:p>
    <w:p w:rsidR="00EF33A1" w:rsidRDefault="00EF33A1">
      <w:pPr>
        <w:widowControl w:val="0"/>
        <w:autoSpaceDE w:val="0"/>
        <w:autoSpaceDN w:val="0"/>
        <w:adjustRightInd w:val="0"/>
        <w:spacing w:line="223" w:lineRule="exact"/>
        <w:ind w:left="14" w:right="392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EF33A1" w:rsidRDefault="00EF33A1">
      <w:pPr>
        <w:widowControl w:val="0"/>
        <w:autoSpaceDE w:val="0"/>
        <w:autoSpaceDN w:val="0"/>
        <w:adjustRightInd w:val="0"/>
        <w:spacing w:line="223" w:lineRule="exact"/>
        <w:ind w:left="14" w:right="7008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EF33A1" w:rsidRDefault="00EF33A1">
      <w:pPr>
        <w:widowControl w:val="0"/>
        <w:autoSpaceDE w:val="0"/>
        <w:autoSpaceDN w:val="0"/>
        <w:adjustRightInd w:val="0"/>
        <w:spacing w:line="228" w:lineRule="exact"/>
        <w:ind w:left="14" w:right="7008"/>
        <w:rPr>
          <w:sz w:val="23"/>
          <w:szCs w:val="23"/>
        </w:rPr>
      </w:pPr>
    </w:p>
    <w:p w:rsidR="00EF33A1" w:rsidRDefault="00EF33A1">
      <w:pPr>
        <w:widowControl w:val="0"/>
        <w:autoSpaceDE w:val="0"/>
        <w:autoSpaceDN w:val="0"/>
        <w:adjustRightInd w:val="0"/>
        <w:spacing w:line="307" w:lineRule="exact"/>
        <w:ind w:left="14" w:right="551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24/92 </w:t>
      </w:r>
    </w:p>
    <w:p w:rsidR="00EF33A1" w:rsidRDefault="00EF33A1">
      <w:pPr>
        <w:widowControl w:val="0"/>
        <w:autoSpaceDE w:val="0"/>
        <w:autoSpaceDN w:val="0"/>
        <w:adjustRightInd w:val="0"/>
        <w:spacing w:line="208" w:lineRule="exact"/>
        <w:ind w:left="14" w:right="5514"/>
        <w:rPr>
          <w:sz w:val="21"/>
          <w:szCs w:val="21"/>
        </w:rPr>
      </w:pPr>
    </w:p>
    <w:p w:rsidR="00EF33A1" w:rsidRDefault="00EF33A1">
      <w:pPr>
        <w:widowControl w:val="0"/>
        <w:autoSpaceDE w:val="0"/>
        <w:autoSpaceDN w:val="0"/>
        <w:adjustRightInd w:val="0"/>
        <w:spacing w:line="240" w:lineRule="exact"/>
        <w:ind w:left="14" w:right="5514"/>
      </w:pPr>
    </w:p>
    <w:p w:rsidR="00EF33A1" w:rsidRDefault="00EF33A1">
      <w:pPr>
        <w:widowControl w:val="0"/>
        <w:autoSpaceDE w:val="0"/>
        <w:autoSpaceDN w:val="0"/>
        <w:adjustRightInd w:val="0"/>
        <w:spacing w:line="223" w:lineRule="exact"/>
        <w:ind w:left="14" w:right="33" w:firstLine="414"/>
      </w:pPr>
      <w:r>
        <w:rPr>
          <w:rFonts w:ascii="Arial" w:hAnsi="Arial" w:cs="Arial"/>
          <w:sz w:val="19"/>
          <w:szCs w:val="19"/>
        </w:rPr>
        <w:t xml:space="preserve">Por decisão da maioria dos Conselheiros presentes à reunião realizada em 14 de agosto de </w:t>
      </w:r>
      <w:r>
        <w:rPr>
          <w:rFonts w:ascii="Arial" w:hAnsi="Arial" w:cs="Arial"/>
          <w:spacing w:val="1"/>
          <w:sz w:val="19"/>
          <w:szCs w:val="19"/>
        </w:rPr>
        <w:t xml:space="preserve">1992, o CONPRESP, resolve, nos termos e para os fins da Lei 10.032/85, com as alterações </w:t>
      </w:r>
    </w:p>
    <w:p w:rsidR="00EF33A1" w:rsidRDefault="00EF33A1">
      <w:pPr>
        <w:widowControl w:val="0"/>
        <w:autoSpaceDE w:val="0"/>
        <w:autoSpaceDN w:val="0"/>
        <w:adjustRightInd w:val="0"/>
        <w:spacing w:line="223" w:lineRule="exact"/>
        <w:ind w:left="14" w:right="1327"/>
      </w:pPr>
      <w:r>
        <w:rPr>
          <w:rFonts w:ascii="Arial" w:hAnsi="Arial" w:cs="Arial"/>
          <w:spacing w:val="-2"/>
          <w:sz w:val="19"/>
          <w:szCs w:val="19"/>
        </w:rPr>
        <w:t>introduzidas pela Lei 10.236/86,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abrir processo de tombamento</w:t>
      </w:r>
      <w:r>
        <w:rPr>
          <w:rFonts w:ascii="Arial" w:hAnsi="Arial" w:cs="Arial"/>
          <w:spacing w:val="-2"/>
          <w:sz w:val="19"/>
          <w:szCs w:val="19"/>
        </w:rPr>
        <w:t xml:space="preserve"> do seguinte bem: </w:t>
      </w:r>
    </w:p>
    <w:p w:rsidR="00EF33A1" w:rsidRDefault="00EF33A1">
      <w:pPr>
        <w:widowControl w:val="0"/>
        <w:autoSpaceDE w:val="0"/>
        <w:autoSpaceDN w:val="0"/>
        <w:adjustRightInd w:val="0"/>
        <w:spacing w:line="222" w:lineRule="exact"/>
        <w:ind w:left="14" w:right="1327"/>
        <w:rPr>
          <w:sz w:val="22"/>
          <w:szCs w:val="22"/>
        </w:rPr>
      </w:pPr>
    </w:p>
    <w:p w:rsidR="00EF33A1" w:rsidRDefault="00EF33A1">
      <w:pPr>
        <w:widowControl w:val="0"/>
        <w:autoSpaceDE w:val="0"/>
        <w:autoSpaceDN w:val="0"/>
        <w:adjustRightInd w:val="0"/>
        <w:spacing w:line="253" w:lineRule="exact"/>
        <w:ind w:left="14" w:right="1106"/>
        <w:rPr>
          <w:rFonts w:ascii="Arial" w:hAnsi="Arial" w:cs="Arial"/>
          <w:sz w:val="19"/>
          <w:szCs w:val="19"/>
        </w:rPr>
      </w:pPr>
      <w:r>
        <w:rPr>
          <w:sz w:val="29"/>
          <w:szCs w:val="29"/>
        </w:rPr>
        <w:t>•</w:t>
      </w:r>
      <w:r>
        <w:rPr>
          <w:rFonts w:ascii="Arial" w:hAnsi="Arial" w:cs="Arial"/>
          <w:sz w:val="19"/>
          <w:szCs w:val="19"/>
        </w:rPr>
        <w:t xml:space="preserve"> Imóvel localizado à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Rua Baronesa de Itu, 446</w:t>
      </w:r>
      <w:r>
        <w:rPr>
          <w:rFonts w:ascii="Arial" w:hAnsi="Arial" w:cs="Arial"/>
          <w:sz w:val="19"/>
          <w:szCs w:val="19"/>
        </w:rPr>
        <w:t xml:space="preserve"> - Setor 20 - Quadra 079 - Lote 03-3. </w:t>
      </w:r>
    </w:p>
    <w:sectPr w:rsidR="00EF33A1" w:rsidSect="00EF33A1">
      <w:pgSz w:w="11900" w:h="16840"/>
      <w:pgMar w:top="2060" w:right="1560" w:bottom="218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E86"/>
    <w:rsid w:val="00525AD7"/>
    <w:rsid w:val="00BE7DCC"/>
    <w:rsid w:val="00DA4E86"/>
    <w:rsid w:val="00E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91</Words>
  <Characters>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2014-02-06T19:32:00Z</dcterms:created>
  <dcterms:modified xsi:type="dcterms:W3CDTF">2014-02-06T19:32:00Z</dcterms:modified>
</cp:coreProperties>
</file>