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2D" w:rsidRDefault="004F432D">
      <w:pPr>
        <w:widowControl w:val="0"/>
        <w:autoSpaceDE w:val="0"/>
        <w:autoSpaceDN w:val="0"/>
        <w:adjustRightInd w:val="0"/>
        <w:spacing w:line="277" w:lineRule="exact"/>
        <w:ind w:left="14" w:right="427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4F432D" w:rsidRDefault="004F432D">
      <w:pPr>
        <w:widowControl w:val="0"/>
        <w:autoSpaceDE w:val="0"/>
        <w:autoSpaceDN w:val="0"/>
        <w:adjustRightInd w:val="0"/>
        <w:spacing w:line="245" w:lineRule="exact"/>
        <w:ind w:left="14" w:right="4795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4F432D" w:rsidRDefault="004F432D">
      <w:pPr>
        <w:widowControl w:val="0"/>
        <w:autoSpaceDE w:val="0"/>
        <w:autoSpaceDN w:val="0"/>
        <w:adjustRightInd w:val="0"/>
        <w:spacing w:line="244" w:lineRule="exact"/>
        <w:ind w:left="14" w:right="414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4F432D" w:rsidRDefault="004F432D">
      <w:pPr>
        <w:widowControl w:val="0"/>
        <w:autoSpaceDE w:val="0"/>
        <w:autoSpaceDN w:val="0"/>
        <w:adjustRightInd w:val="0"/>
        <w:spacing w:line="287" w:lineRule="exact"/>
        <w:ind w:left="14" w:right="4143"/>
        <w:rPr>
          <w:sz w:val="29"/>
          <w:szCs w:val="29"/>
        </w:rPr>
      </w:pPr>
    </w:p>
    <w:p w:rsidR="004F432D" w:rsidRDefault="004F432D">
      <w:pPr>
        <w:widowControl w:val="0"/>
        <w:autoSpaceDE w:val="0"/>
        <w:autoSpaceDN w:val="0"/>
        <w:adjustRightInd w:val="0"/>
        <w:spacing w:line="240" w:lineRule="exact"/>
        <w:ind w:left="14" w:right="4143"/>
      </w:pPr>
    </w:p>
    <w:p w:rsidR="004F432D" w:rsidRDefault="004F432D">
      <w:pPr>
        <w:widowControl w:val="0"/>
        <w:autoSpaceDE w:val="0"/>
        <w:autoSpaceDN w:val="0"/>
        <w:adjustRightInd w:val="0"/>
        <w:spacing w:line="223" w:lineRule="exact"/>
        <w:ind w:left="14" w:right="248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4F432D" w:rsidRDefault="004F432D">
      <w:pPr>
        <w:widowControl w:val="0"/>
        <w:autoSpaceDE w:val="0"/>
        <w:autoSpaceDN w:val="0"/>
        <w:adjustRightInd w:val="0"/>
        <w:spacing w:line="223" w:lineRule="exact"/>
        <w:ind w:left="14" w:right="6864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4F432D" w:rsidRDefault="004F432D">
      <w:pPr>
        <w:widowControl w:val="0"/>
        <w:autoSpaceDE w:val="0"/>
        <w:autoSpaceDN w:val="0"/>
        <w:adjustRightInd w:val="0"/>
        <w:spacing w:line="228" w:lineRule="exact"/>
        <w:ind w:left="14" w:right="6864"/>
        <w:rPr>
          <w:sz w:val="23"/>
          <w:szCs w:val="23"/>
        </w:rPr>
      </w:pPr>
    </w:p>
    <w:p w:rsidR="004F432D" w:rsidRDefault="004F432D">
      <w:pPr>
        <w:widowControl w:val="0"/>
        <w:autoSpaceDE w:val="0"/>
        <w:autoSpaceDN w:val="0"/>
        <w:adjustRightInd w:val="0"/>
        <w:spacing w:line="307" w:lineRule="exact"/>
        <w:ind w:left="14" w:right="537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20/92 </w:t>
      </w:r>
    </w:p>
    <w:p w:rsidR="004F432D" w:rsidRDefault="004F432D">
      <w:pPr>
        <w:widowControl w:val="0"/>
        <w:autoSpaceDE w:val="0"/>
        <w:autoSpaceDN w:val="0"/>
        <w:adjustRightInd w:val="0"/>
        <w:spacing w:line="222" w:lineRule="exact"/>
        <w:ind w:left="14" w:right="47"/>
      </w:pPr>
      <w:r>
        <w:rPr>
          <w:rFonts w:ascii="Arial" w:hAnsi="Arial" w:cs="Arial"/>
          <w:b/>
          <w:bCs/>
          <w:sz w:val="19"/>
          <w:szCs w:val="19"/>
        </w:rPr>
        <w:t>Regulamenta a área envoltória</w:t>
      </w:r>
      <w:r>
        <w:rPr>
          <w:rFonts w:ascii="Arial" w:hAnsi="Arial" w:cs="Arial"/>
          <w:sz w:val="19"/>
          <w:szCs w:val="19"/>
        </w:rPr>
        <w:t xml:space="preserve"> do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MASP</w:t>
      </w:r>
      <w:r>
        <w:rPr>
          <w:rFonts w:ascii="Arial" w:hAnsi="Arial" w:cs="Arial"/>
          <w:sz w:val="19"/>
          <w:szCs w:val="19"/>
        </w:rPr>
        <w:t xml:space="preserve"> (Museu de Arte de São Paulo), no Bairro da Bela </w:t>
      </w:r>
      <w:r>
        <w:rPr>
          <w:rFonts w:ascii="Arial" w:hAnsi="Arial" w:cs="Arial"/>
          <w:spacing w:val="-3"/>
          <w:sz w:val="19"/>
          <w:szCs w:val="19"/>
        </w:rPr>
        <w:t xml:space="preserve">Vista, e dá outras providências. </w:t>
      </w:r>
    </w:p>
    <w:p w:rsidR="004F432D" w:rsidRDefault="004F432D">
      <w:pPr>
        <w:widowControl w:val="0"/>
        <w:autoSpaceDE w:val="0"/>
        <w:autoSpaceDN w:val="0"/>
        <w:adjustRightInd w:val="0"/>
        <w:spacing w:line="235" w:lineRule="exact"/>
        <w:ind w:left="14" w:right="47"/>
      </w:pPr>
    </w:p>
    <w:p w:rsidR="004F432D" w:rsidRDefault="004F432D">
      <w:pPr>
        <w:widowControl w:val="0"/>
        <w:autoSpaceDE w:val="0"/>
        <w:autoSpaceDN w:val="0"/>
        <w:adjustRightInd w:val="0"/>
        <w:spacing w:line="240" w:lineRule="exact"/>
        <w:ind w:left="14" w:right="47"/>
      </w:pPr>
    </w:p>
    <w:p w:rsidR="004F432D" w:rsidRDefault="004F432D">
      <w:pPr>
        <w:widowControl w:val="0"/>
        <w:autoSpaceDE w:val="0"/>
        <w:autoSpaceDN w:val="0"/>
        <w:adjustRightInd w:val="0"/>
        <w:spacing w:line="194" w:lineRule="exact"/>
        <w:ind w:left="14" w:right="48" w:firstLine="413"/>
      </w:pPr>
      <w:r>
        <w:rPr>
          <w:rFonts w:ascii="Arial" w:hAnsi="Arial" w:cs="Arial"/>
          <w:sz w:val="19"/>
          <w:szCs w:val="19"/>
        </w:rPr>
        <w:t xml:space="preserve">O Conselho Municipal de Preservação do Patrimônio Histórico, Cultural e Ambiental da </w:t>
      </w:r>
    </w:p>
    <w:p w:rsidR="004F432D" w:rsidRDefault="004F432D">
      <w:pPr>
        <w:widowControl w:val="0"/>
        <w:autoSpaceDE w:val="0"/>
        <w:autoSpaceDN w:val="0"/>
        <w:adjustRightInd w:val="0"/>
        <w:spacing w:line="336" w:lineRule="exact"/>
        <w:ind w:left="14" w:right="46"/>
      </w:pPr>
      <w:r>
        <w:rPr>
          <w:rFonts w:ascii="Arial" w:hAnsi="Arial" w:cs="Arial"/>
          <w:spacing w:val="-1"/>
          <w:sz w:val="19"/>
          <w:szCs w:val="19"/>
        </w:rPr>
        <w:t>Cidade de São Paulo (CONPRESP), por decisão unânime</w:t>
      </w:r>
      <w:r>
        <w:rPr>
          <w:rFonts w:ascii="Arial" w:hAnsi="Arial" w:cs="Arial"/>
          <w:spacing w:val="-1"/>
          <w:position w:val="-9"/>
          <w:sz w:val="12"/>
          <w:szCs w:val="12"/>
        </w:rPr>
        <w:t>o</w:t>
      </w:r>
      <w:r>
        <w:rPr>
          <w:rFonts w:ascii="Arial" w:hAnsi="Arial" w:cs="Arial"/>
          <w:spacing w:val="-1"/>
          <w:sz w:val="19"/>
          <w:szCs w:val="19"/>
        </w:rPr>
        <w:t xml:space="preserve">dos Conselheiros presentes à reunião </w:t>
      </w:r>
    </w:p>
    <w:p w:rsidR="004F432D" w:rsidRDefault="004F432D">
      <w:pPr>
        <w:widowControl w:val="0"/>
        <w:autoSpaceDE w:val="0"/>
        <w:autoSpaceDN w:val="0"/>
        <w:adjustRightInd w:val="0"/>
        <w:spacing w:line="111" w:lineRule="exact"/>
        <w:ind w:left="14" w:right="45"/>
      </w:pPr>
      <w:r>
        <w:rPr>
          <w:rFonts w:ascii="Arial" w:hAnsi="Arial" w:cs="Arial"/>
          <w:sz w:val="19"/>
          <w:szCs w:val="19"/>
        </w:rPr>
        <w:t xml:space="preserve">extraordinária de 13 de julho de 1992, nos termos da Lei n 10.032, de 27 de dezembro de 1985, </w:t>
      </w:r>
    </w:p>
    <w:p w:rsidR="004F432D" w:rsidRDefault="004F432D">
      <w:pPr>
        <w:widowControl w:val="0"/>
        <w:autoSpaceDE w:val="0"/>
        <w:autoSpaceDN w:val="0"/>
        <w:adjustRightInd w:val="0"/>
        <w:spacing w:line="223" w:lineRule="exact"/>
        <w:ind w:left="14" w:right="1324"/>
      </w:pPr>
      <w:r>
        <w:rPr>
          <w:rFonts w:ascii="Arial" w:hAnsi="Arial" w:cs="Arial"/>
          <w:spacing w:val="-2"/>
          <w:sz w:val="19"/>
          <w:szCs w:val="19"/>
        </w:rPr>
        <w:t>com as alterações introduzidas pela Lei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19"/>
          <w:szCs w:val="19"/>
        </w:rPr>
        <w:t xml:space="preserve"> 10.236, de 16 de dezembro de 1986, e </w:t>
      </w:r>
    </w:p>
    <w:p w:rsidR="004F432D" w:rsidRDefault="004F432D">
      <w:pPr>
        <w:widowControl w:val="0"/>
        <w:autoSpaceDE w:val="0"/>
        <w:autoSpaceDN w:val="0"/>
        <w:adjustRightInd w:val="0"/>
        <w:spacing w:line="223" w:lineRule="exact"/>
        <w:ind w:left="14" w:right="1324"/>
        <w:rPr>
          <w:sz w:val="22"/>
          <w:szCs w:val="22"/>
        </w:rPr>
      </w:pPr>
    </w:p>
    <w:p w:rsidR="004F432D" w:rsidRDefault="004F432D">
      <w:pPr>
        <w:widowControl w:val="0"/>
        <w:autoSpaceDE w:val="0"/>
        <w:autoSpaceDN w:val="0"/>
        <w:adjustRightInd w:val="0"/>
        <w:spacing w:line="224" w:lineRule="exact"/>
        <w:ind w:left="14" w:right="47" w:firstLine="413"/>
      </w:pPr>
      <w:r>
        <w:rPr>
          <w:rFonts w:ascii="Arial" w:hAnsi="Arial" w:cs="Arial"/>
          <w:spacing w:val="1"/>
          <w:sz w:val="19"/>
          <w:szCs w:val="19"/>
        </w:rPr>
        <w:t xml:space="preserve">Considerando que o imóvel denominado MASP (Museu de Arte de São Paulo) - bem </w:t>
      </w:r>
      <w:r>
        <w:rPr>
          <w:rFonts w:ascii="Arial" w:hAnsi="Arial" w:cs="Arial"/>
          <w:sz w:val="19"/>
          <w:szCs w:val="19"/>
        </w:rPr>
        <w:t>tombado "ex-officio" pela Resolução CONPRESP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05/91 - localiza-se em área densamente </w:t>
      </w:r>
    </w:p>
    <w:p w:rsidR="004F432D" w:rsidRDefault="004F432D">
      <w:pPr>
        <w:widowControl w:val="0"/>
        <w:autoSpaceDE w:val="0"/>
        <w:autoSpaceDN w:val="0"/>
        <w:adjustRightInd w:val="0"/>
        <w:spacing w:line="221" w:lineRule="exact"/>
        <w:ind w:left="14" w:right="1522"/>
      </w:pPr>
      <w:r>
        <w:rPr>
          <w:rFonts w:ascii="Arial" w:hAnsi="Arial" w:cs="Arial"/>
          <w:spacing w:val="-2"/>
          <w:sz w:val="19"/>
          <w:szCs w:val="19"/>
        </w:rPr>
        <w:t xml:space="preserve">ocupada, cuja característica predominante é a verticalização das edificações; e </w:t>
      </w:r>
    </w:p>
    <w:p w:rsidR="004F432D" w:rsidRDefault="004F432D">
      <w:pPr>
        <w:widowControl w:val="0"/>
        <w:autoSpaceDE w:val="0"/>
        <w:autoSpaceDN w:val="0"/>
        <w:adjustRightInd w:val="0"/>
        <w:spacing w:line="225" w:lineRule="exact"/>
        <w:ind w:left="14" w:right="1522"/>
        <w:rPr>
          <w:sz w:val="23"/>
          <w:szCs w:val="23"/>
        </w:rPr>
      </w:pPr>
    </w:p>
    <w:p w:rsidR="004F432D" w:rsidRDefault="004F432D">
      <w:pPr>
        <w:widowControl w:val="0"/>
        <w:autoSpaceDE w:val="0"/>
        <w:autoSpaceDN w:val="0"/>
        <w:adjustRightInd w:val="0"/>
        <w:spacing w:line="223" w:lineRule="exact"/>
        <w:ind w:left="14" w:right="48" w:firstLine="414"/>
      </w:pPr>
      <w:r>
        <w:rPr>
          <w:rFonts w:ascii="Arial" w:hAnsi="Arial" w:cs="Arial"/>
          <w:spacing w:val="2"/>
          <w:sz w:val="19"/>
          <w:szCs w:val="19"/>
        </w:rPr>
        <w:t xml:space="preserve">Considerando a necessidade de racionalizar as ações das diversas instâncias da </w:t>
      </w:r>
    </w:p>
    <w:p w:rsidR="004F432D" w:rsidRDefault="004F432D">
      <w:pPr>
        <w:widowControl w:val="0"/>
        <w:autoSpaceDE w:val="0"/>
        <w:autoSpaceDN w:val="0"/>
        <w:adjustRightInd w:val="0"/>
        <w:spacing w:line="223" w:lineRule="exact"/>
        <w:ind w:left="14" w:right="1550"/>
      </w:pPr>
      <w:r>
        <w:rPr>
          <w:rFonts w:ascii="Arial" w:hAnsi="Arial" w:cs="Arial"/>
          <w:spacing w:val="-2"/>
          <w:sz w:val="19"/>
          <w:szCs w:val="19"/>
        </w:rPr>
        <w:t xml:space="preserve">administração pública na aprovação de projetos e obras nessa área envoltória, </w:t>
      </w:r>
    </w:p>
    <w:p w:rsidR="004F432D" w:rsidRDefault="004F432D">
      <w:pPr>
        <w:widowControl w:val="0"/>
        <w:autoSpaceDE w:val="0"/>
        <w:autoSpaceDN w:val="0"/>
        <w:adjustRightInd w:val="0"/>
        <w:spacing w:line="252" w:lineRule="exact"/>
        <w:ind w:left="14" w:right="1550"/>
        <w:rPr>
          <w:sz w:val="25"/>
          <w:szCs w:val="25"/>
        </w:rPr>
      </w:pPr>
    </w:p>
    <w:p w:rsidR="004F432D" w:rsidRDefault="004F432D">
      <w:pPr>
        <w:widowControl w:val="0"/>
        <w:autoSpaceDE w:val="0"/>
        <w:autoSpaceDN w:val="0"/>
        <w:adjustRightInd w:val="0"/>
        <w:spacing w:line="194" w:lineRule="exact"/>
        <w:ind w:left="428" w:right="7137"/>
      </w:pPr>
      <w:r>
        <w:rPr>
          <w:rFonts w:ascii="Arial" w:hAnsi="Arial" w:cs="Arial"/>
          <w:spacing w:val="-9"/>
          <w:sz w:val="19"/>
          <w:szCs w:val="19"/>
        </w:rPr>
        <w:t xml:space="preserve">RESOLVE: </w:t>
      </w:r>
    </w:p>
    <w:p w:rsidR="004F432D" w:rsidRDefault="004F432D">
      <w:pPr>
        <w:widowControl w:val="0"/>
        <w:autoSpaceDE w:val="0"/>
        <w:autoSpaceDN w:val="0"/>
        <w:adjustRightInd w:val="0"/>
        <w:spacing w:line="219" w:lineRule="exact"/>
        <w:ind w:left="428" w:right="7137"/>
        <w:rPr>
          <w:sz w:val="22"/>
          <w:szCs w:val="22"/>
        </w:rPr>
      </w:pPr>
    </w:p>
    <w:p w:rsidR="004F432D" w:rsidRDefault="004F432D">
      <w:pPr>
        <w:widowControl w:val="0"/>
        <w:autoSpaceDE w:val="0"/>
        <w:autoSpaceDN w:val="0"/>
        <w:adjustRightInd w:val="0"/>
        <w:spacing w:line="226" w:lineRule="exact"/>
        <w:ind w:left="428" w:right="46"/>
      </w:pPr>
      <w:r>
        <w:rPr>
          <w:rFonts w:ascii="Arial" w:hAnsi="Arial" w:cs="Arial"/>
          <w:b/>
          <w:bCs/>
          <w:sz w:val="19"/>
          <w:szCs w:val="19"/>
        </w:rPr>
        <w:t>Artigo 1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- A área envoltória do MASP (Museu de Arte de São Paulo), imóvel localizado na </w:t>
      </w:r>
    </w:p>
    <w:p w:rsidR="004F432D" w:rsidRDefault="004F432D">
      <w:pPr>
        <w:widowControl w:val="0"/>
        <w:autoSpaceDE w:val="0"/>
        <w:autoSpaceDN w:val="0"/>
        <w:adjustRightInd w:val="0"/>
        <w:spacing w:line="224" w:lineRule="exact"/>
        <w:ind w:left="14" w:right="46"/>
      </w:pPr>
      <w:r>
        <w:rPr>
          <w:rFonts w:ascii="Arial" w:hAnsi="Arial" w:cs="Arial"/>
          <w:sz w:val="19"/>
          <w:szCs w:val="19"/>
        </w:rPr>
        <w:t>Avenida Paulista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1578 (CADLOG 15656-6), Bairro da Bela Vista, corresponde ao próprio lote </w:t>
      </w:r>
    </w:p>
    <w:p w:rsidR="004F432D" w:rsidRDefault="004F432D">
      <w:pPr>
        <w:widowControl w:val="0"/>
        <w:autoSpaceDE w:val="0"/>
        <w:autoSpaceDN w:val="0"/>
        <w:adjustRightInd w:val="0"/>
        <w:spacing w:line="336" w:lineRule="exact"/>
        <w:ind w:left="14" w:right="47"/>
      </w:pPr>
      <w:r>
        <w:rPr>
          <w:rFonts w:ascii="Arial" w:hAnsi="Arial" w:cs="Arial"/>
          <w:sz w:val="19"/>
          <w:szCs w:val="19"/>
        </w:rPr>
        <w:t>dessa edificação (Lote 001 -</w:t>
      </w:r>
      <w:r>
        <w:rPr>
          <w:rFonts w:ascii="Arial" w:hAnsi="Arial" w:cs="Arial"/>
          <w:sz w:val="12"/>
          <w:szCs w:val="12"/>
        </w:rPr>
        <w:t xml:space="preserve"> o</w:t>
      </w:r>
      <w:r>
        <w:rPr>
          <w:rFonts w:ascii="Arial" w:hAnsi="Arial" w:cs="Arial"/>
          <w:sz w:val="19"/>
          <w:szCs w:val="19"/>
        </w:rPr>
        <w:t xml:space="preserve">Quadra 096 - Setor 009) e às seguintes testadas de quadras e </w:t>
      </w:r>
    </w:p>
    <w:p w:rsidR="004F432D" w:rsidRDefault="004F432D">
      <w:pPr>
        <w:widowControl w:val="0"/>
        <w:autoSpaceDE w:val="0"/>
        <w:autoSpaceDN w:val="0"/>
        <w:adjustRightInd w:val="0"/>
        <w:spacing w:line="111" w:lineRule="exact"/>
        <w:ind w:left="14" w:right="2704"/>
      </w:pPr>
      <w:r>
        <w:rPr>
          <w:rFonts w:ascii="Arial" w:hAnsi="Arial" w:cs="Arial"/>
          <w:spacing w:val="-1"/>
          <w:sz w:val="19"/>
          <w:szCs w:val="19"/>
        </w:rPr>
        <w:t xml:space="preserve">logradouros, confome Planta n 07, que integra esta Resolução: </w:t>
      </w:r>
    </w:p>
    <w:p w:rsidR="004F432D" w:rsidRDefault="004F432D">
      <w:pPr>
        <w:widowControl w:val="0"/>
        <w:autoSpaceDE w:val="0"/>
        <w:autoSpaceDN w:val="0"/>
        <w:adjustRightInd w:val="0"/>
        <w:spacing w:line="223" w:lineRule="exact"/>
        <w:ind w:left="14" w:right="46" w:firstLine="414"/>
      </w:pPr>
      <w:r>
        <w:rPr>
          <w:rFonts w:ascii="Arial" w:hAnsi="Arial" w:cs="Arial"/>
          <w:sz w:val="19"/>
          <w:szCs w:val="19"/>
        </w:rPr>
        <w:t xml:space="preserve">a) Avenida Paulista (CADLOG 15656-6): Quadras 027, 028, 029, 045 e 096 do Setor 009; </w:t>
      </w:r>
    </w:p>
    <w:p w:rsidR="004F432D" w:rsidRDefault="004F432D">
      <w:pPr>
        <w:widowControl w:val="0"/>
        <w:autoSpaceDE w:val="0"/>
        <w:autoSpaceDN w:val="0"/>
        <w:adjustRightInd w:val="0"/>
        <w:spacing w:line="223" w:lineRule="exact"/>
        <w:ind w:left="14" w:right="1073"/>
      </w:pPr>
      <w:r>
        <w:rPr>
          <w:rFonts w:ascii="Arial" w:hAnsi="Arial" w:cs="Arial"/>
          <w:spacing w:val="-2"/>
          <w:sz w:val="19"/>
          <w:szCs w:val="19"/>
        </w:rPr>
        <w:t xml:space="preserve">Quadras 073, 081 e 101 do Setor 010; testada do Parque Tenente Siqueira Campos; </w:t>
      </w:r>
    </w:p>
    <w:p w:rsidR="004F432D" w:rsidRDefault="004F432D">
      <w:pPr>
        <w:widowControl w:val="0"/>
        <w:autoSpaceDE w:val="0"/>
        <w:autoSpaceDN w:val="0"/>
        <w:adjustRightInd w:val="0"/>
        <w:spacing w:line="224" w:lineRule="exact"/>
        <w:ind w:left="428" w:right="459"/>
      </w:pPr>
      <w:r>
        <w:rPr>
          <w:rFonts w:ascii="Arial" w:hAnsi="Arial" w:cs="Arial"/>
          <w:spacing w:val="-2"/>
          <w:sz w:val="19"/>
          <w:szCs w:val="19"/>
        </w:rPr>
        <w:t xml:space="preserve">b) Rua Professor Otávio Mendes (CADLOG 15206-4): Quadras 027 e 096 do Setor 009; </w:t>
      </w:r>
    </w:p>
    <w:p w:rsidR="004F432D" w:rsidRDefault="004F432D">
      <w:pPr>
        <w:widowControl w:val="0"/>
        <w:autoSpaceDE w:val="0"/>
        <w:autoSpaceDN w:val="0"/>
        <w:adjustRightInd w:val="0"/>
        <w:spacing w:line="224" w:lineRule="exact"/>
        <w:ind w:left="428" w:right="47"/>
      </w:pPr>
      <w:r>
        <w:rPr>
          <w:rFonts w:ascii="Arial" w:hAnsi="Arial" w:cs="Arial"/>
          <w:sz w:val="19"/>
          <w:szCs w:val="19"/>
        </w:rPr>
        <w:t xml:space="preserve">c) Rua Plínio Figueiredo (CADLOG 16435-6): Quadra 096 do Setor 009 e Quadra 073 do </w:t>
      </w:r>
    </w:p>
    <w:p w:rsidR="004F432D" w:rsidRDefault="004F432D">
      <w:pPr>
        <w:widowControl w:val="0"/>
        <w:autoSpaceDE w:val="0"/>
        <w:autoSpaceDN w:val="0"/>
        <w:adjustRightInd w:val="0"/>
        <w:spacing w:line="221" w:lineRule="exact"/>
        <w:ind w:left="14" w:right="6863"/>
      </w:pPr>
      <w:r>
        <w:rPr>
          <w:rFonts w:ascii="Arial" w:hAnsi="Arial" w:cs="Arial"/>
          <w:spacing w:val="-7"/>
          <w:sz w:val="19"/>
          <w:szCs w:val="19"/>
        </w:rPr>
        <w:t xml:space="preserve">Setor 010; </w:t>
      </w:r>
    </w:p>
    <w:p w:rsidR="004F432D" w:rsidRDefault="004F432D">
      <w:pPr>
        <w:widowControl w:val="0"/>
        <w:autoSpaceDE w:val="0"/>
        <w:autoSpaceDN w:val="0"/>
        <w:adjustRightInd w:val="0"/>
        <w:spacing w:line="224" w:lineRule="exact"/>
        <w:ind w:left="14" w:right="46" w:firstLine="414"/>
      </w:pPr>
      <w:r>
        <w:rPr>
          <w:rFonts w:ascii="Arial" w:hAnsi="Arial" w:cs="Arial"/>
          <w:spacing w:val="-1"/>
          <w:sz w:val="19"/>
          <w:szCs w:val="19"/>
        </w:rPr>
        <w:t xml:space="preserve">d) Rua Carlos Comenale (CADLOG 04321-4): Quadra 014, 027 e 096 do Setor 009; Quadra </w:t>
      </w:r>
    </w:p>
    <w:p w:rsidR="004F432D" w:rsidRDefault="004F432D">
      <w:pPr>
        <w:widowControl w:val="0"/>
        <w:autoSpaceDE w:val="0"/>
        <w:autoSpaceDN w:val="0"/>
        <w:adjustRightInd w:val="0"/>
        <w:spacing w:line="224" w:lineRule="exact"/>
        <w:ind w:left="14" w:right="3671"/>
      </w:pPr>
      <w:r>
        <w:rPr>
          <w:rFonts w:ascii="Arial" w:hAnsi="Arial" w:cs="Arial"/>
          <w:spacing w:val="-2"/>
          <w:sz w:val="19"/>
          <w:szCs w:val="19"/>
        </w:rPr>
        <w:t xml:space="preserve">061 e 073 do Setor 010; áreas públicas adjacentes; </w:t>
      </w:r>
    </w:p>
    <w:p w:rsidR="004F432D" w:rsidRDefault="004F432D">
      <w:pPr>
        <w:widowControl w:val="0"/>
        <w:autoSpaceDE w:val="0"/>
        <w:autoSpaceDN w:val="0"/>
        <w:adjustRightInd w:val="0"/>
        <w:spacing w:line="221" w:lineRule="exact"/>
        <w:ind w:left="428" w:right="1575"/>
      </w:pPr>
      <w:r>
        <w:rPr>
          <w:rFonts w:ascii="Arial" w:hAnsi="Arial" w:cs="Arial"/>
          <w:spacing w:val="-2"/>
          <w:sz w:val="19"/>
          <w:szCs w:val="19"/>
        </w:rPr>
        <w:t xml:space="preserve">e) Rua Professor Picarolo (CADLOG 16212-4): Quadra 014 do Setor 009; </w:t>
      </w:r>
    </w:p>
    <w:p w:rsidR="004F432D" w:rsidRDefault="004F432D">
      <w:pPr>
        <w:widowControl w:val="0"/>
        <w:autoSpaceDE w:val="0"/>
        <w:autoSpaceDN w:val="0"/>
        <w:adjustRightInd w:val="0"/>
        <w:spacing w:line="224" w:lineRule="exact"/>
        <w:ind w:left="428" w:right="1256"/>
      </w:pPr>
      <w:r>
        <w:rPr>
          <w:rFonts w:ascii="Arial" w:hAnsi="Arial" w:cs="Arial"/>
          <w:spacing w:val="-2"/>
          <w:sz w:val="19"/>
          <w:szCs w:val="19"/>
        </w:rPr>
        <w:t xml:space="preserve">f) Rua Engenheiro Monlevade (CADLOG 14138-0): Quadra 061 do Setor 010; </w:t>
      </w:r>
    </w:p>
    <w:p w:rsidR="004F432D" w:rsidRDefault="004F432D">
      <w:pPr>
        <w:widowControl w:val="0"/>
        <w:autoSpaceDE w:val="0"/>
        <w:autoSpaceDN w:val="0"/>
        <w:adjustRightInd w:val="0"/>
        <w:spacing w:line="219" w:lineRule="exact"/>
        <w:ind w:left="428" w:right="1256"/>
        <w:rPr>
          <w:sz w:val="22"/>
          <w:szCs w:val="22"/>
        </w:rPr>
      </w:pPr>
    </w:p>
    <w:p w:rsidR="004F432D" w:rsidRDefault="004F432D">
      <w:pPr>
        <w:widowControl w:val="0"/>
        <w:autoSpaceDE w:val="0"/>
        <w:autoSpaceDN w:val="0"/>
        <w:adjustRightInd w:val="0"/>
        <w:spacing w:line="228" w:lineRule="exact"/>
        <w:ind w:left="428" w:right="380"/>
      </w:pPr>
      <w:r>
        <w:rPr>
          <w:rFonts w:ascii="Arial" w:hAnsi="Arial" w:cs="Arial"/>
          <w:b/>
          <w:bCs/>
          <w:spacing w:val="-2"/>
          <w:sz w:val="19"/>
          <w:szCs w:val="19"/>
        </w:rPr>
        <w:t>Artigo 2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19"/>
          <w:szCs w:val="19"/>
        </w:rPr>
        <w:t xml:space="preserve"> - Ficam submetidos à aprovação prévia do CONPRESP os projetos relativos a: </w:t>
      </w:r>
    </w:p>
    <w:p w:rsidR="004F432D" w:rsidRDefault="004F432D">
      <w:pPr>
        <w:widowControl w:val="0"/>
        <w:autoSpaceDE w:val="0"/>
        <w:autoSpaceDN w:val="0"/>
        <w:adjustRightInd w:val="0"/>
        <w:spacing w:line="223" w:lineRule="exact"/>
        <w:ind w:left="428" w:right="2578"/>
      </w:pPr>
      <w:r>
        <w:rPr>
          <w:rFonts w:ascii="Arial" w:hAnsi="Arial" w:cs="Arial"/>
          <w:spacing w:val="-2"/>
          <w:sz w:val="19"/>
          <w:szCs w:val="19"/>
        </w:rPr>
        <w:t xml:space="preserve">I - Obras civis que utilizem o espaço aéreo de bem tombado; </w:t>
      </w:r>
    </w:p>
    <w:p w:rsidR="004F432D" w:rsidRDefault="004F432D">
      <w:pPr>
        <w:widowControl w:val="0"/>
        <w:autoSpaceDE w:val="0"/>
        <w:autoSpaceDN w:val="0"/>
        <w:adjustRightInd w:val="0"/>
        <w:spacing w:line="223" w:lineRule="exact"/>
        <w:ind w:left="428" w:right="47"/>
      </w:pPr>
      <w:r>
        <w:rPr>
          <w:rFonts w:ascii="Arial" w:hAnsi="Arial" w:cs="Arial"/>
          <w:sz w:val="19"/>
          <w:szCs w:val="19"/>
        </w:rPr>
        <w:t xml:space="preserve">II - Pintura externa das edificações, instalação de equipamentos e mobiliário urbano - como </w:t>
      </w:r>
    </w:p>
    <w:p w:rsidR="004F432D" w:rsidRDefault="004F432D">
      <w:pPr>
        <w:widowControl w:val="0"/>
        <w:autoSpaceDE w:val="0"/>
        <w:autoSpaceDN w:val="0"/>
        <w:adjustRightInd w:val="0"/>
        <w:spacing w:line="224" w:lineRule="exact"/>
        <w:ind w:left="14" w:right="6610"/>
        <w:rPr>
          <w:rFonts w:ascii="Arial" w:hAnsi="Arial" w:cs="Arial"/>
          <w:spacing w:val="-7"/>
          <w:sz w:val="19"/>
          <w:szCs w:val="19"/>
        </w:rPr>
      </w:pPr>
      <w:r>
        <w:rPr>
          <w:rFonts w:ascii="Arial" w:hAnsi="Arial" w:cs="Arial"/>
          <w:spacing w:val="-7"/>
          <w:sz w:val="19"/>
          <w:szCs w:val="19"/>
        </w:rPr>
        <w:t xml:space="preserve">monumentos, </w:t>
      </w:r>
    </w:p>
    <w:p w:rsidR="004F432D" w:rsidRDefault="004F432D">
      <w:pPr>
        <w:widowControl w:val="0"/>
        <w:autoSpaceDE w:val="0"/>
        <w:autoSpaceDN w:val="0"/>
        <w:adjustRightInd w:val="0"/>
        <w:spacing w:line="314" w:lineRule="exact"/>
        <w:ind w:left="14" w:right="6610"/>
        <w:rPr>
          <w:sz w:val="31"/>
          <w:szCs w:val="31"/>
        </w:rPr>
      </w:pPr>
    </w:p>
    <w:p w:rsidR="004F432D" w:rsidRDefault="004F432D">
      <w:pPr>
        <w:widowControl w:val="0"/>
        <w:autoSpaceDE w:val="0"/>
        <w:autoSpaceDN w:val="0"/>
        <w:adjustRightInd w:val="0"/>
        <w:spacing w:line="240" w:lineRule="exact"/>
        <w:ind w:left="14" w:right="6610"/>
      </w:pPr>
    </w:p>
    <w:p w:rsidR="004F432D" w:rsidRDefault="004F432D">
      <w:pPr>
        <w:widowControl w:val="0"/>
        <w:autoSpaceDE w:val="0"/>
        <w:autoSpaceDN w:val="0"/>
        <w:adjustRightInd w:val="0"/>
        <w:spacing w:line="240" w:lineRule="exact"/>
        <w:ind w:left="14" w:right="6610"/>
      </w:pPr>
    </w:p>
    <w:p w:rsidR="004F432D" w:rsidRDefault="004F432D">
      <w:pPr>
        <w:widowControl w:val="0"/>
        <w:autoSpaceDE w:val="0"/>
        <w:autoSpaceDN w:val="0"/>
        <w:adjustRightInd w:val="0"/>
        <w:spacing w:line="240" w:lineRule="exact"/>
        <w:ind w:left="14" w:right="6610"/>
      </w:pPr>
    </w:p>
    <w:p w:rsidR="004F432D" w:rsidRDefault="004F432D">
      <w:pPr>
        <w:widowControl w:val="0"/>
        <w:autoSpaceDE w:val="0"/>
        <w:autoSpaceDN w:val="0"/>
        <w:adjustRightInd w:val="0"/>
        <w:spacing w:line="240" w:lineRule="exact"/>
        <w:ind w:left="14" w:right="6610"/>
      </w:pPr>
    </w:p>
    <w:p w:rsidR="004F432D" w:rsidRDefault="004F432D">
      <w:pPr>
        <w:widowControl w:val="0"/>
        <w:autoSpaceDE w:val="0"/>
        <w:autoSpaceDN w:val="0"/>
        <w:adjustRightInd w:val="0"/>
        <w:spacing w:line="292" w:lineRule="exact"/>
        <w:ind w:left="14" w:right="45"/>
      </w:pPr>
      <w:r>
        <w:rPr>
          <w:rFonts w:ascii="Arial" w:hAnsi="Arial" w:cs="Arial"/>
          <w:spacing w:val="1"/>
          <w:sz w:val="19"/>
          <w:szCs w:val="19"/>
        </w:rPr>
        <w:t>anúncios e marcos comemorativos - localizados</w:t>
      </w:r>
      <w:r>
        <w:rPr>
          <w:rFonts w:ascii="Arial" w:hAnsi="Arial" w:cs="Arial"/>
          <w:spacing w:val="1"/>
          <w:position w:val="-9"/>
          <w:sz w:val="12"/>
          <w:szCs w:val="12"/>
        </w:rPr>
        <w:t xml:space="preserve"> o</w:t>
      </w:r>
      <w:r>
        <w:rPr>
          <w:rFonts w:ascii="Arial" w:hAnsi="Arial" w:cs="Arial"/>
          <w:spacing w:val="1"/>
          <w:sz w:val="19"/>
          <w:szCs w:val="19"/>
        </w:rPr>
        <w:t xml:space="preserve">nas testadas de lotes, faces de quadras, </w:t>
      </w:r>
    </w:p>
    <w:p w:rsidR="004F432D" w:rsidRDefault="004F432D">
      <w:pPr>
        <w:widowControl w:val="0"/>
        <w:autoSpaceDE w:val="0"/>
        <w:autoSpaceDN w:val="0"/>
        <w:adjustRightInd w:val="0"/>
        <w:spacing w:line="110" w:lineRule="exact"/>
        <w:ind w:left="14" w:right="1060"/>
      </w:pPr>
      <w:r>
        <w:rPr>
          <w:rFonts w:ascii="Arial" w:hAnsi="Arial" w:cs="Arial"/>
          <w:spacing w:val="-1"/>
          <w:sz w:val="19"/>
          <w:szCs w:val="19"/>
        </w:rPr>
        <w:t xml:space="preserve">logradouros e demais áreas assinaladas na Planta n 07 que integra esta Resolução. </w:t>
      </w:r>
    </w:p>
    <w:p w:rsidR="004F432D" w:rsidRDefault="004F432D">
      <w:pPr>
        <w:widowControl w:val="0"/>
        <w:autoSpaceDE w:val="0"/>
        <w:autoSpaceDN w:val="0"/>
        <w:adjustRightInd w:val="0"/>
        <w:spacing w:line="220" w:lineRule="exact"/>
        <w:ind w:left="14" w:right="1060"/>
        <w:rPr>
          <w:sz w:val="22"/>
          <w:szCs w:val="22"/>
        </w:rPr>
      </w:pPr>
    </w:p>
    <w:p w:rsidR="004F432D" w:rsidRDefault="004F432D">
      <w:pPr>
        <w:widowControl w:val="0"/>
        <w:autoSpaceDE w:val="0"/>
        <w:autoSpaceDN w:val="0"/>
        <w:adjustRightInd w:val="0"/>
        <w:spacing w:line="228" w:lineRule="exact"/>
        <w:ind w:left="14" w:right="48" w:firstLine="413"/>
      </w:pPr>
      <w:r>
        <w:rPr>
          <w:rFonts w:ascii="Arial" w:hAnsi="Arial" w:cs="Arial"/>
          <w:b/>
          <w:bCs/>
          <w:sz w:val="19"/>
          <w:szCs w:val="19"/>
        </w:rPr>
        <w:t>Artigo 3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- Os órgãos municipais competentes ficam autorizados a expedir alvarás para </w:t>
      </w:r>
    </w:p>
    <w:p w:rsidR="004F432D" w:rsidRDefault="004F432D">
      <w:pPr>
        <w:widowControl w:val="0"/>
        <w:autoSpaceDE w:val="0"/>
        <w:autoSpaceDN w:val="0"/>
        <w:adjustRightInd w:val="0"/>
        <w:spacing w:line="223" w:lineRule="exact"/>
        <w:ind w:left="14" w:right="46"/>
        <w:rPr>
          <w:rFonts w:ascii="Arial" w:hAnsi="Arial" w:cs="Arial"/>
          <w:spacing w:val="2"/>
          <w:sz w:val="19"/>
          <w:szCs w:val="19"/>
        </w:rPr>
      </w:pPr>
      <w:r>
        <w:rPr>
          <w:rFonts w:ascii="Arial" w:hAnsi="Arial" w:cs="Arial"/>
          <w:spacing w:val="2"/>
          <w:sz w:val="19"/>
          <w:szCs w:val="19"/>
        </w:rPr>
        <w:t xml:space="preserve">obras nos lotes enquadrados nesta área envoltória, dispensada a aprovação prévia do </w:t>
      </w:r>
    </w:p>
    <w:p w:rsidR="004F432D" w:rsidRDefault="004F432D">
      <w:pPr>
        <w:widowControl w:val="0"/>
        <w:autoSpaceDE w:val="0"/>
        <w:autoSpaceDN w:val="0"/>
        <w:adjustRightInd w:val="0"/>
        <w:spacing w:line="223" w:lineRule="exact"/>
        <w:ind w:left="14" w:right="46"/>
        <w:rPr>
          <w:rFonts w:ascii="Arial" w:hAnsi="Arial" w:cs="Arial"/>
          <w:spacing w:val="2"/>
          <w:sz w:val="19"/>
          <w:szCs w:val="19"/>
        </w:rPr>
        <w:sectPr w:rsidR="004F432D">
          <w:pgSz w:w="11900" w:h="16840"/>
          <w:pgMar w:top="2060" w:right="1720" w:bottom="420" w:left="1640" w:header="720" w:footer="720" w:gutter="0"/>
          <w:cols w:space="720"/>
          <w:noEndnote/>
        </w:sectPr>
      </w:pPr>
    </w:p>
    <w:p w:rsidR="004F432D" w:rsidRDefault="004F432D">
      <w:pPr>
        <w:widowControl w:val="0"/>
        <w:autoSpaceDE w:val="0"/>
        <w:autoSpaceDN w:val="0"/>
        <w:adjustRightInd w:val="0"/>
        <w:spacing w:line="294" w:lineRule="exact"/>
        <w:ind w:left="14" w:right="2236"/>
      </w:pPr>
      <w:r>
        <w:rPr>
          <w:noProof/>
        </w:rPr>
        <w:pict>
          <v:shape id="_x0000_s1027" type="#_x0000_t75" style="position:absolute;left:0;text-align:left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rFonts w:ascii="Arial" w:hAnsi="Arial" w:cs="Arial"/>
          <w:spacing w:val="-3"/>
          <w:sz w:val="19"/>
          <w:szCs w:val="19"/>
        </w:rPr>
        <w:t>CONPRESP, ressalvado o disposto no Artigo 2</w:t>
      </w:r>
      <w:r>
        <w:rPr>
          <w:rFonts w:ascii="Arial" w:hAnsi="Arial" w:cs="Arial"/>
          <w:spacing w:val="-3"/>
          <w:position w:val="5"/>
          <w:sz w:val="12"/>
          <w:szCs w:val="12"/>
        </w:rPr>
        <w:t>o</w:t>
      </w:r>
      <w:r>
        <w:rPr>
          <w:rFonts w:ascii="Arial" w:hAnsi="Arial" w:cs="Arial"/>
          <w:spacing w:val="-3"/>
          <w:sz w:val="19"/>
          <w:szCs w:val="19"/>
        </w:rPr>
        <w:t xml:space="preserve">. </w:t>
      </w:r>
    </w:p>
    <w:p w:rsidR="004F432D" w:rsidRDefault="004F432D">
      <w:pPr>
        <w:widowControl w:val="0"/>
        <w:autoSpaceDE w:val="0"/>
        <w:autoSpaceDN w:val="0"/>
        <w:adjustRightInd w:val="0"/>
        <w:spacing w:line="219" w:lineRule="exact"/>
        <w:ind w:left="14" w:right="2236"/>
        <w:rPr>
          <w:sz w:val="22"/>
          <w:szCs w:val="22"/>
        </w:rPr>
      </w:pPr>
    </w:p>
    <w:p w:rsidR="004F432D" w:rsidRDefault="004F432D">
      <w:pPr>
        <w:widowControl w:val="0"/>
        <w:autoSpaceDE w:val="0"/>
        <w:autoSpaceDN w:val="0"/>
        <w:adjustRightInd w:val="0"/>
        <w:spacing w:line="228" w:lineRule="exact"/>
        <w:ind w:left="14" w:right="66" w:firstLine="414"/>
        <w:rPr>
          <w:rFonts w:ascii="Arial" w:hAnsi="Arial" w:cs="Arial"/>
          <w:spacing w:val="-2"/>
          <w:sz w:val="19"/>
          <w:szCs w:val="19"/>
        </w:rPr>
      </w:pPr>
      <w:r>
        <w:rPr>
          <w:rFonts w:ascii="Arial" w:hAnsi="Arial" w:cs="Arial"/>
          <w:b/>
          <w:bCs/>
          <w:spacing w:val="-2"/>
          <w:sz w:val="19"/>
          <w:szCs w:val="19"/>
        </w:rPr>
        <w:t>Artigo 4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19"/>
          <w:szCs w:val="19"/>
        </w:rPr>
        <w:t xml:space="preserve"> - Esta Resolução entrará em vigor na data de sua publicação. </w:t>
      </w:r>
    </w:p>
    <w:sectPr w:rsidR="004F432D" w:rsidSect="004F432D">
      <w:pgSz w:w="11900" w:h="16840"/>
      <w:pgMar w:top="2020" w:right="3560" w:bottom="2800" w:left="1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9F6"/>
    <w:rsid w:val="000819F6"/>
    <w:rsid w:val="00214CFC"/>
    <w:rsid w:val="004F432D"/>
    <w:rsid w:val="0081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440</Words>
  <Characters>2381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2014-02-06T19:31:00Z</dcterms:created>
  <dcterms:modified xsi:type="dcterms:W3CDTF">2014-02-06T19:31:00Z</dcterms:modified>
</cp:coreProperties>
</file>