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BE" w:rsidRDefault="005A4EBE">
      <w:pPr>
        <w:widowControl w:val="0"/>
        <w:autoSpaceDE w:val="0"/>
        <w:autoSpaceDN w:val="0"/>
        <w:adjustRightInd w:val="0"/>
        <w:spacing w:line="277" w:lineRule="exact"/>
        <w:ind w:left="14" w:right="44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5A4EBE" w:rsidRDefault="005A4EBE">
      <w:pPr>
        <w:widowControl w:val="0"/>
        <w:autoSpaceDE w:val="0"/>
        <w:autoSpaceDN w:val="0"/>
        <w:adjustRightInd w:val="0"/>
        <w:spacing w:line="245" w:lineRule="exact"/>
        <w:ind w:left="14" w:right="49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5A4EBE" w:rsidRDefault="005A4EBE">
      <w:pPr>
        <w:widowControl w:val="0"/>
        <w:autoSpaceDE w:val="0"/>
        <w:autoSpaceDN w:val="0"/>
        <w:adjustRightInd w:val="0"/>
        <w:spacing w:line="244" w:lineRule="exact"/>
        <w:ind w:left="14" w:right="4287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5A4EBE" w:rsidRDefault="005A4EBE">
      <w:pPr>
        <w:widowControl w:val="0"/>
        <w:autoSpaceDE w:val="0"/>
        <w:autoSpaceDN w:val="0"/>
        <w:adjustRightInd w:val="0"/>
        <w:spacing w:line="287" w:lineRule="exact"/>
        <w:ind w:left="14" w:right="4287"/>
        <w:rPr>
          <w:sz w:val="29"/>
          <w:szCs w:val="29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40" w:lineRule="exact"/>
        <w:ind w:left="14" w:right="4287"/>
      </w:pP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392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7008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5A4EBE" w:rsidRDefault="005A4EBE">
      <w:pPr>
        <w:widowControl w:val="0"/>
        <w:autoSpaceDE w:val="0"/>
        <w:autoSpaceDN w:val="0"/>
        <w:adjustRightInd w:val="0"/>
        <w:spacing w:line="228" w:lineRule="exact"/>
        <w:ind w:left="14" w:right="7008"/>
        <w:rPr>
          <w:sz w:val="23"/>
          <w:szCs w:val="23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307" w:lineRule="exact"/>
        <w:ind w:left="14" w:right="551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15/92 </w:t>
      </w:r>
    </w:p>
    <w:p w:rsidR="005A4EBE" w:rsidRDefault="005A4EBE">
      <w:pPr>
        <w:widowControl w:val="0"/>
        <w:autoSpaceDE w:val="0"/>
        <w:autoSpaceDN w:val="0"/>
        <w:adjustRightInd w:val="0"/>
        <w:spacing w:line="222" w:lineRule="exact"/>
        <w:ind w:left="14" w:right="32"/>
      </w:pPr>
      <w:r>
        <w:rPr>
          <w:rFonts w:ascii="Arial" w:hAnsi="Arial" w:cs="Arial"/>
          <w:b/>
          <w:bCs/>
          <w:sz w:val="19"/>
          <w:szCs w:val="19"/>
        </w:rPr>
        <w:t>Regulamenta a área envoltória</w:t>
      </w:r>
      <w:r>
        <w:rPr>
          <w:rFonts w:ascii="Arial" w:hAnsi="Arial" w:cs="Arial"/>
          <w:sz w:val="19"/>
          <w:szCs w:val="19"/>
        </w:rPr>
        <w:t xml:space="preserve"> da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CASA DO SERTANISTA</w:t>
      </w:r>
      <w:r>
        <w:rPr>
          <w:rFonts w:ascii="Arial" w:hAnsi="Arial" w:cs="Arial"/>
          <w:sz w:val="19"/>
          <w:szCs w:val="19"/>
        </w:rPr>
        <w:t xml:space="preserve">, no Bairro do Caxingui, e dá outras </w:t>
      </w:r>
      <w:r>
        <w:rPr>
          <w:rFonts w:ascii="Arial" w:hAnsi="Arial" w:cs="Arial"/>
          <w:spacing w:val="-6"/>
          <w:sz w:val="19"/>
          <w:szCs w:val="19"/>
        </w:rPr>
        <w:t xml:space="preserve">providências. </w:t>
      </w:r>
    </w:p>
    <w:p w:rsidR="005A4EBE" w:rsidRDefault="005A4EBE">
      <w:pPr>
        <w:widowControl w:val="0"/>
        <w:autoSpaceDE w:val="0"/>
        <w:autoSpaceDN w:val="0"/>
        <w:adjustRightInd w:val="0"/>
        <w:spacing w:line="206" w:lineRule="exact"/>
        <w:ind w:left="14" w:right="32"/>
        <w:rPr>
          <w:sz w:val="21"/>
          <w:szCs w:val="21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40" w:lineRule="exact"/>
        <w:ind w:left="14" w:right="32"/>
      </w:pP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33" w:firstLine="414"/>
      </w:pPr>
      <w:r>
        <w:rPr>
          <w:rFonts w:ascii="Arial" w:hAnsi="Arial" w:cs="Arial"/>
          <w:spacing w:val="-1"/>
          <w:sz w:val="19"/>
          <w:szCs w:val="19"/>
        </w:rPr>
        <w:t xml:space="preserve">O Conselho Municipal de Preservação do Patrimônio Histórico, Cultural e Ambiental da Cidade </w:t>
      </w:r>
      <w:r>
        <w:rPr>
          <w:rFonts w:ascii="Arial" w:hAnsi="Arial" w:cs="Arial"/>
          <w:spacing w:val="2"/>
          <w:sz w:val="19"/>
          <w:szCs w:val="19"/>
        </w:rPr>
        <w:t xml:space="preserve">de São Paulo (CONPRESP), por decisão unânime dos Conselheiros presentes à reunião </w:t>
      </w:r>
      <w:r>
        <w:rPr>
          <w:rFonts w:ascii="Arial" w:hAnsi="Arial" w:cs="Arial"/>
          <w:sz w:val="19"/>
          <w:szCs w:val="19"/>
        </w:rPr>
        <w:t>extraordinária de 13 de julho de 1992,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10.032, de 27 de dezembro de 1985,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1468"/>
      </w:pPr>
      <w:r>
        <w:rPr>
          <w:rFonts w:ascii="Arial" w:hAnsi="Arial" w:cs="Arial"/>
          <w:spacing w:val="-2"/>
          <w:sz w:val="19"/>
          <w:szCs w:val="19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10.236, de 16 de dezembro de 1986, e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1468"/>
        <w:rPr>
          <w:sz w:val="22"/>
          <w:szCs w:val="22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z w:val="19"/>
          <w:szCs w:val="19"/>
        </w:rPr>
        <w:t xml:space="preserve">Considerando que o imóvel denominado Casa do Sertanista - bem tombado "ex-officio" pela </w:t>
      </w:r>
      <w:r>
        <w:rPr>
          <w:rFonts w:ascii="Arial" w:hAnsi="Arial" w:cs="Arial"/>
          <w:spacing w:val="-2"/>
          <w:sz w:val="19"/>
          <w:szCs w:val="19"/>
        </w:rPr>
        <w:t>Resolução CONPRESP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05/91 - localiza-se em área cujo zoneamento vigente estabelece normas </w:t>
      </w:r>
    </w:p>
    <w:p w:rsidR="005A4EBE" w:rsidRDefault="005A4EBE">
      <w:pPr>
        <w:widowControl w:val="0"/>
        <w:autoSpaceDE w:val="0"/>
        <w:autoSpaceDN w:val="0"/>
        <w:adjustRightInd w:val="0"/>
        <w:spacing w:line="221" w:lineRule="exact"/>
        <w:ind w:left="14" w:right="4177"/>
      </w:pPr>
      <w:r>
        <w:rPr>
          <w:rFonts w:ascii="Arial" w:hAnsi="Arial" w:cs="Arial"/>
          <w:spacing w:val="-3"/>
          <w:sz w:val="19"/>
          <w:szCs w:val="19"/>
        </w:rPr>
        <w:t xml:space="preserve">adequadas à preservação de sua ambiência; e </w:t>
      </w:r>
    </w:p>
    <w:p w:rsidR="005A4EBE" w:rsidRDefault="005A4EBE">
      <w:pPr>
        <w:widowControl w:val="0"/>
        <w:autoSpaceDE w:val="0"/>
        <w:autoSpaceDN w:val="0"/>
        <w:adjustRightInd w:val="0"/>
        <w:spacing w:line="225" w:lineRule="exact"/>
        <w:ind w:left="14" w:right="4177"/>
        <w:rPr>
          <w:sz w:val="23"/>
          <w:szCs w:val="23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33" w:firstLine="413"/>
      </w:pPr>
      <w:r>
        <w:rPr>
          <w:rFonts w:ascii="Arial" w:hAnsi="Arial" w:cs="Arial"/>
          <w:spacing w:val="3"/>
          <w:sz w:val="19"/>
          <w:szCs w:val="19"/>
        </w:rPr>
        <w:t xml:space="preserve">Considerando a necessidade de racionalizar as ações das diversas instâncias da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1694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envoltória, </w:t>
      </w:r>
    </w:p>
    <w:p w:rsidR="005A4EBE" w:rsidRDefault="005A4EBE">
      <w:pPr>
        <w:widowControl w:val="0"/>
        <w:autoSpaceDE w:val="0"/>
        <w:autoSpaceDN w:val="0"/>
        <w:adjustRightInd w:val="0"/>
        <w:spacing w:line="252" w:lineRule="exact"/>
        <w:ind w:left="14" w:right="1694"/>
        <w:rPr>
          <w:sz w:val="25"/>
          <w:szCs w:val="25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194" w:lineRule="exact"/>
        <w:ind w:left="428" w:right="729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5A4EBE" w:rsidRDefault="005A4EBE">
      <w:pPr>
        <w:widowControl w:val="0"/>
        <w:autoSpaceDE w:val="0"/>
        <w:autoSpaceDN w:val="0"/>
        <w:adjustRightInd w:val="0"/>
        <w:spacing w:line="219" w:lineRule="exact"/>
        <w:ind w:left="428" w:right="7297"/>
        <w:rPr>
          <w:sz w:val="22"/>
          <w:szCs w:val="22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6" w:lineRule="exact"/>
        <w:ind w:left="428" w:right="34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 área envoltória da Casa do Sertanista, imóvel localizado à Praça Doutor Ênnio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33"/>
      </w:pPr>
      <w:r>
        <w:rPr>
          <w:rFonts w:ascii="Arial" w:hAnsi="Arial" w:cs="Arial"/>
          <w:spacing w:val="-1"/>
          <w:sz w:val="19"/>
          <w:szCs w:val="19"/>
        </w:rPr>
        <w:t xml:space="preserve">Barbato (CADLOG 15773-2), Bairro do Caxingui, está contida no polígono definido pela intersecção </w:t>
      </w:r>
      <w:r>
        <w:rPr>
          <w:rFonts w:ascii="Arial" w:hAnsi="Arial" w:cs="Arial"/>
          <w:spacing w:val="-2"/>
          <w:sz w:val="19"/>
          <w:szCs w:val="19"/>
        </w:rPr>
        <w:t xml:space="preserve">dos eixos da Avenida Professor Francisco Morato (CADLOG 07500-0), Rua Edmundo Scannapieco </w:t>
      </w:r>
    </w:p>
    <w:p w:rsidR="005A4EBE" w:rsidRDefault="005A4EBE">
      <w:pPr>
        <w:widowControl w:val="0"/>
        <w:autoSpaceDE w:val="0"/>
        <w:autoSpaceDN w:val="0"/>
        <w:adjustRightInd w:val="0"/>
        <w:spacing w:line="337" w:lineRule="exact"/>
        <w:ind w:left="14" w:right="33"/>
      </w:pPr>
      <w:r>
        <w:rPr>
          <w:rFonts w:ascii="Arial" w:hAnsi="Arial" w:cs="Arial"/>
          <w:sz w:val="19"/>
          <w:szCs w:val="19"/>
        </w:rPr>
        <w:t>(CADLOG 06204-9), Rua Doutor José de Moura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Resende (CADLOG 10902-9) e Rua Chiquinha </w:t>
      </w:r>
    </w:p>
    <w:p w:rsidR="005A4EBE" w:rsidRDefault="005A4EBE">
      <w:pPr>
        <w:widowControl w:val="0"/>
        <w:autoSpaceDE w:val="0"/>
        <w:autoSpaceDN w:val="0"/>
        <w:adjustRightInd w:val="0"/>
        <w:spacing w:line="110" w:lineRule="exact"/>
        <w:ind w:left="14" w:right="1368"/>
      </w:pPr>
      <w:r>
        <w:rPr>
          <w:rFonts w:ascii="Arial" w:hAnsi="Arial" w:cs="Arial"/>
          <w:spacing w:val="-1"/>
          <w:sz w:val="19"/>
          <w:szCs w:val="19"/>
        </w:rPr>
        <w:t xml:space="preserve">Rodrigues (CADLOG 04907-7), conforme Planta n 02 que integra esta Resolução. </w:t>
      </w:r>
    </w:p>
    <w:p w:rsidR="005A4EBE" w:rsidRDefault="005A4EBE">
      <w:pPr>
        <w:widowControl w:val="0"/>
        <w:autoSpaceDE w:val="0"/>
        <w:autoSpaceDN w:val="0"/>
        <w:adjustRightInd w:val="0"/>
        <w:spacing w:line="219" w:lineRule="exact"/>
        <w:ind w:left="14" w:right="1368"/>
        <w:rPr>
          <w:sz w:val="22"/>
          <w:szCs w:val="22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8" w:lineRule="exact"/>
        <w:ind w:left="14" w:right="34" w:firstLine="414"/>
      </w:pPr>
      <w:r>
        <w:rPr>
          <w:rFonts w:ascii="Arial" w:hAnsi="Arial" w:cs="Arial"/>
          <w:b/>
          <w:bCs/>
          <w:sz w:val="19"/>
          <w:szCs w:val="19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As diretrizes para intervenções nos lotes localizados nessa área envoltória são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2026"/>
      </w:pPr>
      <w:r>
        <w:rPr>
          <w:rFonts w:ascii="Arial" w:hAnsi="Arial" w:cs="Arial"/>
          <w:spacing w:val="-2"/>
          <w:sz w:val="19"/>
          <w:szCs w:val="19"/>
        </w:rPr>
        <w:t xml:space="preserve">aquelas definidas pela legislação urbanística municipal vigente nesta data. </w:t>
      </w:r>
    </w:p>
    <w:p w:rsidR="005A4EBE" w:rsidRDefault="005A4EBE">
      <w:pPr>
        <w:widowControl w:val="0"/>
        <w:autoSpaceDE w:val="0"/>
        <w:autoSpaceDN w:val="0"/>
        <w:adjustRightInd w:val="0"/>
        <w:spacing w:line="218" w:lineRule="exact"/>
        <w:ind w:left="14" w:right="2026"/>
        <w:rPr>
          <w:sz w:val="22"/>
          <w:szCs w:val="22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8" w:lineRule="exact"/>
        <w:ind w:left="14" w:right="34" w:firstLine="414"/>
      </w:pPr>
      <w:r>
        <w:rPr>
          <w:rFonts w:ascii="Arial" w:hAnsi="Arial" w:cs="Arial"/>
          <w:b/>
          <w:bCs/>
          <w:sz w:val="19"/>
          <w:szCs w:val="19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Nesta área envoltória serão submetidos à aprovação prévia do CONPRESP os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6299"/>
      </w:pPr>
      <w:r>
        <w:rPr>
          <w:rFonts w:ascii="Arial" w:hAnsi="Arial" w:cs="Arial"/>
          <w:spacing w:val="-4"/>
          <w:sz w:val="19"/>
          <w:szCs w:val="19"/>
        </w:rPr>
        <w:t xml:space="preserve">projetos relativos a: </w:t>
      </w:r>
    </w:p>
    <w:p w:rsidR="005A4EBE" w:rsidRDefault="005A4EBE">
      <w:pPr>
        <w:widowControl w:val="0"/>
        <w:autoSpaceDE w:val="0"/>
        <w:autoSpaceDN w:val="0"/>
        <w:adjustRightInd w:val="0"/>
        <w:spacing w:line="221" w:lineRule="exact"/>
        <w:ind w:left="14" w:right="33" w:firstLine="414"/>
      </w:pPr>
      <w:r>
        <w:rPr>
          <w:rFonts w:ascii="Arial" w:hAnsi="Arial" w:cs="Arial"/>
          <w:spacing w:val="-1"/>
          <w:sz w:val="19"/>
          <w:szCs w:val="19"/>
        </w:rPr>
        <w:t xml:space="preserve">I - Obras viárias em logradouros públicos localizados no interior do perímetro descrito no Artigo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7607"/>
      </w:pPr>
      <w:r>
        <w:rPr>
          <w:rFonts w:ascii="Arial" w:hAnsi="Arial" w:cs="Arial"/>
          <w:spacing w:val="-12"/>
          <w:sz w:val="19"/>
          <w:szCs w:val="19"/>
        </w:rPr>
        <w:t>1</w:t>
      </w:r>
      <w:r>
        <w:rPr>
          <w:rFonts w:ascii="Arial" w:hAnsi="Arial" w:cs="Arial"/>
          <w:spacing w:val="-12"/>
          <w:position w:val="5"/>
          <w:sz w:val="12"/>
          <w:szCs w:val="12"/>
        </w:rPr>
        <w:t>o</w:t>
      </w:r>
      <w:r>
        <w:rPr>
          <w:rFonts w:ascii="Arial" w:hAnsi="Arial" w:cs="Arial"/>
          <w:spacing w:val="-12"/>
          <w:sz w:val="19"/>
          <w:szCs w:val="19"/>
        </w:rPr>
        <w:t xml:space="preserve">;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428" w:right="3549"/>
      </w:pPr>
      <w:r>
        <w:rPr>
          <w:rFonts w:ascii="Arial" w:hAnsi="Arial" w:cs="Arial"/>
          <w:spacing w:val="-2"/>
          <w:sz w:val="19"/>
          <w:szCs w:val="19"/>
        </w:rPr>
        <w:t xml:space="preserve">II - Alterações na legislação urbanística municipal;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428" w:right="31"/>
      </w:pPr>
      <w:r>
        <w:rPr>
          <w:rFonts w:ascii="Arial" w:hAnsi="Arial" w:cs="Arial"/>
          <w:spacing w:val="-1"/>
          <w:sz w:val="19"/>
          <w:szCs w:val="19"/>
        </w:rPr>
        <w:t xml:space="preserve">III - Obras que envolvam alteração na vegetação de porte arbóreo e ajardinamentos existentes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5948"/>
      </w:pPr>
      <w:r>
        <w:rPr>
          <w:rFonts w:ascii="Arial" w:hAnsi="Arial" w:cs="Arial"/>
          <w:spacing w:val="-4"/>
          <w:sz w:val="19"/>
          <w:szCs w:val="19"/>
        </w:rPr>
        <w:t xml:space="preserve">nos lotes e logradouros;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33" w:firstLine="414"/>
      </w:pPr>
      <w:r>
        <w:rPr>
          <w:rFonts w:ascii="Arial" w:hAnsi="Arial" w:cs="Arial"/>
          <w:sz w:val="19"/>
          <w:szCs w:val="19"/>
        </w:rPr>
        <w:t xml:space="preserve">IV - Pintura externa das edificações, instalação de equipamentos e mobiliário urbano - como </w:t>
      </w:r>
    </w:p>
    <w:p w:rsidR="005A4EBE" w:rsidRDefault="005A4EBE">
      <w:pPr>
        <w:widowControl w:val="0"/>
        <w:autoSpaceDE w:val="0"/>
        <w:autoSpaceDN w:val="0"/>
        <w:adjustRightInd w:val="0"/>
        <w:spacing w:line="337" w:lineRule="exact"/>
        <w:ind w:left="14" w:right="33"/>
      </w:pPr>
      <w:r>
        <w:rPr>
          <w:rFonts w:ascii="Arial" w:hAnsi="Arial" w:cs="Arial"/>
          <w:sz w:val="19"/>
          <w:szCs w:val="19"/>
        </w:rPr>
        <w:t>monumentos, anúncios e marcos comemorativos - localizad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os nas testadas dos lotes, faces de </w:t>
      </w:r>
    </w:p>
    <w:p w:rsidR="005A4EBE" w:rsidRDefault="005A4EBE">
      <w:pPr>
        <w:widowControl w:val="0"/>
        <w:autoSpaceDE w:val="0"/>
        <w:autoSpaceDN w:val="0"/>
        <w:adjustRightInd w:val="0"/>
        <w:spacing w:line="111" w:lineRule="exact"/>
        <w:ind w:left="14" w:right="474"/>
      </w:pPr>
      <w:r>
        <w:rPr>
          <w:rFonts w:ascii="Arial" w:hAnsi="Arial" w:cs="Arial"/>
          <w:spacing w:val="-1"/>
          <w:sz w:val="19"/>
          <w:szCs w:val="19"/>
        </w:rPr>
        <w:t xml:space="preserve">quadras, logradouros e demais áreas assinaladas na Planta n 02 que integra esta Resolução. </w:t>
      </w:r>
    </w:p>
    <w:p w:rsidR="005A4EBE" w:rsidRDefault="005A4EBE">
      <w:pPr>
        <w:widowControl w:val="0"/>
        <w:autoSpaceDE w:val="0"/>
        <w:autoSpaceDN w:val="0"/>
        <w:adjustRightInd w:val="0"/>
        <w:spacing w:line="251" w:lineRule="exact"/>
        <w:ind w:left="14" w:right="474"/>
        <w:rPr>
          <w:sz w:val="25"/>
          <w:szCs w:val="25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194" w:lineRule="exact"/>
        <w:ind w:left="14" w:right="3201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Parágrafo Único</w:t>
      </w:r>
      <w:r>
        <w:rPr>
          <w:rFonts w:ascii="Arial" w:hAnsi="Arial" w:cs="Arial"/>
          <w:spacing w:val="-2"/>
          <w:sz w:val="19"/>
          <w:szCs w:val="19"/>
        </w:rPr>
        <w:t xml:space="preserve"> - Os logradouros e faces de quadras </w:t>
      </w:r>
    </w:p>
    <w:p w:rsidR="005A4EBE" w:rsidRDefault="005A4EBE">
      <w:pPr>
        <w:widowControl w:val="0"/>
        <w:autoSpaceDE w:val="0"/>
        <w:autoSpaceDN w:val="0"/>
        <w:adjustRightInd w:val="0"/>
        <w:spacing w:line="266" w:lineRule="exact"/>
        <w:ind w:left="14" w:right="3201" w:firstLine="414"/>
        <w:rPr>
          <w:sz w:val="27"/>
          <w:szCs w:val="27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40" w:lineRule="exact"/>
        <w:ind w:left="14" w:right="3201" w:firstLine="414"/>
      </w:pPr>
    </w:p>
    <w:p w:rsidR="005A4EBE" w:rsidRDefault="005A4EBE">
      <w:pPr>
        <w:widowControl w:val="0"/>
        <w:autoSpaceDE w:val="0"/>
        <w:autoSpaceDN w:val="0"/>
        <w:adjustRightInd w:val="0"/>
        <w:spacing w:line="240" w:lineRule="exact"/>
        <w:ind w:left="14" w:right="3201" w:firstLine="414"/>
      </w:pPr>
    </w:p>
    <w:p w:rsidR="005A4EBE" w:rsidRDefault="005A4EBE">
      <w:pPr>
        <w:widowControl w:val="0"/>
        <w:autoSpaceDE w:val="0"/>
        <w:autoSpaceDN w:val="0"/>
        <w:adjustRightInd w:val="0"/>
        <w:spacing w:line="240" w:lineRule="exact"/>
        <w:ind w:left="14" w:right="3201" w:firstLine="414"/>
      </w:pPr>
    </w:p>
    <w:p w:rsidR="005A4EBE" w:rsidRDefault="005A4EBE">
      <w:pPr>
        <w:widowControl w:val="0"/>
        <w:autoSpaceDE w:val="0"/>
        <w:autoSpaceDN w:val="0"/>
        <w:adjustRightInd w:val="0"/>
        <w:spacing w:line="240" w:lineRule="exact"/>
        <w:ind w:left="14" w:right="3201" w:firstLine="414"/>
      </w:pPr>
    </w:p>
    <w:p w:rsidR="005A4EBE" w:rsidRDefault="005A4EBE">
      <w:pPr>
        <w:widowControl w:val="0"/>
        <w:autoSpaceDE w:val="0"/>
        <w:autoSpaceDN w:val="0"/>
        <w:adjustRightInd w:val="0"/>
        <w:spacing w:line="228" w:lineRule="exact"/>
        <w:ind w:left="428" w:right="3449"/>
      </w:pPr>
      <w:r>
        <w:rPr>
          <w:rFonts w:ascii="Arial" w:hAnsi="Arial" w:cs="Arial"/>
          <w:spacing w:val="-2"/>
          <w:sz w:val="19"/>
          <w:szCs w:val="19"/>
        </w:rPr>
        <w:t>referidos no Inciso IV do artigo 3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são os seguintes: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428" w:right="252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a) Praça Dr. Ênnio Barbato (CADLOG 15773-2): Quadras 269, 270, 271 e E.L. do Setor 101;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428" w:right="252"/>
        <w:rPr>
          <w:rFonts w:ascii="Arial" w:hAnsi="Arial" w:cs="Arial"/>
          <w:spacing w:val="-2"/>
          <w:sz w:val="19"/>
          <w:szCs w:val="19"/>
        </w:rPr>
        <w:sectPr w:rsidR="005A4EBE">
          <w:pgSz w:w="11900" w:h="16840"/>
          <w:pgMar w:top="2060" w:right="1560" w:bottom="420" w:left="1640" w:header="720" w:footer="720" w:gutter="0"/>
          <w:cols w:space="720"/>
          <w:noEndnote/>
        </w:sectPr>
      </w:pPr>
    </w:p>
    <w:p w:rsidR="005A4EBE" w:rsidRDefault="005A4EBE">
      <w:pPr>
        <w:widowControl w:val="0"/>
        <w:autoSpaceDE w:val="0"/>
        <w:autoSpaceDN w:val="0"/>
        <w:adjustRightInd w:val="0"/>
        <w:spacing w:line="254" w:lineRule="exact"/>
        <w:ind w:left="428" w:right="1108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1"/>
          <w:sz w:val="19"/>
          <w:szCs w:val="19"/>
        </w:rPr>
        <w:t xml:space="preserve">b) Rua Min. Alfredo Nasser (CADLOG 00714-5): Quadra 271 e E.L do Setor 101;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428" w:right="33"/>
      </w:pPr>
      <w:r>
        <w:rPr>
          <w:rFonts w:ascii="Arial" w:hAnsi="Arial" w:cs="Arial"/>
          <w:sz w:val="19"/>
          <w:szCs w:val="19"/>
        </w:rPr>
        <w:t xml:space="preserve">c) Rua Ten. Aviador Mota Lima (CADLOG 14.276-0); Quadras 272 (parte), 275 (parte), 276 e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6356"/>
      </w:pPr>
      <w:r>
        <w:rPr>
          <w:rFonts w:ascii="Arial" w:hAnsi="Arial" w:cs="Arial"/>
          <w:spacing w:val="-1"/>
          <w:sz w:val="19"/>
          <w:szCs w:val="19"/>
        </w:rPr>
        <w:t xml:space="preserve">E.L. do Setor 101;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33" w:firstLine="413"/>
      </w:pPr>
      <w:r>
        <w:rPr>
          <w:rFonts w:ascii="Arial" w:hAnsi="Arial" w:cs="Arial"/>
          <w:spacing w:val="-1"/>
          <w:sz w:val="19"/>
          <w:szCs w:val="19"/>
        </w:rPr>
        <w:t xml:space="preserve">d) Rua Dr. Rui Batista Pereira (CADLOG 17.542-0): Quadras 269 (parte), 272, 273 (parte), 275 </w:t>
      </w:r>
    </w:p>
    <w:p w:rsidR="005A4EBE" w:rsidRDefault="005A4EBE">
      <w:pPr>
        <w:widowControl w:val="0"/>
        <w:autoSpaceDE w:val="0"/>
        <w:autoSpaceDN w:val="0"/>
        <w:adjustRightInd w:val="0"/>
        <w:spacing w:line="223" w:lineRule="exact"/>
        <w:ind w:left="14" w:right="4769"/>
      </w:pPr>
      <w:r>
        <w:rPr>
          <w:rFonts w:ascii="Arial" w:hAnsi="Arial" w:cs="Arial"/>
          <w:spacing w:val="-2"/>
          <w:sz w:val="19"/>
          <w:szCs w:val="19"/>
        </w:rPr>
        <w:t xml:space="preserve">(parte), 276 (parte) e E.L. do setor 101; </w:t>
      </w:r>
    </w:p>
    <w:p w:rsidR="005A4EBE" w:rsidRDefault="005A4EBE">
      <w:pPr>
        <w:widowControl w:val="0"/>
        <w:autoSpaceDE w:val="0"/>
        <w:autoSpaceDN w:val="0"/>
        <w:adjustRightInd w:val="0"/>
        <w:spacing w:line="224" w:lineRule="exact"/>
        <w:ind w:left="14" w:right="32" w:firstLine="413"/>
      </w:pPr>
      <w:r>
        <w:rPr>
          <w:rFonts w:ascii="Arial" w:hAnsi="Arial" w:cs="Arial"/>
          <w:sz w:val="19"/>
          <w:szCs w:val="19"/>
        </w:rPr>
        <w:t xml:space="preserve">e) Rua Dep. Bady Bassit (CADLOG 02706-5): Quadras 270 (parte), 271 (parte), 272 (parte) e </w:t>
      </w:r>
      <w:r>
        <w:rPr>
          <w:rFonts w:ascii="Arial" w:hAnsi="Arial" w:cs="Arial"/>
          <w:spacing w:val="-3"/>
          <w:sz w:val="19"/>
          <w:szCs w:val="19"/>
        </w:rPr>
        <w:t xml:space="preserve">273 (parte) do Setor 101. </w:t>
      </w:r>
    </w:p>
    <w:p w:rsidR="005A4EBE" w:rsidRDefault="005A4EBE">
      <w:pPr>
        <w:widowControl w:val="0"/>
        <w:autoSpaceDE w:val="0"/>
        <w:autoSpaceDN w:val="0"/>
        <w:adjustRightInd w:val="0"/>
        <w:spacing w:line="218" w:lineRule="exact"/>
        <w:ind w:left="14" w:right="32" w:firstLine="413"/>
        <w:rPr>
          <w:sz w:val="22"/>
          <w:szCs w:val="22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8" w:lineRule="exact"/>
        <w:ind w:left="14" w:right="32" w:firstLine="414"/>
      </w:pPr>
      <w:r>
        <w:rPr>
          <w:rFonts w:ascii="Arial" w:hAnsi="Arial" w:cs="Arial"/>
          <w:b/>
          <w:bCs/>
          <w:spacing w:val="-1"/>
          <w:sz w:val="19"/>
          <w:szCs w:val="19"/>
        </w:rPr>
        <w:t>Artigo 4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Os órgãos municipais competentes ficam autorizados a expedir alvarás para obras </w:t>
      </w:r>
    </w:p>
    <w:p w:rsidR="005A4EBE" w:rsidRDefault="005A4EBE">
      <w:pPr>
        <w:widowControl w:val="0"/>
        <w:autoSpaceDE w:val="0"/>
        <w:autoSpaceDN w:val="0"/>
        <w:adjustRightInd w:val="0"/>
        <w:spacing w:line="336" w:lineRule="exact"/>
        <w:ind w:left="14" w:right="32"/>
      </w:pPr>
      <w:r>
        <w:rPr>
          <w:rFonts w:ascii="Arial" w:hAnsi="Arial" w:cs="Arial"/>
          <w:sz w:val="19"/>
          <w:szCs w:val="19"/>
        </w:rPr>
        <w:t>nos lotes enquadrados nesta ár</w:t>
      </w:r>
      <w:r>
        <w:rPr>
          <w:rFonts w:ascii="Arial" w:hAnsi="Arial" w:cs="Arial"/>
          <w:position w:val="-9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ea envoltória, dispensada a aprovação prévia do CONPRESP, </w:t>
      </w:r>
    </w:p>
    <w:p w:rsidR="005A4EBE" w:rsidRDefault="005A4EBE">
      <w:pPr>
        <w:widowControl w:val="0"/>
        <w:autoSpaceDE w:val="0"/>
        <w:autoSpaceDN w:val="0"/>
        <w:adjustRightInd w:val="0"/>
        <w:spacing w:line="111" w:lineRule="exact"/>
        <w:ind w:left="14" w:right="5115"/>
      </w:pPr>
      <w:r>
        <w:rPr>
          <w:rFonts w:ascii="Arial" w:hAnsi="Arial" w:cs="Arial"/>
          <w:spacing w:val="-2"/>
          <w:sz w:val="19"/>
          <w:szCs w:val="19"/>
        </w:rPr>
        <w:t xml:space="preserve">ressalvado o disposto no Artigo 3 . </w:t>
      </w:r>
    </w:p>
    <w:p w:rsidR="005A4EBE" w:rsidRDefault="005A4EBE">
      <w:pPr>
        <w:widowControl w:val="0"/>
        <w:autoSpaceDE w:val="0"/>
        <w:autoSpaceDN w:val="0"/>
        <w:adjustRightInd w:val="0"/>
        <w:spacing w:line="219" w:lineRule="exact"/>
        <w:ind w:left="14" w:right="5115"/>
        <w:rPr>
          <w:sz w:val="22"/>
          <w:szCs w:val="22"/>
        </w:rPr>
      </w:pPr>
    </w:p>
    <w:p w:rsidR="005A4EBE" w:rsidRDefault="005A4EBE">
      <w:pPr>
        <w:widowControl w:val="0"/>
        <w:autoSpaceDE w:val="0"/>
        <w:autoSpaceDN w:val="0"/>
        <w:adjustRightInd w:val="0"/>
        <w:spacing w:line="228" w:lineRule="exact"/>
        <w:ind w:left="14" w:right="1866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5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5A4EBE" w:rsidSect="005A4EBE">
      <w:pgSz w:w="11900" w:h="16840"/>
      <w:pgMar w:top="2060" w:right="1560" w:bottom="236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25"/>
    <w:rsid w:val="00214CFC"/>
    <w:rsid w:val="005A4EBE"/>
    <w:rsid w:val="006815D6"/>
    <w:rsid w:val="0074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517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2014-02-06T19:26:00Z</dcterms:created>
  <dcterms:modified xsi:type="dcterms:W3CDTF">2014-02-06T19:26:00Z</dcterms:modified>
</cp:coreProperties>
</file>