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5D" w:rsidRDefault="0002265D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2265D" w:rsidRDefault="0002265D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2265D" w:rsidRDefault="0002265D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2265D" w:rsidRDefault="0002265D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02265D" w:rsidRDefault="0002265D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02265D" w:rsidRDefault="0002265D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02265D" w:rsidRDefault="0002265D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11/96 </w:t>
      </w:r>
    </w:p>
    <w:p w:rsidR="0002265D" w:rsidRDefault="0002265D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02265D" w:rsidRDefault="0002265D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>O Conselho Municipal de Preservação do Patrimônio Histórico, Cultural e Ambiental da Cidade de São Paulo - CONPRESP, no uso das atribuições que lhe são conferidas pelo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>, incisos I e III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10.032, de 27 de dezembro de 1985, alterada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10.326 de 16 de dezembro de 1986, e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10" w:right="3280"/>
      </w:pPr>
      <w:r>
        <w:rPr>
          <w:rFonts w:ascii="Arial" w:hAnsi="Arial" w:cs="Arial"/>
          <w:spacing w:val="-2"/>
          <w:sz w:val="20"/>
          <w:szCs w:val="20"/>
        </w:rPr>
        <w:t>tendo em vista o disposto no artigo 7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da mesma Lei, RESOLVE: </w:t>
      </w:r>
    </w:p>
    <w:p w:rsidR="0002265D" w:rsidRDefault="0002265D">
      <w:pPr>
        <w:widowControl w:val="0"/>
        <w:autoSpaceDE w:val="0"/>
        <w:autoSpaceDN w:val="0"/>
        <w:adjustRightInd w:val="0"/>
        <w:spacing w:line="226" w:lineRule="exact"/>
        <w:ind w:left="10" w:right="3280"/>
        <w:rPr>
          <w:sz w:val="23"/>
          <w:szCs w:val="23"/>
        </w:rPr>
      </w:pPr>
    </w:p>
    <w:p w:rsidR="0002265D" w:rsidRDefault="0002265D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Ficam estabelecidas as diretrizes que seguem, a serem consideradas pelo órgão técnico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de apoio quanto aos elementos em estudos das edificações, conjuntos arquitetônicos ou urbanísticos,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6087"/>
      </w:pPr>
      <w:r>
        <w:rPr>
          <w:rFonts w:ascii="Arial" w:hAnsi="Arial" w:cs="Arial"/>
          <w:spacing w:val="-4"/>
          <w:sz w:val="20"/>
          <w:szCs w:val="20"/>
        </w:rPr>
        <w:t xml:space="preserve">em processo de tombamento: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I) Identificação do bem com indicação de datas, materiais, técnicas construtivas, formas, autoria e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436" w:right="5307" w:firstLine="283"/>
      </w:pPr>
      <w:r>
        <w:rPr>
          <w:rFonts w:ascii="Arial" w:hAnsi="Arial" w:cs="Arial"/>
          <w:spacing w:val="-3"/>
          <w:sz w:val="20"/>
          <w:szCs w:val="20"/>
        </w:rPr>
        <w:t xml:space="preserve">demais elementos necessários;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II) quantidade de elementos ou conjuntos de elementos similares existentes à data do estudo na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1054" w:firstLine="283"/>
      </w:pPr>
      <w:r>
        <w:rPr>
          <w:rFonts w:ascii="Arial" w:hAnsi="Arial" w:cs="Arial"/>
          <w:spacing w:val="-2"/>
          <w:sz w:val="20"/>
          <w:szCs w:val="20"/>
        </w:rPr>
        <w:t xml:space="preserve">cidade ou no próprio bairro e originalidade ou freqüência à época da sua construção;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III) valor do bem ou dos seus elementos, sob o ponto de vista tecnológico, estético, científico e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7108" w:firstLine="283"/>
      </w:pPr>
      <w:r>
        <w:rPr>
          <w:rFonts w:ascii="Arial" w:hAnsi="Arial" w:cs="Arial"/>
          <w:spacing w:val="-7"/>
          <w:sz w:val="20"/>
          <w:szCs w:val="20"/>
        </w:rPr>
        <w:t xml:space="preserve">histórico;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IV) função do bem ou dos seus elementos, no processo de transformação da Cidade ou do próprio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436" w:right="7318" w:firstLine="283"/>
      </w:pPr>
      <w:r>
        <w:rPr>
          <w:rFonts w:ascii="Arial" w:hAnsi="Arial" w:cs="Arial"/>
          <w:spacing w:val="-9"/>
          <w:sz w:val="20"/>
          <w:szCs w:val="20"/>
        </w:rPr>
        <w:t xml:space="preserve">bairro;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V) relação entre a existência do bem ou de seus elementos e a ocorrência de fatos históricos de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3737" w:firstLine="283"/>
      </w:pPr>
      <w:r>
        <w:rPr>
          <w:rFonts w:ascii="Arial" w:hAnsi="Arial" w:cs="Arial"/>
          <w:spacing w:val="-2"/>
          <w:sz w:val="20"/>
          <w:szCs w:val="20"/>
        </w:rPr>
        <w:t xml:space="preserve">importância para a Cidade ou para o próprio bairro;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10" w:right="49" w:firstLine="425"/>
      </w:pPr>
      <w:r>
        <w:rPr>
          <w:rFonts w:ascii="Arial" w:hAnsi="Arial" w:cs="Arial"/>
          <w:spacing w:val="1"/>
          <w:sz w:val="20"/>
          <w:szCs w:val="20"/>
        </w:rPr>
        <w:t xml:space="preserve">VI) importância dos elementos do bem em estudo e do seu conjunto para a manutenção da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2428" w:firstLine="424"/>
      </w:pPr>
      <w:r>
        <w:rPr>
          <w:rFonts w:ascii="Arial" w:hAnsi="Arial" w:cs="Arial"/>
          <w:spacing w:val="-2"/>
          <w:sz w:val="20"/>
          <w:szCs w:val="20"/>
        </w:rPr>
        <w:t xml:space="preserve">qualidade ambiental dos espaços públicos da cidade ou do bairro;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10" w:right="49" w:firstLine="425"/>
      </w:pPr>
      <w:r>
        <w:rPr>
          <w:rFonts w:ascii="Arial" w:hAnsi="Arial" w:cs="Arial"/>
          <w:spacing w:val="-1"/>
          <w:sz w:val="20"/>
          <w:szCs w:val="20"/>
        </w:rPr>
        <w:t xml:space="preserve">VII) importância dos elementos naturais locais para a preservação e valorização da paisagem e das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5680" w:firstLine="424"/>
      </w:pPr>
      <w:r>
        <w:rPr>
          <w:rFonts w:ascii="Arial" w:hAnsi="Arial" w:cs="Arial"/>
          <w:spacing w:val="-4"/>
          <w:sz w:val="20"/>
          <w:szCs w:val="20"/>
        </w:rPr>
        <w:t xml:space="preserve">espécies vivas da região. </w:t>
      </w:r>
    </w:p>
    <w:p w:rsidR="0002265D" w:rsidRDefault="0002265D">
      <w:pPr>
        <w:widowControl w:val="0"/>
        <w:autoSpaceDE w:val="0"/>
        <w:autoSpaceDN w:val="0"/>
        <w:adjustRightInd w:val="0"/>
        <w:spacing w:line="225" w:lineRule="exact"/>
        <w:ind w:left="436" w:right="5680" w:firstLine="424"/>
        <w:rPr>
          <w:sz w:val="22"/>
          <w:szCs w:val="22"/>
        </w:rPr>
      </w:pPr>
    </w:p>
    <w:p w:rsidR="0002265D" w:rsidRDefault="0002265D">
      <w:pPr>
        <w:widowControl w:val="0"/>
        <w:autoSpaceDE w:val="0"/>
        <w:autoSpaceDN w:val="0"/>
        <w:adjustRightInd w:val="0"/>
        <w:spacing w:line="234" w:lineRule="exact"/>
        <w:ind w:left="436" w:right="4320"/>
      </w:pPr>
      <w:r>
        <w:rPr>
          <w:rFonts w:ascii="Arial" w:hAnsi="Arial" w:cs="Arial"/>
          <w:b/>
          <w:bCs/>
          <w:spacing w:val="-3"/>
          <w:sz w:val="20"/>
          <w:szCs w:val="20"/>
        </w:rPr>
        <w:t>Artigo 2</w:t>
      </w:r>
      <w:r>
        <w:rPr>
          <w:rFonts w:ascii="Arial" w:hAnsi="Arial" w:cs="Arial"/>
          <w:b/>
          <w:bCs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- Deverão também ser consideradas: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47"/>
      </w:pPr>
      <w:r>
        <w:rPr>
          <w:rFonts w:ascii="Arial" w:hAnsi="Arial" w:cs="Arial"/>
          <w:spacing w:val="1"/>
          <w:sz w:val="20"/>
          <w:szCs w:val="20"/>
        </w:rPr>
        <w:t xml:space="preserve">I) a existência de outros imóveis tombados ou a tombar nas imediações, com possibilidade de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720" w:right="48"/>
      </w:pPr>
      <w:r>
        <w:rPr>
          <w:rFonts w:ascii="Arial" w:hAnsi="Arial" w:cs="Arial"/>
          <w:sz w:val="20"/>
          <w:szCs w:val="20"/>
        </w:rPr>
        <w:t xml:space="preserve">criação de visuais ou área cujo valor seja ampliado por tal proximidade, indicando-se as razões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720" w:right="6338"/>
      </w:pPr>
      <w:r>
        <w:rPr>
          <w:rFonts w:ascii="Arial" w:hAnsi="Arial" w:cs="Arial"/>
          <w:spacing w:val="-4"/>
          <w:sz w:val="20"/>
          <w:szCs w:val="20"/>
        </w:rPr>
        <w:t xml:space="preserve">dessa valorização;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II) a possibilidade de preservação ou criação de perspectivas com valorização da paisagem por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2595" w:firstLine="283"/>
      </w:pPr>
      <w:r>
        <w:rPr>
          <w:rFonts w:ascii="Arial" w:hAnsi="Arial" w:cs="Arial"/>
          <w:spacing w:val="-2"/>
          <w:sz w:val="20"/>
          <w:szCs w:val="20"/>
        </w:rPr>
        <w:t xml:space="preserve">meio de intervenções específicas na morfologia urbana existente;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III) o estado de conservação dos elementos componentes da edificação, do conjunto arquitetônico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436" w:right="6649" w:firstLine="283"/>
      </w:pPr>
      <w:r>
        <w:rPr>
          <w:rFonts w:ascii="Arial" w:hAnsi="Arial" w:cs="Arial"/>
          <w:spacing w:val="-5"/>
          <w:sz w:val="20"/>
          <w:szCs w:val="20"/>
        </w:rPr>
        <w:t xml:space="preserve">ou urbanístico; </w:t>
      </w:r>
    </w:p>
    <w:p w:rsidR="0002265D" w:rsidRDefault="0002265D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IV) a viabilidade de eventual recuperação, restauro e preservação dos imóveis por intervenção do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436" w:right="6658" w:firstLine="283"/>
      </w:pPr>
      <w:r>
        <w:rPr>
          <w:rFonts w:ascii="Arial" w:hAnsi="Arial" w:cs="Arial"/>
          <w:spacing w:val="-5"/>
          <w:sz w:val="20"/>
          <w:szCs w:val="20"/>
        </w:rPr>
        <w:t xml:space="preserve">Poder Público. </w:t>
      </w:r>
    </w:p>
    <w:p w:rsidR="0002265D" w:rsidRDefault="0002265D">
      <w:pPr>
        <w:widowControl w:val="0"/>
        <w:autoSpaceDE w:val="0"/>
        <w:autoSpaceDN w:val="0"/>
        <w:adjustRightInd w:val="0"/>
        <w:spacing w:line="226" w:lineRule="exact"/>
        <w:ind w:left="436" w:right="6658" w:firstLine="283"/>
        <w:rPr>
          <w:sz w:val="23"/>
          <w:szCs w:val="23"/>
        </w:rPr>
      </w:pPr>
    </w:p>
    <w:p w:rsidR="0002265D" w:rsidRDefault="0002265D">
      <w:pPr>
        <w:widowControl w:val="0"/>
        <w:autoSpaceDE w:val="0"/>
        <w:autoSpaceDN w:val="0"/>
        <w:adjustRightInd w:val="0"/>
        <w:spacing w:line="234" w:lineRule="exact"/>
        <w:ind w:left="10" w:right="48" w:firstLine="425"/>
      </w:pPr>
      <w:r>
        <w:rPr>
          <w:rFonts w:ascii="Arial" w:hAnsi="Arial" w:cs="Arial"/>
          <w:b/>
          <w:bCs/>
          <w:sz w:val="20"/>
          <w:szCs w:val="20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Poderão ser utilizadas e detalhadas diretrizes específicas, diferentes das fixadas nesta </w:t>
      </w:r>
    </w:p>
    <w:p w:rsidR="0002265D" w:rsidRDefault="0002265D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pacing w:val="-2"/>
          <w:sz w:val="20"/>
          <w:szCs w:val="20"/>
        </w:rPr>
        <w:t xml:space="preserve">Resolução, de acordo com as características de cada caso, a critério do CONPRESP ou por sugestão do </w:t>
      </w:r>
      <w:r>
        <w:rPr>
          <w:rFonts w:ascii="Arial" w:hAnsi="Arial" w:cs="Arial"/>
          <w:spacing w:val="-3"/>
          <w:sz w:val="20"/>
          <w:szCs w:val="20"/>
        </w:rPr>
        <w:t xml:space="preserve">órgão técnico de apoio, aprovado pelo Conselho. </w:t>
      </w:r>
    </w:p>
    <w:p w:rsidR="0002265D" w:rsidRDefault="0002265D">
      <w:pPr>
        <w:widowControl w:val="0"/>
        <w:autoSpaceDE w:val="0"/>
        <w:autoSpaceDN w:val="0"/>
        <w:adjustRightInd w:val="0"/>
        <w:spacing w:line="225" w:lineRule="exact"/>
        <w:ind w:left="10" w:right="47"/>
        <w:rPr>
          <w:sz w:val="22"/>
          <w:szCs w:val="22"/>
        </w:rPr>
      </w:pPr>
    </w:p>
    <w:p w:rsidR="0002265D" w:rsidRDefault="0002265D">
      <w:pPr>
        <w:widowControl w:val="0"/>
        <w:autoSpaceDE w:val="0"/>
        <w:autoSpaceDN w:val="0"/>
        <w:adjustRightInd w:val="0"/>
        <w:spacing w:line="234" w:lineRule="exact"/>
        <w:ind w:left="10" w:right="2510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Artigo 4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Esta Resolução entra em vigor na data de sua publicação. </w:t>
      </w:r>
    </w:p>
    <w:sectPr w:rsidR="0002265D" w:rsidSect="0002265D">
      <w:pgSz w:w="11900" w:h="16840"/>
      <w:pgMar w:top="1420" w:right="1640" w:bottom="7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792"/>
    <w:rsid w:val="0002265D"/>
    <w:rsid w:val="00525AD7"/>
    <w:rsid w:val="00AA4792"/>
    <w:rsid w:val="00E8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430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2014-02-06T19:55:00Z</dcterms:created>
  <dcterms:modified xsi:type="dcterms:W3CDTF">2014-02-06T19:55:00Z</dcterms:modified>
</cp:coreProperties>
</file>