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7B" w:rsidRDefault="00513C7B">
      <w:pPr>
        <w:widowControl w:val="0"/>
        <w:autoSpaceDE w:val="0"/>
        <w:autoSpaceDN w:val="0"/>
        <w:adjustRightInd w:val="0"/>
        <w:spacing w:line="249" w:lineRule="exact"/>
        <w:ind w:left="10" w:right="497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513C7B" w:rsidRDefault="00513C7B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513C7B" w:rsidRDefault="00513C7B">
      <w:pPr>
        <w:widowControl w:val="0"/>
        <w:autoSpaceDE w:val="0"/>
        <w:autoSpaceDN w:val="0"/>
        <w:adjustRightInd w:val="0"/>
        <w:spacing w:line="253" w:lineRule="exact"/>
        <w:ind w:left="10" w:right="4838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513C7B" w:rsidRDefault="00513C7B">
      <w:pPr>
        <w:widowControl w:val="0"/>
        <w:autoSpaceDE w:val="0"/>
        <w:autoSpaceDN w:val="0"/>
        <w:adjustRightInd w:val="0"/>
        <w:spacing w:line="87" w:lineRule="exact"/>
        <w:ind w:left="10" w:right="4838"/>
        <w:rPr>
          <w:sz w:val="9"/>
          <w:szCs w:val="9"/>
        </w:rPr>
      </w:pPr>
    </w:p>
    <w:p w:rsidR="00513C7B" w:rsidRDefault="00513C7B">
      <w:pPr>
        <w:widowControl w:val="0"/>
        <w:autoSpaceDE w:val="0"/>
        <w:autoSpaceDN w:val="0"/>
        <w:adjustRightInd w:val="0"/>
        <w:spacing w:line="240" w:lineRule="exact"/>
        <w:ind w:left="10" w:right="4838"/>
      </w:pPr>
    </w:p>
    <w:p w:rsidR="00513C7B" w:rsidRDefault="00513C7B">
      <w:pPr>
        <w:widowControl w:val="0"/>
        <w:autoSpaceDE w:val="0"/>
        <w:autoSpaceDN w:val="0"/>
        <w:adjustRightInd w:val="0"/>
        <w:spacing w:line="240" w:lineRule="exact"/>
        <w:ind w:left="10" w:right="4838"/>
      </w:pPr>
    </w:p>
    <w:p w:rsidR="00513C7B" w:rsidRDefault="00513C7B">
      <w:pPr>
        <w:widowControl w:val="0"/>
        <w:autoSpaceDE w:val="0"/>
        <w:autoSpaceDN w:val="0"/>
        <w:adjustRightInd w:val="0"/>
        <w:spacing w:line="179" w:lineRule="exact"/>
        <w:ind w:left="10" w:right="806"/>
      </w:pPr>
      <w:r>
        <w:rPr>
          <w:rFonts w:ascii="Arial" w:hAnsi="Arial" w:cs="Arial"/>
          <w:spacing w:val="-2"/>
          <w:sz w:val="17"/>
          <w:szCs w:val="17"/>
        </w:rPr>
        <w:t xml:space="preserve">Conselho Municipal de Preservação do Patrimônio Histórico, Cultural e Ambiental da Cidade de São Paulo </w:t>
      </w:r>
    </w:p>
    <w:p w:rsidR="00513C7B" w:rsidRDefault="00513C7B">
      <w:pPr>
        <w:widowControl w:val="0"/>
        <w:autoSpaceDE w:val="0"/>
        <w:autoSpaceDN w:val="0"/>
        <w:adjustRightInd w:val="0"/>
        <w:spacing w:line="529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08/94 </w:t>
      </w:r>
    </w:p>
    <w:p w:rsidR="00513C7B" w:rsidRDefault="00513C7B">
      <w:pPr>
        <w:widowControl w:val="0"/>
        <w:autoSpaceDE w:val="0"/>
        <w:autoSpaceDN w:val="0"/>
        <w:adjustRightInd w:val="0"/>
        <w:spacing w:line="200" w:lineRule="exact"/>
        <w:ind w:left="10" w:right="6100"/>
        <w:rPr>
          <w:sz w:val="20"/>
          <w:szCs w:val="20"/>
        </w:rPr>
      </w:pPr>
    </w:p>
    <w:p w:rsidR="00513C7B" w:rsidRDefault="00513C7B">
      <w:pPr>
        <w:widowControl w:val="0"/>
        <w:autoSpaceDE w:val="0"/>
        <w:autoSpaceDN w:val="0"/>
        <w:adjustRightInd w:val="0"/>
        <w:spacing w:line="240" w:lineRule="exact"/>
        <w:ind w:left="10" w:right="6100"/>
      </w:pPr>
    </w:p>
    <w:p w:rsidR="00513C7B" w:rsidRDefault="00513C7B">
      <w:pPr>
        <w:widowControl w:val="0"/>
        <w:autoSpaceDE w:val="0"/>
        <w:autoSpaceDN w:val="0"/>
        <w:adjustRightInd w:val="0"/>
        <w:spacing w:line="179" w:lineRule="exact"/>
        <w:ind w:left="10" w:right="49" w:firstLine="426"/>
      </w:pPr>
      <w:r>
        <w:rPr>
          <w:rFonts w:ascii="Arial" w:hAnsi="Arial" w:cs="Arial"/>
          <w:sz w:val="17"/>
          <w:szCs w:val="17"/>
        </w:rPr>
        <w:t xml:space="preserve">O Conselho Municipal de Preservação do Patrimônio Histórico, Cultural e Ambiental da Cidade de São Paulo - </w:t>
      </w:r>
    </w:p>
    <w:p w:rsidR="00513C7B" w:rsidRDefault="00513C7B">
      <w:pPr>
        <w:widowControl w:val="0"/>
        <w:autoSpaceDE w:val="0"/>
        <w:autoSpaceDN w:val="0"/>
        <w:adjustRightInd w:val="0"/>
        <w:spacing w:line="311" w:lineRule="exact"/>
        <w:ind w:left="10" w:right="49"/>
      </w:pPr>
      <w:r>
        <w:rPr>
          <w:rFonts w:ascii="Arial" w:hAnsi="Arial" w:cs="Arial"/>
          <w:spacing w:val="-1"/>
          <w:sz w:val="17"/>
          <w:szCs w:val="17"/>
        </w:rPr>
        <w:t>C</w:t>
      </w:r>
      <w:r>
        <w:rPr>
          <w:rFonts w:ascii="Arial" w:hAnsi="Arial" w:cs="Arial"/>
          <w:spacing w:val="-1"/>
          <w:position w:val="-8"/>
          <w:sz w:val="11"/>
          <w:szCs w:val="11"/>
        </w:rPr>
        <w:t>o</w:t>
      </w:r>
      <w:r>
        <w:rPr>
          <w:rFonts w:ascii="Arial" w:hAnsi="Arial" w:cs="Arial"/>
          <w:spacing w:val="-1"/>
          <w:sz w:val="17"/>
          <w:szCs w:val="17"/>
        </w:rPr>
        <w:t>ONPRESP, em reunião realizada em 11 de agosto de</w:t>
      </w:r>
      <w:r>
        <w:rPr>
          <w:rFonts w:ascii="Arial" w:hAnsi="Arial" w:cs="Arial"/>
          <w:spacing w:val="-1"/>
          <w:position w:val="-8"/>
          <w:sz w:val="11"/>
          <w:szCs w:val="11"/>
        </w:rPr>
        <w:t>o</w:t>
      </w:r>
      <w:r>
        <w:rPr>
          <w:rFonts w:ascii="Arial" w:hAnsi="Arial" w:cs="Arial"/>
          <w:spacing w:val="-1"/>
          <w:sz w:val="17"/>
          <w:szCs w:val="17"/>
        </w:rPr>
        <w:t xml:space="preserve"> 1994, no uso de suas atribuições legais e nos termos da Lei </w:t>
      </w:r>
    </w:p>
    <w:p w:rsidR="00513C7B" w:rsidRDefault="00513C7B">
      <w:pPr>
        <w:widowControl w:val="0"/>
        <w:autoSpaceDE w:val="0"/>
        <w:autoSpaceDN w:val="0"/>
        <w:adjustRightInd w:val="0"/>
        <w:spacing w:line="102" w:lineRule="exact"/>
        <w:ind w:left="10" w:right="1703"/>
      </w:pPr>
      <w:r>
        <w:rPr>
          <w:rFonts w:ascii="Arial" w:hAnsi="Arial" w:cs="Arial"/>
          <w:sz w:val="17"/>
          <w:szCs w:val="17"/>
        </w:rPr>
        <w:t xml:space="preserve">n 10.032/85, com as alterações introduzidas pela Lei n 10.236/86, resolve, por unanimidade: </w:t>
      </w:r>
    </w:p>
    <w:p w:rsidR="00513C7B" w:rsidRDefault="00513C7B">
      <w:pPr>
        <w:widowControl w:val="0"/>
        <w:autoSpaceDE w:val="0"/>
        <w:autoSpaceDN w:val="0"/>
        <w:adjustRightInd w:val="0"/>
        <w:spacing w:line="199" w:lineRule="exact"/>
        <w:ind w:left="10" w:right="1703"/>
        <w:rPr>
          <w:sz w:val="20"/>
          <w:szCs w:val="20"/>
        </w:rPr>
      </w:pPr>
    </w:p>
    <w:p w:rsidR="00513C7B" w:rsidRDefault="00513C7B">
      <w:pPr>
        <w:widowControl w:val="0"/>
        <w:autoSpaceDE w:val="0"/>
        <w:autoSpaceDN w:val="0"/>
        <w:adjustRightInd w:val="0"/>
        <w:spacing w:line="213" w:lineRule="exact"/>
        <w:ind w:left="10" w:right="47" w:firstLine="425"/>
      </w:pPr>
      <w:r>
        <w:rPr>
          <w:rFonts w:ascii="Arial" w:hAnsi="Arial" w:cs="Arial"/>
          <w:b/>
          <w:bCs/>
          <w:sz w:val="17"/>
          <w:szCs w:val="17"/>
        </w:rPr>
        <w:t>Artigo 1</w:t>
      </w:r>
      <w:r>
        <w:rPr>
          <w:rFonts w:ascii="Arial" w:hAnsi="Arial" w:cs="Arial"/>
          <w:b/>
          <w:bCs/>
          <w:position w:val="5"/>
          <w:sz w:val="11"/>
          <w:szCs w:val="11"/>
        </w:rPr>
        <w:t>o</w:t>
      </w:r>
      <w:r>
        <w:rPr>
          <w:rFonts w:ascii="Arial" w:hAnsi="Arial" w:cs="Arial"/>
          <w:sz w:val="17"/>
          <w:szCs w:val="17"/>
        </w:rPr>
        <w:t xml:space="preserve"> -</w:t>
      </w:r>
      <w:r>
        <w:rPr>
          <w:rFonts w:ascii="Arial" w:hAnsi="Arial" w:cs="Arial"/>
          <w:b/>
          <w:bCs/>
          <w:sz w:val="17"/>
          <w:szCs w:val="17"/>
        </w:rPr>
        <w:t xml:space="preserve"> Tombar</w:t>
      </w:r>
      <w:r>
        <w:rPr>
          <w:rFonts w:ascii="Arial" w:hAnsi="Arial" w:cs="Arial"/>
          <w:sz w:val="17"/>
          <w:szCs w:val="17"/>
        </w:rPr>
        <w:t xml:space="preserve"> o imóvel localizado na Rua Conselheiro Brotero, 1.092,</w:t>
      </w:r>
      <w:r>
        <w:rPr>
          <w:rFonts w:ascii="Arial" w:hAnsi="Arial" w:cs="Arial"/>
          <w:b/>
          <w:bCs/>
          <w:i/>
          <w:iCs/>
          <w:sz w:val="17"/>
          <w:szCs w:val="17"/>
        </w:rPr>
        <w:t xml:space="preserve"> EDIFÍCIO HIGIENÓPOLIS</w:t>
      </w:r>
      <w:r>
        <w:rPr>
          <w:rFonts w:ascii="Arial" w:hAnsi="Arial" w:cs="Arial"/>
          <w:sz w:val="17"/>
          <w:szCs w:val="17"/>
        </w:rPr>
        <w:t xml:space="preserve"> (Setor </w:t>
      </w:r>
    </w:p>
    <w:p w:rsidR="00513C7B" w:rsidRDefault="00513C7B">
      <w:pPr>
        <w:widowControl w:val="0"/>
        <w:autoSpaceDE w:val="0"/>
        <w:autoSpaceDN w:val="0"/>
        <w:adjustRightInd w:val="0"/>
        <w:spacing w:line="208" w:lineRule="exact"/>
        <w:ind w:left="10" w:right="4795"/>
      </w:pPr>
      <w:r>
        <w:rPr>
          <w:rFonts w:ascii="Arial" w:hAnsi="Arial" w:cs="Arial"/>
          <w:spacing w:val="-2"/>
          <w:sz w:val="17"/>
          <w:szCs w:val="17"/>
        </w:rPr>
        <w:t xml:space="preserve">010, Quadra 073), Bairro e Distrito de Higienópolis. </w:t>
      </w:r>
    </w:p>
    <w:p w:rsidR="00513C7B" w:rsidRDefault="00513C7B">
      <w:pPr>
        <w:widowControl w:val="0"/>
        <w:autoSpaceDE w:val="0"/>
        <w:autoSpaceDN w:val="0"/>
        <w:adjustRightInd w:val="0"/>
        <w:spacing w:line="199" w:lineRule="exact"/>
        <w:ind w:left="10" w:right="4795"/>
        <w:rPr>
          <w:sz w:val="20"/>
          <w:szCs w:val="20"/>
        </w:rPr>
      </w:pPr>
    </w:p>
    <w:p w:rsidR="00513C7B" w:rsidRDefault="00513C7B">
      <w:pPr>
        <w:widowControl w:val="0"/>
        <w:autoSpaceDE w:val="0"/>
        <w:autoSpaceDN w:val="0"/>
        <w:adjustRightInd w:val="0"/>
        <w:spacing w:line="213" w:lineRule="exact"/>
        <w:ind w:left="10" w:right="49" w:firstLine="426"/>
      </w:pPr>
      <w:r>
        <w:rPr>
          <w:rFonts w:ascii="Arial" w:hAnsi="Arial" w:cs="Arial"/>
          <w:b/>
          <w:bCs/>
          <w:sz w:val="17"/>
          <w:szCs w:val="17"/>
        </w:rPr>
        <w:t>Artigo 2</w:t>
      </w:r>
      <w:r>
        <w:rPr>
          <w:rFonts w:ascii="Arial" w:hAnsi="Arial" w:cs="Arial"/>
          <w:b/>
          <w:bCs/>
          <w:position w:val="5"/>
          <w:sz w:val="11"/>
          <w:szCs w:val="11"/>
        </w:rPr>
        <w:t>o</w:t>
      </w:r>
      <w:r>
        <w:rPr>
          <w:rFonts w:ascii="Arial" w:hAnsi="Arial" w:cs="Arial"/>
          <w:sz w:val="17"/>
          <w:szCs w:val="17"/>
        </w:rPr>
        <w:t xml:space="preserve"> - A presente Resolução abrange a volumetria e as fachadas do Edifício Higienópolis e suas áreas </w:t>
      </w:r>
    </w:p>
    <w:p w:rsidR="00513C7B" w:rsidRDefault="00513C7B">
      <w:pPr>
        <w:widowControl w:val="0"/>
        <w:autoSpaceDE w:val="0"/>
        <w:autoSpaceDN w:val="0"/>
        <w:adjustRightInd w:val="0"/>
        <w:spacing w:line="207" w:lineRule="exact"/>
        <w:ind w:left="10" w:right="3372"/>
      </w:pPr>
      <w:r>
        <w:rPr>
          <w:rFonts w:ascii="Arial" w:hAnsi="Arial" w:cs="Arial"/>
          <w:spacing w:val="-2"/>
          <w:sz w:val="17"/>
          <w:szCs w:val="17"/>
        </w:rPr>
        <w:t xml:space="preserve">comuns externa e interna (halls de distribuição e vestíbulo de entrada). </w:t>
      </w:r>
    </w:p>
    <w:p w:rsidR="00513C7B" w:rsidRDefault="00513C7B">
      <w:pPr>
        <w:widowControl w:val="0"/>
        <w:autoSpaceDE w:val="0"/>
        <w:autoSpaceDN w:val="0"/>
        <w:adjustRightInd w:val="0"/>
        <w:spacing w:line="199" w:lineRule="exact"/>
        <w:ind w:left="10" w:right="3372"/>
        <w:rPr>
          <w:sz w:val="20"/>
          <w:szCs w:val="20"/>
        </w:rPr>
      </w:pPr>
    </w:p>
    <w:p w:rsidR="00513C7B" w:rsidRDefault="00513C7B">
      <w:pPr>
        <w:widowControl w:val="0"/>
        <w:autoSpaceDE w:val="0"/>
        <w:autoSpaceDN w:val="0"/>
        <w:adjustRightInd w:val="0"/>
        <w:spacing w:line="213" w:lineRule="exact"/>
        <w:ind w:left="10" w:right="49" w:firstLine="425"/>
      </w:pPr>
      <w:r>
        <w:rPr>
          <w:rFonts w:ascii="Arial" w:hAnsi="Arial" w:cs="Arial"/>
          <w:b/>
          <w:bCs/>
          <w:sz w:val="17"/>
          <w:szCs w:val="17"/>
        </w:rPr>
        <w:t>Artigo 3</w:t>
      </w:r>
      <w:r>
        <w:rPr>
          <w:rFonts w:ascii="Arial" w:hAnsi="Arial" w:cs="Arial"/>
          <w:b/>
          <w:bCs/>
          <w:position w:val="5"/>
          <w:sz w:val="11"/>
          <w:szCs w:val="11"/>
        </w:rPr>
        <w:t>o</w:t>
      </w:r>
      <w:r>
        <w:rPr>
          <w:rFonts w:ascii="Arial" w:hAnsi="Arial" w:cs="Arial"/>
          <w:sz w:val="17"/>
          <w:szCs w:val="17"/>
        </w:rPr>
        <w:t xml:space="preserve"> - O presente tombamento dispensa a determinação da área envoltória de que trata o artigo 10</w:t>
      </w:r>
      <w:r>
        <w:rPr>
          <w:rFonts w:ascii="Arial" w:hAnsi="Arial" w:cs="Arial"/>
          <w:position w:val="5"/>
          <w:sz w:val="11"/>
          <w:szCs w:val="11"/>
        </w:rPr>
        <w:t>o</w:t>
      </w:r>
      <w:r>
        <w:rPr>
          <w:rFonts w:ascii="Arial" w:hAnsi="Arial" w:cs="Arial"/>
          <w:sz w:val="17"/>
          <w:szCs w:val="17"/>
        </w:rPr>
        <w:t xml:space="preserve"> da </w:t>
      </w:r>
    </w:p>
    <w:p w:rsidR="00513C7B" w:rsidRDefault="00513C7B">
      <w:pPr>
        <w:widowControl w:val="0"/>
        <w:autoSpaceDE w:val="0"/>
        <w:autoSpaceDN w:val="0"/>
        <w:adjustRightInd w:val="0"/>
        <w:spacing w:line="207" w:lineRule="exact"/>
        <w:ind w:left="10" w:right="6325"/>
        <w:rPr>
          <w:rFonts w:ascii="Arial" w:hAnsi="Arial" w:cs="Arial"/>
          <w:spacing w:val="-3"/>
          <w:sz w:val="17"/>
          <w:szCs w:val="17"/>
        </w:rPr>
      </w:pPr>
      <w:r>
        <w:rPr>
          <w:rFonts w:ascii="Arial" w:hAnsi="Arial" w:cs="Arial"/>
          <w:spacing w:val="-3"/>
          <w:sz w:val="17"/>
          <w:szCs w:val="17"/>
        </w:rPr>
        <w:t xml:space="preserve">legislação supra mencionada. </w:t>
      </w:r>
    </w:p>
    <w:sectPr w:rsidR="00513C7B" w:rsidSect="00513C7B">
      <w:pgSz w:w="11900" w:h="16840"/>
      <w:pgMar w:top="1420" w:right="1640" w:bottom="2080" w:left="8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978"/>
    <w:rsid w:val="004A3520"/>
    <w:rsid w:val="004D7978"/>
    <w:rsid w:val="00513C7B"/>
    <w:rsid w:val="0052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161</Words>
  <Characters>872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2014-02-06T19:45:00Z</dcterms:created>
  <dcterms:modified xsi:type="dcterms:W3CDTF">2014-02-06T19:45:00Z</dcterms:modified>
</cp:coreProperties>
</file>