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B8" w:rsidRDefault="000A40B8">
      <w:pPr>
        <w:widowControl w:val="0"/>
        <w:autoSpaceDE w:val="0"/>
        <w:autoSpaceDN w:val="0"/>
        <w:adjustRightInd w:val="0"/>
        <w:spacing w:line="277" w:lineRule="exact"/>
        <w:ind w:left="14" w:right="428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0A40B8" w:rsidRDefault="000A40B8">
      <w:pPr>
        <w:widowControl w:val="0"/>
        <w:autoSpaceDE w:val="0"/>
        <w:autoSpaceDN w:val="0"/>
        <w:adjustRightInd w:val="0"/>
        <w:spacing w:line="245" w:lineRule="exact"/>
        <w:ind w:left="14" w:right="48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0A40B8" w:rsidRDefault="000A40B8">
      <w:pPr>
        <w:widowControl w:val="0"/>
        <w:autoSpaceDE w:val="0"/>
        <w:autoSpaceDN w:val="0"/>
        <w:adjustRightInd w:val="0"/>
        <w:spacing w:line="244" w:lineRule="exact"/>
        <w:ind w:left="14" w:right="41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0A40B8" w:rsidRDefault="000A40B8">
      <w:pPr>
        <w:widowControl w:val="0"/>
        <w:autoSpaceDE w:val="0"/>
        <w:autoSpaceDN w:val="0"/>
        <w:adjustRightInd w:val="0"/>
        <w:spacing w:line="287" w:lineRule="exact"/>
        <w:ind w:left="14" w:right="4151"/>
        <w:rPr>
          <w:sz w:val="29"/>
          <w:szCs w:val="29"/>
        </w:rPr>
      </w:pPr>
    </w:p>
    <w:p w:rsidR="000A40B8" w:rsidRDefault="000A40B8">
      <w:pPr>
        <w:widowControl w:val="0"/>
        <w:autoSpaceDE w:val="0"/>
        <w:autoSpaceDN w:val="0"/>
        <w:adjustRightInd w:val="0"/>
        <w:spacing w:line="240" w:lineRule="exact"/>
        <w:ind w:left="14" w:right="4151"/>
      </w:pPr>
    </w:p>
    <w:p w:rsidR="000A40B8" w:rsidRDefault="000A40B8">
      <w:pPr>
        <w:widowControl w:val="0"/>
        <w:autoSpaceDE w:val="0"/>
        <w:autoSpaceDN w:val="0"/>
        <w:adjustRightInd w:val="0"/>
        <w:spacing w:line="223" w:lineRule="exact"/>
        <w:ind w:left="14" w:right="243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0A40B8" w:rsidRDefault="000A40B8">
      <w:pPr>
        <w:widowControl w:val="0"/>
        <w:autoSpaceDE w:val="0"/>
        <w:autoSpaceDN w:val="0"/>
        <w:adjustRightInd w:val="0"/>
        <w:spacing w:line="223" w:lineRule="exact"/>
        <w:ind w:left="14" w:right="6864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0A40B8" w:rsidRDefault="000A40B8">
      <w:pPr>
        <w:widowControl w:val="0"/>
        <w:autoSpaceDE w:val="0"/>
        <w:autoSpaceDN w:val="0"/>
        <w:adjustRightInd w:val="0"/>
        <w:spacing w:line="228" w:lineRule="exact"/>
        <w:ind w:left="14" w:right="6864"/>
        <w:rPr>
          <w:sz w:val="23"/>
          <w:szCs w:val="23"/>
        </w:rPr>
      </w:pPr>
    </w:p>
    <w:p w:rsidR="000A40B8" w:rsidRDefault="000A40B8">
      <w:pPr>
        <w:widowControl w:val="0"/>
        <w:autoSpaceDE w:val="0"/>
        <w:autoSpaceDN w:val="0"/>
        <w:adjustRightInd w:val="0"/>
        <w:spacing w:line="307" w:lineRule="exact"/>
        <w:ind w:left="14" w:right="5364"/>
      </w:pPr>
      <w:r>
        <w:rPr>
          <w:rFonts w:ascii="Arial" w:hAnsi="Arial" w:cs="Arial"/>
          <w:b/>
          <w:bCs/>
          <w:spacing w:val="-5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5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5"/>
          <w:sz w:val="27"/>
          <w:szCs w:val="27"/>
        </w:rPr>
        <w:t xml:space="preserve">. 07/92 </w:t>
      </w:r>
    </w:p>
    <w:p w:rsidR="000A40B8" w:rsidRDefault="000A40B8">
      <w:pPr>
        <w:widowControl w:val="0"/>
        <w:autoSpaceDE w:val="0"/>
        <w:autoSpaceDN w:val="0"/>
        <w:adjustRightInd w:val="0"/>
        <w:spacing w:line="222" w:lineRule="exact"/>
        <w:ind w:left="14" w:right="5364"/>
        <w:rPr>
          <w:sz w:val="22"/>
          <w:szCs w:val="22"/>
        </w:rPr>
      </w:pP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14" w:right="47" w:firstLine="414"/>
      </w:pPr>
      <w:r>
        <w:rPr>
          <w:rFonts w:ascii="Arial" w:hAnsi="Arial" w:cs="Arial"/>
          <w:spacing w:val="-1"/>
          <w:sz w:val="19"/>
          <w:szCs w:val="19"/>
        </w:rPr>
        <w:t xml:space="preserve">Por decisão da maioria dos Conselheiros presentes à reunião extraordinária realizada em 13 </w:t>
      </w:r>
      <w:r>
        <w:rPr>
          <w:rFonts w:ascii="Arial" w:hAnsi="Arial" w:cs="Arial"/>
          <w:spacing w:val="1"/>
          <w:sz w:val="19"/>
          <w:szCs w:val="19"/>
        </w:rPr>
        <w:t xml:space="preserve">de julho de 1992, o Conselho Municipal de Preservação do Patrimônio Histórico, Cultural e </w:t>
      </w:r>
      <w:r>
        <w:rPr>
          <w:rFonts w:ascii="Arial" w:hAnsi="Arial" w:cs="Arial"/>
          <w:sz w:val="19"/>
          <w:szCs w:val="19"/>
        </w:rPr>
        <w:t xml:space="preserve">Ambiental da Cidade de São Paulo (CONPRESP), nos termos e para os fins da Lei 10.032/85, </w:t>
      </w:r>
    </w:p>
    <w:p w:rsidR="000A40B8" w:rsidRDefault="000A40B8">
      <w:pPr>
        <w:widowControl w:val="0"/>
        <w:autoSpaceDE w:val="0"/>
        <w:autoSpaceDN w:val="0"/>
        <w:adjustRightInd w:val="0"/>
        <w:spacing w:line="223" w:lineRule="exact"/>
        <w:ind w:left="14" w:right="3056"/>
      </w:pPr>
      <w:r>
        <w:rPr>
          <w:rFonts w:ascii="Arial" w:hAnsi="Arial" w:cs="Arial"/>
          <w:spacing w:val="-2"/>
          <w:sz w:val="19"/>
          <w:szCs w:val="19"/>
        </w:rPr>
        <w:t xml:space="preserve">com as alterações introduzidas pela Lei 10.236/86, resolve: </w:t>
      </w:r>
    </w:p>
    <w:p w:rsidR="000A40B8" w:rsidRDefault="000A40B8">
      <w:pPr>
        <w:widowControl w:val="0"/>
        <w:autoSpaceDE w:val="0"/>
        <w:autoSpaceDN w:val="0"/>
        <w:adjustRightInd w:val="0"/>
        <w:spacing w:line="219" w:lineRule="exact"/>
        <w:ind w:left="14" w:right="3056"/>
        <w:rPr>
          <w:sz w:val="22"/>
          <w:szCs w:val="22"/>
        </w:rPr>
      </w:pPr>
    </w:p>
    <w:p w:rsidR="000A40B8" w:rsidRDefault="000A40B8">
      <w:pPr>
        <w:widowControl w:val="0"/>
        <w:autoSpaceDE w:val="0"/>
        <w:autoSpaceDN w:val="0"/>
        <w:adjustRightInd w:val="0"/>
        <w:spacing w:line="228" w:lineRule="exact"/>
        <w:ind w:left="14" w:right="46" w:firstLine="414"/>
      </w:pPr>
      <w:r>
        <w:rPr>
          <w:rFonts w:ascii="Arial" w:hAnsi="Arial" w:cs="Arial"/>
          <w:b/>
          <w:bCs/>
          <w:sz w:val="19"/>
          <w:szCs w:val="19"/>
        </w:rPr>
        <w:t>Artigo 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</w:t>
      </w:r>
      <w:r>
        <w:rPr>
          <w:rFonts w:ascii="Arial" w:hAnsi="Arial" w:cs="Arial"/>
          <w:b/>
          <w:bCs/>
          <w:sz w:val="19"/>
          <w:szCs w:val="19"/>
        </w:rPr>
        <w:t xml:space="preserve"> Abrir processo de tombamento</w:t>
      </w:r>
      <w:r>
        <w:rPr>
          <w:rFonts w:ascii="Arial" w:hAnsi="Arial" w:cs="Arial"/>
          <w:sz w:val="19"/>
          <w:szCs w:val="19"/>
        </w:rPr>
        <w:t xml:space="preserve"> da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ÁREA DO LOTEAMENTO CITY LAPA</w:t>
      </w:r>
      <w:r>
        <w:rPr>
          <w:rFonts w:ascii="Arial" w:hAnsi="Arial" w:cs="Arial"/>
          <w:sz w:val="19"/>
          <w:szCs w:val="19"/>
        </w:rPr>
        <w:t xml:space="preserve">, </w:t>
      </w: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14" w:right="1607"/>
      </w:pPr>
      <w:r>
        <w:rPr>
          <w:rFonts w:ascii="Arial" w:hAnsi="Arial" w:cs="Arial"/>
          <w:spacing w:val="-2"/>
          <w:sz w:val="19"/>
          <w:szCs w:val="19"/>
        </w:rPr>
        <w:t xml:space="preserve">localizado no Distrito da Lapa, por seu valor ambiental, urbanístico e histórico. </w:t>
      </w:r>
    </w:p>
    <w:p w:rsidR="000A40B8" w:rsidRDefault="000A40B8">
      <w:pPr>
        <w:widowControl w:val="0"/>
        <w:autoSpaceDE w:val="0"/>
        <w:autoSpaceDN w:val="0"/>
        <w:adjustRightInd w:val="0"/>
        <w:spacing w:line="218" w:lineRule="exact"/>
        <w:ind w:left="14" w:right="1607"/>
        <w:rPr>
          <w:sz w:val="22"/>
          <w:szCs w:val="22"/>
        </w:rPr>
      </w:pPr>
    </w:p>
    <w:p w:rsidR="000A40B8" w:rsidRDefault="000A40B8">
      <w:pPr>
        <w:widowControl w:val="0"/>
        <w:autoSpaceDE w:val="0"/>
        <w:autoSpaceDN w:val="0"/>
        <w:adjustRightInd w:val="0"/>
        <w:spacing w:line="228" w:lineRule="exact"/>
        <w:ind w:left="14" w:right="47" w:firstLine="413"/>
      </w:pPr>
      <w:r>
        <w:rPr>
          <w:rFonts w:ascii="Arial" w:hAnsi="Arial" w:cs="Arial"/>
          <w:b/>
          <w:bCs/>
          <w:spacing w:val="-1"/>
          <w:sz w:val="19"/>
          <w:szCs w:val="19"/>
        </w:rPr>
        <w:t>Artigo 2</w:t>
      </w:r>
      <w:r>
        <w:rPr>
          <w:rFonts w:ascii="Arial" w:hAnsi="Arial" w:cs="Arial"/>
          <w:b/>
          <w:b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19"/>
          <w:szCs w:val="19"/>
        </w:rPr>
        <w:t xml:space="preserve"> - A área definida pela presente Resolução, conforme planta anexa, está contida no </w:t>
      </w: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14" w:right="3360"/>
      </w:pPr>
      <w:r>
        <w:rPr>
          <w:rFonts w:ascii="Arial" w:hAnsi="Arial" w:cs="Arial"/>
          <w:spacing w:val="-2"/>
          <w:sz w:val="19"/>
          <w:szCs w:val="19"/>
        </w:rPr>
        <w:t xml:space="preserve">perímetro delimitado pelos seguintes elementos físicos: </w:t>
      </w:r>
    </w:p>
    <w:p w:rsidR="000A40B8" w:rsidRDefault="000A40B8">
      <w:pPr>
        <w:widowControl w:val="0"/>
        <w:autoSpaceDE w:val="0"/>
        <w:autoSpaceDN w:val="0"/>
        <w:adjustRightInd w:val="0"/>
        <w:spacing w:line="221" w:lineRule="exact"/>
        <w:ind w:left="428" w:right="4084"/>
      </w:pPr>
      <w:r>
        <w:rPr>
          <w:rFonts w:ascii="Arial" w:hAnsi="Arial" w:cs="Arial"/>
          <w:spacing w:val="-3"/>
          <w:sz w:val="19"/>
          <w:szCs w:val="19"/>
        </w:rPr>
        <w:t xml:space="preserve">.Rua Aliança Liberal (CADLOG00.740-4); </w:t>
      </w: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428" w:right="4445"/>
      </w:pPr>
      <w:r>
        <w:rPr>
          <w:rFonts w:ascii="Arial" w:hAnsi="Arial" w:cs="Arial"/>
          <w:spacing w:val="-3"/>
          <w:sz w:val="19"/>
          <w:szCs w:val="19"/>
        </w:rPr>
        <w:t xml:space="preserve">.Rua Belmonte (CADLOG 03.105-4); </w:t>
      </w: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428" w:right="2735"/>
      </w:pPr>
      <w:r>
        <w:rPr>
          <w:rFonts w:ascii="Arial" w:hAnsi="Arial" w:cs="Arial"/>
          <w:spacing w:val="-3"/>
          <w:sz w:val="19"/>
          <w:szCs w:val="19"/>
        </w:rPr>
        <w:t xml:space="preserve">.Acesso sem nome da Rua Belmonte à Rua Monte Pascal; </w:t>
      </w:r>
    </w:p>
    <w:p w:rsidR="000A40B8" w:rsidRDefault="000A40B8">
      <w:pPr>
        <w:widowControl w:val="0"/>
        <w:autoSpaceDE w:val="0"/>
        <w:autoSpaceDN w:val="0"/>
        <w:adjustRightInd w:val="0"/>
        <w:spacing w:line="223" w:lineRule="exact"/>
        <w:ind w:left="428" w:right="47"/>
      </w:pPr>
      <w:r>
        <w:rPr>
          <w:rFonts w:ascii="Arial" w:hAnsi="Arial" w:cs="Arial"/>
          <w:sz w:val="19"/>
          <w:szCs w:val="19"/>
        </w:rPr>
        <w:t xml:space="preserve">.Projeção do acesso sem nome da Rua Belmonte à Rua Monte Pascal até encontrar com a </w:t>
      </w:r>
    </w:p>
    <w:p w:rsidR="000A40B8" w:rsidRDefault="000A40B8">
      <w:pPr>
        <w:widowControl w:val="0"/>
        <w:autoSpaceDE w:val="0"/>
        <w:autoSpaceDN w:val="0"/>
        <w:adjustRightInd w:val="0"/>
        <w:spacing w:line="223" w:lineRule="exact"/>
        <w:ind w:left="14" w:right="47"/>
      </w:pPr>
      <w:r>
        <w:rPr>
          <w:rFonts w:ascii="Arial" w:hAnsi="Arial" w:cs="Arial"/>
          <w:spacing w:val="-2"/>
          <w:sz w:val="19"/>
          <w:szCs w:val="19"/>
        </w:rPr>
        <w:t xml:space="preserve">Rua João Tibiriçá (correspondendo ao limite entre a Quadra 041, Setor 098 e espaço público sem </w:t>
      </w: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14" w:right="7126"/>
      </w:pPr>
      <w:r>
        <w:rPr>
          <w:rFonts w:ascii="Arial" w:hAnsi="Arial" w:cs="Arial"/>
          <w:spacing w:val="-10"/>
          <w:sz w:val="19"/>
          <w:szCs w:val="19"/>
        </w:rPr>
        <w:t xml:space="preserve">nome); </w:t>
      </w:r>
    </w:p>
    <w:p w:rsidR="000A40B8" w:rsidRDefault="000A40B8">
      <w:pPr>
        <w:widowControl w:val="0"/>
        <w:autoSpaceDE w:val="0"/>
        <w:autoSpaceDN w:val="0"/>
        <w:adjustRightInd w:val="0"/>
        <w:spacing w:line="223" w:lineRule="exact"/>
        <w:ind w:left="428" w:right="4192"/>
      </w:pPr>
      <w:r>
        <w:rPr>
          <w:rFonts w:ascii="Arial" w:hAnsi="Arial" w:cs="Arial"/>
          <w:spacing w:val="-3"/>
          <w:sz w:val="19"/>
          <w:szCs w:val="19"/>
        </w:rPr>
        <w:t xml:space="preserve">.Rua João Tibiriçá (CADLOG 10.487-6); </w:t>
      </w: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428" w:right="4310"/>
      </w:pPr>
      <w:r>
        <w:rPr>
          <w:rFonts w:ascii="Arial" w:hAnsi="Arial" w:cs="Arial"/>
          <w:spacing w:val="-3"/>
          <w:sz w:val="19"/>
          <w:szCs w:val="19"/>
        </w:rPr>
        <w:t xml:space="preserve">.Rua Diogo Ortiz (CADLOG 05.918-8); </w:t>
      </w:r>
    </w:p>
    <w:p w:rsidR="000A40B8" w:rsidRDefault="000A40B8">
      <w:pPr>
        <w:widowControl w:val="0"/>
        <w:autoSpaceDE w:val="0"/>
        <w:autoSpaceDN w:val="0"/>
        <w:adjustRightInd w:val="0"/>
        <w:spacing w:line="223" w:lineRule="exact"/>
        <w:ind w:left="428" w:right="4104"/>
      </w:pPr>
      <w:r>
        <w:rPr>
          <w:rFonts w:ascii="Arial" w:hAnsi="Arial" w:cs="Arial"/>
          <w:spacing w:val="-3"/>
          <w:sz w:val="19"/>
          <w:szCs w:val="19"/>
        </w:rPr>
        <w:t xml:space="preserve">.Avenida Mercedes (CADLOG 13.843-6); </w:t>
      </w:r>
    </w:p>
    <w:p w:rsidR="000A40B8" w:rsidRDefault="000A40B8">
      <w:pPr>
        <w:widowControl w:val="0"/>
        <w:autoSpaceDE w:val="0"/>
        <w:autoSpaceDN w:val="0"/>
        <w:adjustRightInd w:val="0"/>
        <w:spacing w:line="223" w:lineRule="exact"/>
        <w:ind w:left="428" w:right="4592"/>
      </w:pPr>
      <w:r>
        <w:rPr>
          <w:rFonts w:ascii="Arial" w:hAnsi="Arial" w:cs="Arial"/>
          <w:spacing w:val="-3"/>
          <w:sz w:val="19"/>
          <w:szCs w:val="19"/>
        </w:rPr>
        <w:t xml:space="preserve">.Rua Cuevas (CADLOG 05.573-5); </w:t>
      </w: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428" w:right="4377"/>
      </w:pPr>
      <w:r>
        <w:rPr>
          <w:rFonts w:ascii="Arial" w:hAnsi="Arial" w:cs="Arial"/>
          <w:spacing w:val="-3"/>
          <w:sz w:val="19"/>
          <w:szCs w:val="19"/>
        </w:rPr>
        <w:t xml:space="preserve">.Rua Corrientes (CADLOG 05.391-0); </w:t>
      </w:r>
    </w:p>
    <w:p w:rsidR="000A40B8" w:rsidRDefault="000A40B8">
      <w:pPr>
        <w:widowControl w:val="0"/>
        <w:autoSpaceDE w:val="0"/>
        <w:autoSpaceDN w:val="0"/>
        <w:adjustRightInd w:val="0"/>
        <w:spacing w:line="223" w:lineRule="exact"/>
        <w:ind w:left="428" w:right="4258"/>
      </w:pPr>
      <w:r>
        <w:rPr>
          <w:rFonts w:ascii="Arial" w:hAnsi="Arial" w:cs="Arial"/>
          <w:spacing w:val="-3"/>
          <w:sz w:val="19"/>
          <w:szCs w:val="19"/>
        </w:rPr>
        <w:t xml:space="preserve">.Rua Guararapes (CADLOG 08.376-3); .Rua Marcílio Dias (CADLOG 12.924-0); </w:t>
      </w: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428" w:right="4279"/>
      </w:pPr>
      <w:r>
        <w:rPr>
          <w:rFonts w:ascii="Arial" w:hAnsi="Arial" w:cs="Arial"/>
          <w:spacing w:val="-3"/>
          <w:sz w:val="19"/>
          <w:szCs w:val="19"/>
        </w:rPr>
        <w:t xml:space="preserve">.Rua Guaricanga (CADLOG 08.404-2); </w:t>
      </w: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428" w:right="3861"/>
      </w:pPr>
      <w:r>
        <w:rPr>
          <w:rFonts w:ascii="Arial" w:hAnsi="Arial" w:cs="Arial"/>
          <w:spacing w:val="-3"/>
          <w:sz w:val="19"/>
          <w:szCs w:val="19"/>
        </w:rPr>
        <w:t xml:space="preserve">.Rua Barão de Jundiaí (CADLOG 11.367-0); </w:t>
      </w:r>
    </w:p>
    <w:p w:rsidR="000A40B8" w:rsidRDefault="000A40B8">
      <w:pPr>
        <w:widowControl w:val="0"/>
        <w:autoSpaceDE w:val="0"/>
        <w:autoSpaceDN w:val="0"/>
        <w:adjustRightInd w:val="0"/>
        <w:spacing w:line="221" w:lineRule="exact"/>
        <w:ind w:left="428" w:right="2840"/>
      </w:pPr>
      <w:r>
        <w:rPr>
          <w:rFonts w:ascii="Arial" w:hAnsi="Arial" w:cs="Arial"/>
          <w:spacing w:val="-2"/>
          <w:sz w:val="19"/>
          <w:szCs w:val="19"/>
        </w:rPr>
        <w:t xml:space="preserve">.Praça Prof. José Azevedo Antunes (CADLOG 10.794-8); </w:t>
      </w: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428" w:right="3295"/>
      </w:pPr>
      <w:r>
        <w:rPr>
          <w:rFonts w:ascii="Arial" w:hAnsi="Arial" w:cs="Arial"/>
          <w:spacing w:val="-3"/>
          <w:sz w:val="19"/>
          <w:szCs w:val="19"/>
        </w:rPr>
        <w:t xml:space="preserve">.Rua Nossa Senhora da Lapa (CADLOG 14.698-6); </w:t>
      </w: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428" w:right="4720"/>
      </w:pPr>
      <w:r>
        <w:rPr>
          <w:rFonts w:ascii="Arial" w:hAnsi="Arial" w:cs="Arial"/>
          <w:spacing w:val="-3"/>
          <w:sz w:val="19"/>
          <w:szCs w:val="19"/>
        </w:rPr>
        <w:t xml:space="preserve">.Rua Pio XI (CADLOG 16.299-0); </w:t>
      </w:r>
    </w:p>
    <w:p w:rsidR="000A40B8" w:rsidRDefault="000A40B8">
      <w:pPr>
        <w:widowControl w:val="0"/>
        <w:autoSpaceDE w:val="0"/>
        <w:autoSpaceDN w:val="0"/>
        <w:adjustRightInd w:val="0"/>
        <w:spacing w:line="223" w:lineRule="exact"/>
        <w:ind w:left="428" w:right="4835"/>
      </w:pPr>
      <w:r>
        <w:rPr>
          <w:rFonts w:ascii="Arial" w:hAnsi="Arial" w:cs="Arial"/>
          <w:spacing w:val="-3"/>
          <w:sz w:val="19"/>
          <w:szCs w:val="19"/>
        </w:rPr>
        <w:t xml:space="preserve">.Rua Bairi (CADLOG 02.736-7); </w:t>
      </w:r>
    </w:p>
    <w:p w:rsidR="000A40B8" w:rsidRDefault="000A40B8">
      <w:pPr>
        <w:widowControl w:val="0"/>
        <w:autoSpaceDE w:val="0"/>
        <w:autoSpaceDN w:val="0"/>
        <w:adjustRightInd w:val="0"/>
        <w:spacing w:line="223" w:lineRule="exact"/>
        <w:ind w:left="428" w:right="4592"/>
      </w:pPr>
      <w:r>
        <w:rPr>
          <w:rFonts w:ascii="Arial" w:hAnsi="Arial" w:cs="Arial"/>
          <w:spacing w:val="-3"/>
          <w:sz w:val="19"/>
          <w:szCs w:val="19"/>
        </w:rPr>
        <w:t xml:space="preserve">.Rua Caativa (CADLOG 03.743-5); </w:t>
      </w: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428" w:right="3354"/>
      </w:pPr>
      <w:r>
        <w:rPr>
          <w:rFonts w:ascii="Arial" w:hAnsi="Arial" w:cs="Arial"/>
          <w:spacing w:val="-3"/>
          <w:sz w:val="19"/>
          <w:szCs w:val="19"/>
        </w:rPr>
        <w:t xml:space="preserve">.Rua Visconde de Indaiatuba (CADLOG 09.141-3); </w:t>
      </w:r>
    </w:p>
    <w:p w:rsidR="000A40B8" w:rsidRDefault="000A40B8">
      <w:pPr>
        <w:widowControl w:val="0"/>
        <w:autoSpaceDE w:val="0"/>
        <w:autoSpaceDN w:val="0"/>
        <w:adjustRightInd w:val="0"/>
        <w:spacing w:line="223" w:lineRule="exact"/>
        <w:ind w:left="428" w:right="3596"/>
      </w:pPr>
      <w:r>
        <w:rPr>
          <w:rFonts w:ascii="Arial" w:hAnsi="Arial" w:cs="Arial"/>
          <w:spacing w:val="-3"/>
          <w:sz w:val="19"/>
          <w:szCs w:val="19"/>
        </w:rPr>
        <w:t xml:space="preserve">.Rua Princesa Leopoldina (CADLOG 11.782-0); </w:t>
      </w:r>
    </w:p>
    <w:p w:rsidR="000A40B8" w:rsidRDefault="000A40B8">
      <w:pPr>
        <w:widowControl w:val="0"/>
        <w:autoSpaceDE w:val="0"/>
        <w:autoSpaceDN w:val="0"/>
        <w:adjustRightInd w:val="0"/>
        <w:spacing w:line="223" w:lineRule="exact"/>
        <w:ind w:left="428" w:right="2857"/>
      </w:pPr>
      <w:r>
        <w:rPr>
          <w:rFonts w:ascii="Arial" w:hAnsi="Arial" w:cs="Arial"/>
          <w:spacing w:val="-2"/>
          <w:sz w:val="19"/>
          <w:szCs w:val="19"/>
        </w:rPr>
        <w:t xml:space="preserve">.Avenida Diógenes Ribeiro de Lima (CADLOG 05.885-8); </w:t>
      </w:r>
    </w:p>
    <w:p w:rsidR="000A40B8" w:rsidRDefault="000A40B8">
      <w:pPr>
        <w:widowControl w:val="0"/>
        <w:autoSpaceDE w:val="0"/>
        <w:autoSpaceDN w:val="0"/>
        <w:adjustRightInd w:val="0"/>
        <w:spacing w:line="223" w:lineRule="exact"/>
        <w:ind w:left="428" w:right="3949"/>
      </w:pPr>
      <w:r>
        <w:rPr>
          <w:rFonts w:ascii="Arial" w:hAnsi="Arial" w:cs="Arial"/>
          <w:spacing w:val="-3"/>
          <w:sz w:val="19"/>
          <w:szCs w:val="19"/>
        </w:rPr>
        <w:t xml:space="preserve">.Rua Passo da Pátria (CADLOG 15.576-4); </w:t>
      </w: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428" w:right="4532"/>
      </w:pPr>
      <w:r>
        <w:rPr>
          <w:rFonts w:ascii="Arial" w:hAnsi="Arial" w:cs="Arial"/>
          <w:spacing w:val="-3"/>
          <w:sz w:val="19"/>
          <w:szCs w:val="19"/>
        </w:rPr>
        <w:t xml:space="preserve">.Rua Bergson (CADLOG 03.254-9); .Rua Xambica (CADLOG 04.850-0); </w:t>
      </w:r>
    </w:p>
    <w:p w:rsidR="000A40B8" w:rsidRDefault="000A40B8">
      <w:pPr>
        <w:widowControl w:val="0"/>
        <w:autoSpaceDE w:val="0"/>
        <w:autoSpaceDN w:val="0"/>
        <w:adjustRightInd w:val="0"/>
        <w:spacing w:line="221" w:lineRule="exact"/>
        <w:ind w:left="428" w:right="4727"/>
      </w:pPr>
      <w:r>
        <w:rPr>
          <w:rFonts w:ascii="Arial" w:hAnsi="Arial" w:cs="Arial"/>
          <w:spacing w:val="-3"/>
          <w:sz w:val="19"/>
          <w:szCs w:val="19"/>
        </w:rPr>
        <w:t xml:space="preserve">.Rua Teerã (CADLOG 18.767-4); </w:t>
      </w: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428" w:right="4356"/>
      </w:pPr>
      <w:r>
        <w:rPr>
          <w:rFonts w:ascii="Arial" w:hAnsi="Arial" w:cs="Arial"/>
          <w:spacing w:val="-3"/>
          <w:sz w:val="19"/>
          <w:szCs w:val="19"/>
        </w:rPr>
        <w:t xml:space="preserve">.Linha de transmissão da Eletropaulo; </w:t>
      </w: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428" w:right="3226"/>
      </w:pPr>
      <w:r>
        <w:rPr>
          <w:rFonts w:ascii="Arial" w:hAnsi="Arial" w:cs="Arial"/>
          <w:spacing w:val="-2"/>
          <w:sz w:val="19"/>
          <w:szCs w:val="19"/>
        </w:rPr>
        <w:t xml:space="preserve">.Linha divisória entre Quadras 002 e 140, Setor 098; </w:t>
      </w:r>
    </w:p>
    <w:p w:rsidR="000A40B8" w:rsidRDefault="000A40B8">
      <w:pPr>
        <w:widowControl w:val="0"/>
        <w:autoSpaceDE w:val="0"/>
        <w:autoSpaceDN w:val="0"/>
        <w:adjustRightInd w:val="0"/>
        <w:spacing w:line="223" w:lineRule="exact"/>
        <w:ind w:left="428" w:right="3412"/>
      </w:pPr>
      <w:r>
        <w:rPr>
          <w:rFonts w:ascii="Arial" w:hAnsi="Arial" w:cs="Arial"/>
          <w:spacing w:val="-3"/>
          <w:sz w:val="19"/>
          <w:szCs w:val="19"/>
        </w:rPr>
        <w:t xml:space="preserve">.Praça Nossa Senhora do Ó (CADLOG 14.737-0); </w:t>
      </w:r>
    </w:p>
    <w:p w:rsidR="000A40B8" w:rsidRDefault="000A40B8">
      <w:pPr>
        <w:widowControl w:val="0"/>
        <w:autoSpaceDE w:val="0"/>
        <w:autoSpaceDN w:val="0"/>
        <w:adjustRightInd w:val="0"/>
        <w:spacing w:line="219" w:lineRule="exact"/>
        <w:ind w:left="428" w:right="3412"/>
        <w:rPr>
          <w:sz w:val="22"/>
          <w:szCs w:val="22"/>
        </w:rPr>
      </w:pPr>
    </w:p>
    <w:p w:rsidR="000A40B8" w:rsidRDefault="000A40B8">
      <w:pPr>
        <w:widowControl w:val="0"/>
        <w:autoSpaceDE w:val="0"/>
        <w:autoSpaceDN w:val="0"/>
        <w:adjustRightInd w:val="0"/>
        <w:spacing w:line="228" w:lineRule="exact"/>
        <w:ind w:left="428" w:right="47"/>
      </w:pPr>
      <w:r>
        <w:rPr>
          <w:rFonts w:ascii="Arial" w:hAnsi="Arial" w:cs="Arial"/>
          <w:b/>
          <w:bCs/>
          <w:sz w:val="19"/>
          <w:szCs w:val="19"/>
        </w:rPr>
        <w:t>Artigo 3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Esta Resolução aplica-se aos seguintes elementos existentes na área acima </w:t>
      </w:r>
    </w:p>
    <w:p w:rsidR="000A40B8" w:rsidRDefault="000A40B8">
      <w:pPr>
        <w:widowControl w:val="0"/>
        <w:autoSpaceDE w:val="0"/>
        <w:autoSpaceDN w:val="0"/>
        <w:adjustRightInd w:val="0"/>
        <w:spacing w:line="223" w:lineRule="exact"/>
        <w:ind w:left="14" w:right="7009"/>
      </w:pPr>
      <w:r>
        <w:rPr>
          <w:rFonts w:ascii="Arial" w:hAnsi="Arial" w:cs="Arial"/>
          <w:spacing w:val="-7"/>
          <w:sz w:val="19"/>
          <w:szCs w:val="19"/>
        </w:rPr>
        <w:t xml:space="preserve">definida: </w:t>
      </w: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14" w:right="2026" w:firstLine="414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 xml:space="preserve">a) o atual traçado urbano, representado pelos logradouros públicos; </w:t>
      </w: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14" w:right="2026" w:firstLine="414"/>
        <w:rPr>
          <w:rFonts w:ascii="Arial" w:hAnsi="Arial" w:cs="Arial"/>
          <w:spacing w:val="-2"/>
          <w:sz w:val="19"/>
          <w:szCs w:val="19"/>
        </w:rPr>
        <w:sectPr w:rsidR="000A40B8">
          <w:pgSz w:w="11900" w:h="16840"/>
          <w:pgMar w:top="2060" w:right="1720" w:bottom="480" w:left="1640" w:header="720" w:footer="720" w:gutter="0"/>
          <w:cols w:space="720"/>
          <w:noEndnote/>
        </w:sectPr>
      </w:pPr>
    </w:p>
    <w:p w:rsidR="000A40B8" w:rsidRDefault="000A40B8">
      <w:pPr>
        <w:widowControl w:val="0"/>
        <w:autoSpaceDE w:val="0"/>
        <w:autoSpaceDN w:val="0"/>
        <w:adjustRightInd w:val="0"/>
        <w:spacing w:line="284" w:lineRule="exact"/>
        <w:ind w:left="428" w:right="1413"/>
      </w:pPr>
      <w:r>
        <w:rPr>
          <w:noProof/>
        </w:rPr>
        <w:pict>
          <v:shape id="_x0000_s1027" type="#_x0000_t75" style="position:absolute;left:0;text-align:left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spacing w:val="-2"/>
          <w:sz w:val="19"/>
          <w:szCs w:val="19"/>
        </w:rPr>
        <w:t xml:space="preserve">b) a vegetação de porte arbóreo e o ajardinamentos públicos e particulares. </w:t>
      </w:r>
    </w:p>
    <w:p w:rsidR="000A40B8" w:rsidRDefault="000A40B8">
      <w:pPr>
        <w:widowControl w:val="0"/>
        <w:autoSpaceDE w:val="0"/>
        <w:autoSpaceDN w:val="0"/>
        <w:adjustRightInd w:val="0"/>
        <w:spacing w:line="219" w:lineRule="exact"/>
        <w:ind w:left="428" w:right="1413"/>
        <w:rPr>
          <w:sz w:val="22"/>
          <w:szCs w:val="22"/>
        </w:rPr>
      </w:pPr>
    </w:p>
    <w:p w:rsidR="000A40B8" w:rsidRDefault="000A40B8">
      <w:pPr>
        <w:widowControl w:val="0"/>
        <w:autoSpaceDE w:val="0"/>
        <w:autoSpaceDN w:val="0"/>
        <w:adjustRightInd w:val="0"/>
        <w:spacing w:line="228" w:lineRule="exact"/>
        <w:ind w:left="428" w:right="46"/>
      </w:pPr>
      <w:r>
        <w:rPr>
          <w:rFonts w:ascii="Arial" w:hAnsi="Arial" w:cs="Arial"/>
          <w:b/>
          <w:bCs/>
          <w:sz w:val="19"/>
          <w:szCs w:val="19"/>
        </w:rPr>
        <w:t>Artigo 4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Ficam definidas as seguintes diretrizes para aprovação de obras nesta área, </w:t>
      </w: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14" w:right="4838"/>
      </w:pPr>
      <w:r>
        <w:rPr>
          <w:rFonts w:ascii="Arial" w:hAnsi="Arial" w:cs="Arial"/>
          <w:spacing w:val="-3"/>
          <w:sz w:val="19"/>
          <w:szCs w:val="19"/>
        </w:rPr>
        <w:t xml:space="preserve">durante a vigência desta Resolução: </w:t>
      </w:r>
    </w:p>
    <w:p w:rsidR="000A40B8" w:rsidRDefault="000A40B8">
      <w:pPr>
        <w:widowControl w:val="0"/>
        <w:autoSpaceDE w:val="0"/>
        <w:autoSpaceDN w:val="0"/>
        <w:adjustRightInd w:val="0"/>
        <w:spacing w:line="221" w:lineRule="exact"/>
        <w:ind w:left="14" w:right="4838"/>
        <w:rPr>
          <w:sz w:val="22"/>
          <w:szCs w:val="22"/>
        </w:rPr>
      </w:pP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14" w:right="47" w:firstLine="413"/>
      </w:pPr>
      <w:r>
        <w:rPr>
          <w:rFonts w:ascii="Arial" w:hAnsi="Arial" w:cs="Arial"/>
          <w:spacing w:val="3"/>
          <w:sz w:val="19"/>
          <w:szCs w:val="19"/>
        </w:rPr>
        <w:t xml:space="preserve">a) Coeficiente de aproveitamento e taxa de ocupação máxima dos lotes do atual </w:t>
      </w: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14" w:right="6513"/>
      </w:pPr>
      <w:r>
        <w:rPr>
          <w:rFonts w:ascii="Arial" w:hAnsi="Arial" w:cs="Arial"/>
          <w:spacing w:val="-6"/>
          <w:sz w:val="19"/>
          <w:szCs w:val="19"/>
        </w:rPr>
        <w:t xml:space="preserve">zoneamento; e </w:t>
      </w:r>
    </w:p>
    <w:p w:rsidR="000A40B8" w:rsidRDefault="000A40B8">
      <w:pPr>
        <w:widowControl w:val="0"/>
        <w:autoSpaceDE w:val="0"/>
        <w:autoSpaceDN w:val="0"/>
        <w:adjustRightInd w:val="0"/>
        <w:spacing w:line="221" w:lineRule="exact"/>
        <w:ind w:left="14" w:right="6513"/>
        <w:rPr>
          <w:sz w:val="22"/>
          <w:szCs w:val="22"/>
        </w:rPr>
      </w:pPr>
    </w:p>
    <w:p w:rsidR="000A40B8" w:rsidRDefault="000A40B8">
      <w:pPr>
        <w:widowControl w:val="0"/>
        <w:autoSpaceDE w:val="0"/>
        <w:autoSpaceDN w:val="0"/>
        <w:adjustRightInd w:val="0"/>
        <w:spacing w:line="224" w:lineRule="exact"/>
        <w:ind w:left="14" w:right="47" w:firstLine="413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 xml:space="preserve">b) Gabarito máximo permitido de 9,00 (nove) metros para novas construções, tomado a partir do nível médio da testada do lote até o topo da cobertura. </w:t>
      </w:r>
    </w:p>
    <w:sectPr w:rsidR="000A40B8" w:rsidSect="000A40B8">
      <w:pgSz w:w="11900" w:h="16840"/>
      <w:pgMar w:top="3260" w:right="1720" w:bottom="224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FCD"/>
    <w:rsid w:val="000A40B8"/>
    <w:rsid w:val="00214CFC"/>
    <w:rsid w:val="006202E9"/>
    <w:rsid w:val="00B9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433</Words>
  <Characters>2341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2014-02-06T19:23:00Z</dcterms:created>
  <dcterms:modified xsi:type="dcterms:W3CDTF">2014-02-06T19:23:00Z</dcterms:modified>
</cp:coreProperties>
</file>