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95" w:rsidRDefault="00F86C95">
      <w:pPr>
        <w:widowControl w:val="0"/>
        <w:autoSpaceDE w:val="0"/>
        <w:autoSpaceDN w:val="0"/>
        <w:adjustRightInd w:val="0"/>
        <w:spacing w:line="252" w:lineRule="exact"/>
        <w:ind w:left="2" w:right="438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2pt;height:11in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Prefeitura do Município de São Paulo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2" w:right="4931"/>
      </w:pPr>
      <w:r>
        <w:rPr>
          <w:rFonts w:ascii="Arial" w:hAnsi="Arial" w:cs="Arial"/>
          <w:b/>
          <w:bCs/>
          <w:spacing w:val="-3"/>
          <w:sz w:val="22"/>
          <w:szCs w:val="22"/>
        </w:rPr>
        <w:t xml:space="preserve">Secretaria Municipal de Cultura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2" w:right="4243"/>
      </w:pPr>
      <w:r>
        <w:rPr>
          <w:rFonts w:ascii="Arial" w:hAnsi="Arial" w:cs="Arial"/>
          <w:b/>
          <w:bCs/>
          <w:spacing w:val="-3"/>
          <w:sz w:val="22"/>
          <w:szCs w:val="22"/>
        </w:rPr>
        <w:t xml:space="preserve">Departamento do Patrimônio Histórico </w:t>
      </w:r>
    </w:p>
    <w:p w:rsidR="00F86C95" w:rsidRDefault="00F86C95">
      <w:pPr>
        <w:widowControl w:val="0"/>
        <w:autoSpaceDE w:val="0"/>
        <w:autoSpaceDN w:val="0"/>
        <w:adjustRightInd w:val="0"/>
        <w:spacing w:line="310" w:lineRule="exact"/>
        <w:ind w:left="2" w:right="4243"/>
        <w:rPr>
          <w:sz w:val="31"/>
          <w:szCs w:val="31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40" w:lineRule="exact"/>
        <w:ind w:left="2" w:right="4243"/>
      </w:pP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2" w:right="51" w:firstLine="400"/>
      </w:pPr>
      <w:r>
        <w:rPr>
          <w:rFonts w:ascii="Arial" w:hAnsi="Arial" w:cs="Arial"/>
          <w:sz w:val="22"/>
          <w:szCs w:val="22"/>
        </w:rPr>
        <w:t xml:space="preserve">Conselho Municipal de Preservação do Patrimônio Histórico, Cultural e Ambiental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2" w:right="4440"/>
      </w:pPr>
      <w:r>
        <w:rPr>
          <w:rFonts w:ascii="Arial" w:hAnsi="Arial" w:cs="Arial"/>
          <w:spacing w:val="-3"/>
          <w:sz w:val="22"/>
          <w:szCs w:val="22"/>
        </w:rPr>
        <w:t xml:space="preserve">da Cidade de São Paulo - CONPRESP </w:t>
      </w:r>
    </w:p>
    <w:p w:rsidR="00F86C95" w:rsidRDefault="00F86C95">
      <w:pPr>
        <w:widowControl w:val="0"/>
        <w:autoSpaceDE w:val="0"/>
        <w:autoSpaceDN w:val="0"/>
        <w:adjustRightInd w:val="0"/>
        <w:spacing w:line="263" w:lineRule="exact"/>
        <w:ind w:left="2" w:right="4440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57" w:lineRule="exact"/>
        <w:ind w:left="2" w:right="6057"/>
      </w:pPr>
      <w:r>
        <w:rPr>
          <w:rFonts w:ascii="Arial" w:hAnsi="Arial" w:cs="Arial"/>
          <w:b/>
          <w:bCs/>
          <w:spacing w:val="-5"/>
          <w:sz w:val="22"/>
          <w:szCs w:val="22"/>
        </w:rPr>
        <w:t>Resolução n</w:t>
      </w:r>
      <w:r>
        <w:rPr>
          <w:rFonts w:ascii="Arial" w:hAnsi="Arial" w:cs="Arial"/>
          <w:b/>
          <w:bCs/>
          <w:spacing w:val="-5"/>
          <w:position w:val="6"/>
          <w:sz w:val="15"/>
          <w:szCs w:val="15"/>
        </w:rPr>
        <w:t>o</w:t>
      </w:r>
      <w:r>
        <w:rPr>
          <w:rFonts w:ascii="Arial" w:hAnsi="Arial" w:cs="Arial"/>
          <w:b/>
          <w:bCs/>
          <w:spacing w:val="-5"/>
          <w:sz w:val="22"/>
          <w:szCs w:val="22"/>
        </w:rPr>
        <w:t xml:space="preserve">. 05/99 </w:t>
      </w:r>
    </w:p>
    <w:p w:rsidR="00F86C95" w:rsidRDefault="00F86C95">
      <w:pPr>
        <w:widowControl w:val="0"/>
        <w:autoSpaceDE w:val="0"/>
        <w:autoSpaceDN w:val="0"/>
        <w:adjustRightInd w:val="0"/>
        <w:spacing w:line="277" w:lineRule="exact"/>
        <w:ind w:left="2" w:right="6057"/>
        <w:rPr>
          <w:sz w:val="28"/>
          <w:szCs w:val="28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40" w:lineRule="exact"/>
        <w:ind w:left="2" w:right="6057"/>
      </w:pP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2" w:right="51" w:firstLine="400"/>
      </w:pPr>
      <w:r>
        <w:rPr>
          <w:rFonts w:ascii="Arial" w:hAnsi="Arial" w:cs="Arial"/>
          <w:sz w:val="22"/>
          <w:szCs w:val="22"/>
        </w:rPr>
        <w:t xml:space="preserve">Por decisão unânime dos conselheiros presentes à reunião realizada em 18 de Novembro de 1999, o Conselho Municipal de Preservação do Patrimônio Histórico, Cultural e Ambiental da Cidade de São Paulo - CONPRESP -, nos termos e para fins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2" w:right="966"/>
      </w:pPr>
      <w:r>
        <w:rPr>
          <w:rFonts w:ascii="Arial" w:hAnsi="Arial" w:cs="Arial"/>
          <w:spacing w:val="-2"/>
          <w:sz w:val="22"/>
          <w:szCs w:val="22"/>
        </w:rPr>
        <w:t xml:space="preserve">da Lei 10.032/85, com as alterações introduzidas pela Lei 10.236/86, resolve: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2" w:right="966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58" w:lineRule="exact"/>
        <w:ind w:left="2" w:right="51" w:firstLine="400"/>
      </w:pPr>
      <w:r>
        <w:rPr>
          <w:rFonts w:ascii="Arial" w:hAnsi="Arial" w:cs="Arial"/>
          <w:b/>
          <w:bCs/>
          <w:spacing w:val="2"/>
          <w:sz w:val="22"/>
          <w:szCs w:val="22"/>
        </w:rPr>
        <w:t>Art. 1</w:t>
      </w:r>
      <w:r>
        <w:rPr>
          <w:rFonts w:ascii="Arial" w:hAnsi="Arial" w:cs="Arial"/>
          <w:b/>
          <w:bCs/>
          <w:spacing w:val="2"/>
          <w:position w:val="6"/>
          <w:sz w:val="15"/>
          <w:szCs w:val="15"/>
        </w:rPr>
        <w:t>o</w:t>
      </w:r>
      <w:r>
        <w:rPr>
          <w:rFonts w:ascii="Arial" w:hAnsi="Arial" w:cs="Arial"/>
          <w:spacing w:val="2"/>
          <w:sz w:val="22"/>
          <w:szCs w:val="22"/>
        </w:rPr>
        <w:t xml:space="preserve"> - Fica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tombada</w:t>
      </w:r>
      <w:r>
        <w:rPr>
          <w:rFonts w:ascii="Arial" w:hAnsi="Arial" w:cs="Arial"/>
          <w:spacing w:val="2"/>
          <w:sz w:val="22"/>
          <w:szCs w:val="22"/>
        </w:rPr>
        <w:t xml:space="preserve"> a área do</w:t>
      </w:r>
      <w:r>
        <w:rPr>
          <w:rFonts w:ascii="Arial" w:hAnsi="Arial" w:cs="Arial"/>
          <w:b/>
          <w:bCs/>
          <w:i/>
          <w:iCs/>
          <w:spacing w:val="2"/>
          <w:sz w:val="22"/>
          <w:szCs w:val="22"/>
        </w:rPr>
        <w:t xml:space="preserve"> Mirante do Jaguaré</w:t>
      </w:r>
      <w:r>
        <w:rPr>
          <w:rFonts w:ascii="Arial" w:hAnsi="Arial" w:cs="Arial"/>
          <w:spacing w:val="2"/>
          <w:sz w:val="22"/>
          <w:szCs w:val="22"/>
        </w:rPr>
        <w:t xml:space="preserve">, compreendendo a </w:t>
      </w:r>
      <w:r>
        <w:rPr>
          <w:rFonts w:ascii="Arial" w:hAnsi="Arial" w:cs="Arial"/>
          <w:sz w:val="22"/>
          <w:szCs w:val="22"/>
        </w:rPr>
        <w:t xml:space="preserve">edificação conhecida como Torre do Relógio e o espaço público no qual a mesma se </w:t>
      </w:r>
      <w:r>
        <w:rPr>
          <w:rFonts w:ascii="Arial" w:hAnsi="Arial" w:cs="Arial"/>
          <w:spacing w:val="-2"/>
          <w:sz w:val="22"/>
          <w:szCs w:val="22"/>
        </w:rPr>
        <w:t xml:space="preserve">situa, localizados à Rua Salatiel de Campos s/no, bairro e distrito do Jaguaré.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2" w:right="51" w:firstLine="400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2" w:right="51" w:firstLine="400"/>
      </w:pPr>
      <w:r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position w:val="6"/>
          <w:sz w:val="15"/>
          <w:szCs w:val="15"/>
        </w:rPr>
        <w:t>o</w:t>
      </w:r>
      <w:r>
        <w:rPr>
          <w:rFonts w:ascii="Arial" w:hAnsi="Arial" w:cs="Arial"/>
          <w:sz w:val="22"/>
          <w:szCs w:val="22"/>
        </w:rPr>
        <w:t xml:space="preserve"> - Fica excluída dessa resolução a edificação de 02 pavimentos existentes no </w:t>
      </w:r>
      <w:r>
        <w:rPr>
          <w:rFonts w:ascii="Arial" w:hAnsi="Arial" w:cs="Arial"/>
          <w:spacing w:val="-1"/>
          <w:sz w:val="22"/>
          <w:szCs w:val="22"/>
        </w:rPr>
        <w:t xml:space="preserve">mesmo espaço público. Em caso de eventuais reformas a mesma não poderá expandir </w:t>
      </w:r>
      <w:r>
        <w:rPr>
          <w:rFonts w:ascii="Arial" w:hAnsi="Arial" w:cs="Arial"/>
          <w:spacing w:val="-2"/>
          <w:sz w:val="22"/>
          <w:szCs w:val="22"/>
        </w:rPr>
        <w:t xml:space="preserve">os atuais coeficientes de aproveitamento e taxa de ocupação.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2" w:right="51" w:firstLine="400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2" w:right="51" w:firstLine="400"/>
      </w:pPr>
      <w:r>
        <w:rPr>
          <w:rFonts w:ascii="Arial" w:hAnsi="Arial" w:cs="Arial"/>
          <w:b/>
          <w:bCs/>
          <w:spacing w:val="-2"/>
          <w:sz w:val="22"/>
          <w:szCs w:val="22"/>
        </w:rPr>
        <w:t>Art. 2</w:t>
      </w:r>
      <w:r>
        <w:rPr>
          <w:rFonts w:ascii="Arial" w:hAnsi="Arial" w:cs="Arial"/>
          <w:b/>
          <w:bCs/>
          <w:spacing w:val="-2"/>
          <w:position w:val="6"/>
          <w:sz w:val="15"/>
          <w:szCs w:val="15"/>
        </w:rPr>
        <w:t>o</w:t>
      </w:r>
      <w:r>
        <w:rPr>
          <w:rFonts w:ascii="Arial" w:hAnsi="Arial" w:cs="Arial"/>
          <w:spacing w:val="-2"/>
          <w:sz w:val="22"/>
          <w:szCs w:val="22"/>
        </w:rPr>
        <w:t xml:space="preserve"> - Fica delimitada como área envoltória de proteção ao Mirante do Jaguaré o </w:t>
      </w:r>
      <w:r>
        <w:rPr>
          <w:rFonts w:ascii="Arial" w:hAnsi="Arial" w:cs="Arial"/>
          <w:sz w:val="22"/>
          <w:szCs w:val="22"/>
        </w:rPr>
        <w:t xml:space="preserve">perímetro delimitado pelos eixos da Avenida Billings, Avenida Dracena, Rua Armando </w:t>
      </w:r>
      <w:r>
        <w:rPr>
          <w:rFonts w:ascii="Arial" w:hAnsi="Arial" w:cs="Arial"/>
          <w:spacing w:val="-2"/>
          <w:sz w:val="22"/>
          <w:szCs w:val="22"/>
        </w:rPr>
        <w:t xml:space="preserve">Mota, Viela 10, Rua Barcelona, Rua Sambaetiba, Praça Bento de Assis, Rua Eng. Vitor Freire, Avenida José Maria da Silva e Avenida Eng. Billings, conforme mapa anexo.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2" w:right="51" w:firstLine="400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2" w:right="51" w:firstLine="400"/>
      </w:pPr>
      <w:r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position w:val="6"/>
          <w:sz w:val="15"/>
          <w:szCs w:val="15"/>
        </w:rPr>
        <w:t>o</w:t>
      </w:r>
      <w:r>
        <w:rPr>
          <w:rFonts w:ascii="Arial" w:hAnsi="Arial" w:cs="Arial"/>
          <w:sz w:val="22"/>
          <w:szCs w:val="22"/>
        </w:rPr>
        <w:t xml:space="preserve"> - Para as quadras que formam a área envoltória de proteção ao Mirante do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2" w:right="1512"/>
      </w:pPr>
      <w:r>
        <w:rPr>
          <w:rFonts w:ascii="Arial" w:hAnsi="Arial" w:cs="Arial"/>
          <w:spacing w:val="-2"/>
          <w:sz w:val="22"/>
          <w:szCs w:val="22"/>
        </w:rPr>
        <w:t xml:space="preserve">Jaguaré ficam estabelecidos os seguintes gabaritos máximos de altura: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2" w:right="51" w:firstLine="400"/>
      </w:pPr>
      <w:r>
        <w:rPr>
          <w:rFonts w:ascii="Arial" w:hAnsi="Arial" w:cs="Arial"/>
          <w:spacing w:val="-1"/>
          <w:sz w:val="22"/>
          <w:szCs w:val="22"/>
        </w:rPr>
        <w:t>Quadras 154, 155, 156, 157, 158, 159,160, 172, 173, 189, 197 e E.L. s/n</w:t>
      </w:r>
      <w:r>
        <w:rPr>
          <w:rFonts w:ascii="Arial" w:hAnsi="Arial" w:cs="Arial"/>
          <w:spacing w:val="-1"/>
          <w:position w:val="6"/>
          <w:sz w:val="15"/>
          <w:szCs w:val="15"/>
        </w:rPr>
        <w:t>o</w:t>
      </w:r>
      <w:r>
        <w:rPr>
          <w:rFonts w:ascii="Arial" w:hAnsi="Arial" w:cs="Arial"/>
          <w:spacing w:val="-1"/>
          <w:sz w:val="22"/>
          <w:szCs w:val="22"/>
        </w:rPr>
        <w:t xml:space="preserve">: Máx. 10 </w:t>
      </w:r>
      <w:r>
        <w:rPr>
          <w:rFonts w:ascii="Arial" w:hAnsi="Arial" w:cs="Arial"/>
          <w:spacing w:val="-17"/>
          <w:sz w:val="22"/>
          <w:szCs w:val="22"/>
        </w:rPr>
        <w:t xml:space="preserve">pav. </w:t>
      </w:r>
    </w:p>
    <w:p w:rsidR="00F86C95" w:rsidRDefault="00F86C95">
      <w:pPr>
        <w:widowControl w:val="0"/>
        <w:autoSpaceDE w:val="0"/>
        <w:autoSpaceDN w:val="0"/>
        <w:adjustRightInd w:val="0"/>
        <w:spacing w:line="292" w:lineRule="exact"/>
        <w:ind w:left="2" w:right="51" w:firstLine="400"/>
        <w:rPr>
          <w:sz w:val="29"/>
          <w:szCs w:val="29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25" w:lineRule="exact"/>
        <w:ind w:left="402" w:right="3343"/>
      </w:pPr>
      <w:r>
        <w:rPr>
          <w:rFonts w:ascii="Arial" w:hAnsi="Arial" w:cs="Arial"/>
          <w:spacing w:val="-3"/>
          <w:sz w:val="22"/>
          <w:szCs w:val="22"/>
        </w:rPr>
        <w:t xml:space="preserve">Quadras 161, 163, 164, 165 e 166: Máx. 6 pav.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3343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6533"/>
      </w:pPr>
      <w:r>
        <w:rPr>
          <w:rFonts w:ascii="Arial" w:hAnsi="Arial" w:cs="Arial"/>
          <w:spacing w:val="-7"/>
          <w:sz w:val="22"/>
          <w:szCs w:val="22"/>
        </w:rPr>
        <w:t xml:space="preserve">Quadra 162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5235"/>
      </w:pPr>
      <w:r>
        <w:rPr>
          <w:rFonts w:ascii="Arial" w:hAnsi="Arial" w:cs="Arial"/>
          <w:spacing w:val="-4"/>
          <w:sz w:val="22"/>
          <w:szCs w:val="22"/>
        </w:rPr>
        <w:t xml:space="preserve">Rua Marselha: Máx. 5 pav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2731"/>
      </w:pPr>
      <w:r>
        <w:rPr>
          <w:rFonts w:ascii="Arial" w:hAnsi="Arial" w:cs="Arial"/>
          <w:spacing w:val="-2"/>
          <w:sz w:val="22"/>
          <w:szCs w:val="22"/>
        </w:rPr>
        <w:t xml:space="preserve">Rua Monte Verde e Alarico Franco Caiubi: Máx. 6 pav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2731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6533"/>
      </w:pPr>
      <w:r>
        <w:rPr>
          <w:rFonts w:ascii="Arial" w:hAnsi="Arial" w:cs="Arial"/>
          <w:spacing w:val="-7"/>
          <w:sz w:val="22"/>
          <w:szCs w:val="22"/>
        </w:rPr>
        <w:t xml:space="preserve">Quadra 167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4306"/>
      </w:pPr>
      <w:r>
        <w:rPr>
          <w:rFonts w:ascii="Arial" w:hAnsi="Arial" w:cs="Arial"/>
          <w:spacing w:val="-3"/>
          <w:sz w:val="22"/>
          <w:szCs w:val="22"/>
        </w:rPr>
        <w:t xml:space="preserve">Rua Salatiel de Campos: Máx. 2 pav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4064"/>
      </w:pPr>
      <w:r>
        <w:rPr>
          <w:rFonts w:ascii="Arial" w:hAnsi="Arial" w:cs="Arial"/>
          <w:spacing w:val="-3"/>
          <w:sz w:val="22"/>
          <w:szCs w:val="22"/>
        </w:rPr>
        <w:t xml:space="preserve">Rua Lealdade e Sarandira: Máx. 5 pav. </w:t>
      </w:r>
    </w:p>
    <w:p w:rsidR="00F86C95" w:rsidRDefault="00F86C95">
      <w:pPr>
        <w:widowControl w:val="0"/>
        <w:autoSpaceDE w:val="0"/>
        <w:autoSpaceDN w:val="0"/>
        <w:adjustRightInd w:val="0"/>
        <w:spacing w:line="257" w:lineRule="exact"/>
        <w:ind w:left="402" w:right="4064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6533"/>
      </w:pPr>
      <w:r>
        <w:rPr>
          <w:rFonts w:ascii="Arial" w:hAnsi="Arial" w:cs="Arial"/>
          <w:spacing w:val="-7"/>
          <w:sz w:val="22"/>
          <w:szCs w:val="22"/>
        </w:rPr>
        <w:t xml:space="preserve">Quadra 169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1044"/>
      </w:pPr>
      <w:r>
        <w:rPr>
          <w:rFonts w:ascii="Arial" w:hAnsi="Arial" w:cs="Arial"/>
          <w:spacing w:val="-2"/>
          <w:sz w:val="22"/>
          <w:szCs w:val="22"/>
        </w:rPr>
        <w:t xml:space="preserve">Rua Salatiel de Campos e lote 1 da Praça Salvador Moreira: Máx. 2 pav. Rua Lealdade e lote 11 da Praça Salvador Moreira: Máx. 5 pav.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1044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6533"/>
      </w:pPr>
      <w:r>
        <w:rPr>
          <w:rFonts w:ascii="Arial" w:hAnsi="Arial" w:cs="Arial"/>
          <w:spacing w:val="-7"/>
          <w:sz w:val="22"/>
          <w:szCs w:val="22"/>
        </w:rPr>
        <w:t xml:space="preserve">Quadra 170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1246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Rua Marselha e lotes 22 e 23 da Rua Salatiel de Campos: Máx. 3 pav.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1246"/>
        <w:rPr>
          <w:rFonts w:ascii="Arial" w:hAnsi="Arial" w:cs="Arial"/>
          <w:spacing w:val="-2"/>
          <w:sz w:val="22"/>
          <w:szCs w:val="22"/>
        </w:rPr>
        <w:sectPr w:rsidR="00F86C95">
          <w:pgSz w:w="12239" w:h="15839"/>
          <w:pgMar w:top="1360" w:right="2060" w:bottom="280" w:left="1320" w:header="720" w:footer="720" w:gutter="0"/>
          <w:cols w:space="720"/>
          <w:noEndnote/>
        </w:sectPr>
      </w:pPr>
    </w:p>
    <w:p w:rsidR="00F86C95" w:rsidRDefault="00F86C95">
      <w:pPr>
        <w:widowControl w:val="0"/>
        <w:autoSpaceDE w:val="0"/>
        <w:autoSpaceDN w:val="0"/>
        <w:adjustRightInd w:val="0"/>
        <w:spacing w:line="250" w:lineRule="exact"/>
        <w:ind w:left="402" w:right="864"/>
      </w:pPr>
      <w:r>
        <w:rPr>
          <w:noProof/>
        </w:rPr>
        <w:pict>
          <v:shape id="_x0000_s1027" type="#_x0000_t75" style="position:absolute;left:0;text-align:left;margin-left:0;margin-top:0;width:612pt;height:11in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spacing w:val="-2"/>
          <w:sz w:val="22"/>
          <w:szCs w:val="22"/>
        </w:rPr>
        <w:t xml:space="preserve">Rua Crotolária e lotes 1, 2, 3 e 13 da Rua Salatiel de Campos: Máx. 2 pav.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864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6533"/>
      </w:pPr>
      <w:r>
        <w:rPr>
          <w:rFonts w:ascii="Arial" w:hAnsi="Arial" w:cs="Arial"/>
          <w:spacing w:val="-7"/>
          <w:sz w:val="22"/>
          <w:szCs w:val="22"/>
        </w:rPr>
        <w:t xml:space="preserve">Quadra 171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5178"/>
      </w:pPr>
      <w:r>
        <w:rPr>
          <w:rFonts w:ascii="Arial" w:hAnsi="Arial" w:cs="Arial"/>
          <w:spacing w:val="-4"/>
          <w:sz w:val="22"/>
          <w:szCs w:val="22"/>
        </w:rPr>
        <w:t xml:space="preserve">Rua Marselha: Máx. 5 pav.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4068"/>
      </w:pPr>
      <w:r>
        <w:rPr>
          <w:rFonts w:ascii="Arial" w:hAnsi="Arial" w:cs="Arial"/>
          <w:spacing w:val="-3"/>
          <w:sz w:val="22"/>
          <w:szCs w:val="22"/>
        </w:rPr>
        <w:t xml:space="preserve">Rua Alarico Franco Caiubi: Máx. 6 pav. Lote 60 da Viela 21: Máx. 5 pav. </w:t>
      </w:r>
    </w:p>
    <w:p w:rsidR="00F86C95" w:rsidRDefault="00F86C95">
      <w:pPr>
        <w:widowControl w:val="0"/>
        <w:autoSpaceDE w:val="0"/>
        <w:autoSpaceDN w:val="0"/>
        <w:adjustRightInd w:val="0"/>
        <w:spacing w:line="258" w:lineRule="exact"/>
        <w:ind w:left="402" w:right="4068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6533"/>
      </w:pPr>
      <w:r>
        <w:rPr>
          <w:rFonts w:ascii="Arial" w:hAnsi="Arial" w:cs="Arial"/>
          <w:spacing w:val="-7"/>
          <w:sz w:val="22"/>
          <w:szCs w:val="22"/>
        </w:rPr>
        <w:t xml:space="preserve">Quadra 190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4226"/>
      </w:pPr>
      <w:r>
        <w:rPr>
          <w:rFonts w:ascii="Arial" w:hAnsi="Arial" w:cs="Arial"/>
          <w:spacing w:val="-3"/>
          <w:sz w:val="22"/>
          <w:szCs w:val="22"/>
        </w:rPr>
        <w:t xml:space="preserve">Rua Umbará e Marselha: Máx. 5 pav. </w:t>
      </w:r>
      <w:r>
        <w:rPr>
          <w:rFonts w:ascii="Arial" w:hAnsi="Arial" w:cs="Arial"/>
          <w:spacing w:val="-4"/>
          <w:sz w:val="22"/>
          <w:szCs w:val="22"/>
        </w:rPr>
        <w:t xml:space="preserve">Rua Barcelona: Máx. 6 pav.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4226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5371"/>
      </w:pPr>
      <w:r>
        <w:rPr>
          <w:rFonts w:ascii="Arial" w:hAnsi="Arial" w:cs="Arial"/>
          <w:spacing w:val="-4"/>
          <w:sz w:val="22"/>
          <w:szCs w:val="22"/>
        </w:rPr>
        <w:t xml:space="preserve">Quadra 191: Máx. 6 pav.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6533"/>
      </w:pPr>
      <w:r>
        <w:rPr>
          <w:rFonts w:ascii="Arial" w:hAnsi="Arial" w:cs="Arial"/>
          <w:spacing w:val="-7"/>
          <w:sz w:val="22"/>
          <w:szCs w:val="22"/>
        </w:rPr>
        <w:t xml:space="preserve">Quadra 192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5132"/>
      </w:pPr>
      <w:r>
        <w:rPr>
          <w:rFonts w:ascii="Arial" w:hAnsi="Arial" w:cs="Arial"/>
          <w:spacing w:val="-4"/>
          <w:sz w:val="22"/>
          <w:szCs w:val="22"/>
        </w:rPr>
        <w:t xml:space="preserve">Rua Crotolária: Máx. 2 pav.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4111"/>
      </w:pPr>
      <w:r>
        <w:rPr>
          <w:rFonts w:ascii="Arial" w:hAnsi="Arial" w:cs="Arial"/>
          <w:spacing w:val="-3"/>
          <w:sz w:val="22"/>
          <w:szCs w:val="22"/>
        </w:rPr>
        <w:t xml:space="preserve">Rua Marselha e Lealdade: Máx. 3 pav.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4111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6533"/>
      </w:pPr>
      <w:r>
        <w:rPr>
          <w:rFonts w:ascii="Arial" w:hAnsi="Arial" w:cs="Arial"/>
          <w:spacing w:val="-7"/>
          <w:sz w:val="22"/>
          <w:szCs w:val="22"/>
        </w:rPr>
        <w:t xml:space="preserve">Quadra 193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5176"/>
      </w:pPr>
      <w:r>
        <w:rPr>
          <w:rFonts w:ascii="Arial" w:hAnsi="Arial" w:cs="Arial"/>
          <w:spacing w:val="-4"/>
          <w:sz w:val="22"/>
          <w:szCs w:val="22"/>
        </w:rPr>
        <w:t xml:space="preserve">Rua Lealdade: Máx. 5 pav.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1066"/>
      </w:pPr>
      <w:r>
        <w:rPr>
          <w:rFonts w:ascii="Arial" w:hAnsi="Arial" w:cs="Arial"/>
          <w:spacing w:val="-2"/>
          <w:sz w:val="22"/>
          <w:szCs w:val="22"/>
        </w:rPr>
        <w:t xml:space="preserve">Rua Marselha, Av. Eng. Vitor Freire e Praça Bento de Assis: Máx. 6 pav.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1066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6533"/>
      </w:pPr>
      <w:r>
        <w:rPr>
          <w:rFonts w:ascii="Arial" w:hAnsi="Arial" w:cs="Arial"/>
          <w:spacing w:val="-7"/>
          <w:sz w:val="22"/>
          <w:szCs w:val="22"/>
        </w:rPr>
        <w:t xml:space="preserve">Quadra 194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3138"/>
      </w:pPr>
      <w:r>
        <w:rPr>
          <w:rFonts w:ascii="Arial" w:hAnsi="Arial" w:cs="Arial"/>
          <w:spacing w:val="-2"/>
          <w:sz w:val="22"/>
          <w:szCs w:val="22"/>
        </w:rPr>
        <w:t xml:space="preserve">Rua Salatiel de Campos e Crotolária: Máx. 2 pav. </w:t>
      </w:r>
      <w:r>
        <w:rPr>
          <w:rFonts w:ascii="Arial" w:hAnsi="Arial" w:cs="Arial"/>
          <w:spacing w:val="-4"/>
          <w:sz w:val="22"/>
          <w:szCs w:val="22"/>
        </w:rPr>
        <w:t xml:space="preserve">Rua Lealdade: Máx. 3 pav.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3138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6533"/>
      </w:pPr>
      <w:r>
        <w:rPr>
          <w:rFonts w:ascii="Arial" w:hAnsi="Arial" w:cs="Arial"/>
          <w:spacing w:val="-7"/>
          <w:sz w:val="22"/>
          <w:szCs w:val="22"/>
        </w:rPr>
        <w:t xml:space="preserve">Quadra 195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5176"/>
      </w:pPr>
      <w:r>
        <w:rPr>
          <w:rFonts w:ascii="Arial" w:hAnsi="Arial" w:cs="Arial"/>
          <w:spacing w:val="-4"/>
          <w:sz w:val="22"/>
          <w:szCs w:val="22"/>
        </w:rPr>
        <w:t xml:space="preserve">Rua Lealdade: Máx. 5 pav.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2489"/>
      </w:pPr>
      <w:r>
        <w:rPr>
          <w:rFonts w:ascii="Arial" w:hAnsi="Arial" w:cs="Arial"/>
          <w:spacing w:val="-2"/>
          <w:sz w:val="22"/>
          <w:szCs w:val="22"/>
        </w:rPr>
        <w:t xml:space="preserve">Rua D. João Rondon e Av. Eng. Vitor Freire: Máx. 6 pav.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2489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50"/>
      </w:pPr>
      <w:r>
        <w:rPr>
          <w:rFonts w:ascii="Arial" w:hAnsi="Arial" w:cs="Arial"/>
          <w:b/>
          <w:bCs/>
          <w:sz w:val="22"/>
          <w:szCs w:val="22"/>
        </w:rPr>
        <w:t>§ 2</w:t>
      </w:r>
      <w:r>
        <w:rPr>
          <w:rFonts w:ascii="Arial" w:hAnsi="Arial" w:cs="Arial"/>
          <w:b/>
          <w:bCs/>
          <w:position w:val="6"/>
          <w:sz w:val="15"/>
          <w:szCs w:val="15"/>
        </w:rPr>
        <w:t>o</w:t>
      </w:r>
      <w:r>
        <w:rPr>
          <w:rFonts w:ascii="Arial" w:hAnsi="Arial" w:cs="Arial"/>
          <w:sz w:val="22"/>
          <w:szCs w:val="22"/>
        </w:rPr>
        <w:t xml:space="preserve"> - Para todos os lotes que formam as quadras acima mencionadas devem ser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2" w:right="5159"/>
      </w:pPr>
      <w:r>
        <w:rPr>
          <w:rFonts w:ascii="Arial" w:hAnsi="Arial" w:cs="Arial"/>
          <w:spacing w:val="-3"/>
          <w:sz w:val="22"/>
          <w:szCs w:val="22"/>
        </w:rPr>
        <w:t xml:space="preserve">atendidos os seguintes recuos: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6524"/>
      </w:pPr>
      <w:r>
        <w:rPr>
          <w:rFonts w:ascii="Arial" w:hAnsi="Arial" w:cs="Arial"/>
          <w:spacing w:val="-6"/>
          <w:sz w:val="22"/>
          <w:szCs w:val="22"/>
        </w:rPr>
        <w:t xml:space="preserve">Frontal: 5 m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3548"/>
      </w:pPr>
      <w:r>
        <w:rPr>
          <w:rFonts w:ascii="Arial" w:hAnsi="Arial" w:cs="Arial"/>
          <w:spacing w:val="-2"/>
          <w:sz w:val="22"/>
          <w:szCs w:val="22"/>
        </w:rPr>
        <w:t>Lateral: 1,5 apenas de um lado, até o 2</w:t>
      </w:r>
      <w:r>
        <w:rPr>
          <w:rFonts w:ascii="Arial" w:hAnsi="Arial" w:cs="Arial"/>
          <w:spacing w:val="-2"/>
          <w:position w:val="6"/>
          <w:sz w:val="15"/>
          <w:szCs w:val="15"/>
        </w:rPr>
        <w:t>o</w:t>
      </w:r>
      <w:r>
        <w:rPr>
          <w:rFonts w:ascii="Arial" w:hAnsi="Arial" w:cs="Arial"/>
          <w:spacing w:val="-2"/>
          <w:sz w:val="22"/>
          <w:szCs w:val="22"/>
        </w:rPr>
        <w:t xml:space="preserve"> pav.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6479"/>
      </w:pPr>
      <w:r>
        <w:rPr>
          <w:rFonts w:ascii="Arial" w:hAnsi="Arial" w:cs="Arial"/>
          <w:spacing w:val="-7"/>
          <w:sz w:val="22"/>
          <w:szCs w:val="22"/>
        </w:rPr>
        <w:t xml:space="preserve">Fundos: 5 m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402" w:right="6479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402" w:right="51"/>
      </w:pPr>
      <w:r>
        <w:rPr>
          <w:rFonts w:ascii="Arial" w:hAnsi="Arial" w:cs="Arial"/>
          <w:b/>
          <w:bCs/>
          <w:spacing w:val="-2"/>
          <w:sz w:val="22"/>
          <w:szCs w:val="22"/>
        </w:rPr>
        <w:t>§ 3</w:t>
      </w:r>
      <w:r>
        <w:rPr>
          <w:rFonts w:ascii="Arial" w:hAnsi="Arial" w:cs="Arial"/>
          <w:b/>
          <w:bCs/>
          <w:spacing w:val="-2"/>
          <w:position w:val="6"/>
          <w:sz w:val="15"/>
          <w:szCs w:val="15"/>
        </w:rPr>
        <w:t>o</w:t>
      </w:r>
      <w:r>
        <w:rPr>
          <w:rFonts w:ascii="Arial" w:hAnsi="Arial" w:cs="Arial"/>
          <w:spacing w:val="-2"/>
          <w:sz w:val="22"/>
          <w:szCs w:val="22"/>
        </w:rPr>
        <w:t xml:space="preserve"> - Para a quadra delimitada pelas ruas Lealdade, Cataluña, Barão de Antonina,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2" w:right="50"/>
      </w:pPr>
      <w:r>
        <w:rPr>
          <w:rFonts w:ascii="Arial" w:hAnsi="Arial" w:cs="Arial"/>
          <w:spacing w:val="1"/>
          <w:sz w:val="22"/>
          <w:szCs w:val="22"/>
        </w:rPr>
        <w:t xml:space="preserve">Av. Eng. Billings, Av. José Maria da Silva, Rua D. João Rondon e Praça Salvador </w:t>
      </w:r>
      <w:r>
        <w:rPr>
          <w:rFonts w:ascii="Arial" w:hAnsi="Arial" w:cs="Arial"/>
          <w:spacing w:val="-2"/>
          <w:sz w:val="22"/>
          <w:szCs w:val="22"/>
        </w:rPr>
        <w:t xml:space="preserve">Moreira fica proibida a construção de novas edificações. </w:t>
      </w:r>
    </w:p>
    <w:p w:rsidR="00F86C95" w:rsidRDefault="00F86C95">
      <w:pPr>
        <w:widowControl w:val="0"/>
        <w:autoSpaceDE w:val="0"/>
        <w:autoSpaceDN w:val="0"/>
        <w:adjustRightInd w:val="0"/>
        <w:spacing w:line="260" w:lineRule="exact"/>
        <w:ind w:left="2" w:right="50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2" w:right="51" w:firstLine="400"/>
      </w:pPr>
      <w:r>
        <w:rPr>
          <w:rFonts w:ascii="Arial" w:hAnsi="Arial" w:cs="Arial"/>
          <w:b/>
          <w:bCs/>
          <w:spacing w:val="-2"/>
          <w:sz w:val="22"/>
          <w:szCs w:val="22"/>
        </w:rPr>
        <w:t>Art. 3</w:t>
      </w:r>
      <w:r>
        <w:rPr>
          <w:rFonts w:ascii="Arial" w:hAnsi="Arial" w:cs="Arial"/>
          <w:b/>
          <w:bCs/>
          <w:spacing w:val="-2"/>
          <w:position w:val="6"/>
          <w:sz w:val="15"/>
          <w:szCs w:val="15"/>
        </w:rPr>
        <w:t>o</w:t>
      </w:r>
      <w:r>
        <w:rPr>
          <w:rFonts w:ascii="Arial" w:hAnsi="Arial" w:cs="Arial"/>
          <w:spacing w:val="-2"/>
          <w:sz w:val="22"/>
          <w:szCs w:val="22"/>
        </w:rPr>
        <w:t xml:space="preserve"> - Serão objeto de aprovação prévia pelo CONPRESP todas as intervenções </w:t>
      </w:r>
      <w:r>
        <w:rPr>
          <w:rFonts w:ascii="Arial" w:hAnsi="Arial" w:cs="Arial"/>
          <w:sz w:val="22"/>
          <w:szCs w:val="22"/>
        </w:rPr>
        <w:t xml:space="preserve">pretendidas para o imóvel tombado, bem como para todos os lotes situados na área </w:t>
      </w:r>
      <w:r>
        <w:rPr>
          <w:rFonts w:ascii="Arial" w:hAnsi="Arial" w:cs="Arial"/>
          <w:spacing w:val="-4"/>
          <w:sz w:val="22"/>
          <w:szCs w:val="22"/>
        </w:rPr>
        <w:t>delimitada pelo art. 2</w:t>
      </w:r>
      <w:r>
        <w:rPr>
          <w:rFonts w:ascii="Arial" w:hAnsi="Arial" w:cs="Arial"/>
          <w:spacing w:val="-4"/>
          <w:position w:val="6"/>
          <w:sz w:val="15"/>
          <w:szCs w:val="15"/>
        </w:rPr>
        <w:t>o</w:t>
      </w:r>
      <w:r>
        <w:rPr>
          <w:rFonts w:ascii="Arial" w:hAnsi="Arial" w:cs="Arial"/>
          <w:spacing w:val="-4"/>
          <w:sz w:val="22"/>
          <w:szCs w:val="22"/>
        </w:rPr>
        <w:t xml:space="preserve">. </w:t>
      </w:r>
    </w:p>
    <w:p w:rsidR="00F86C95" w:rsidRDefault="00F86C95">
      <w:pPr>
        <w:widowControl w:val="0"/>
        <w:autoSpaceDE w:val="0"/>
        <w:autoSpaceDN w:val="0"/>
        <w:adjustRightInd w:val="0"/>
        <w:spacing w:line="261" w:lineRule="exact"/>
        <w:ind w:left="2" w:right="51" w:firstLine="400"/>
        <w:rPr>
          <w:sz w:val="26"/>
          <w:szCs w:val="26"/>
        </w:rPr>
      </w:pP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2" w:right="51" w:firstLine="40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Art. 4</w:t>
      </w:r>
      <w:r>
        <w:rPr>
          <w:rFonts w:ascii="Arial" w:hAnsi="Arial" w:cs="Arial"/>
          <w:b/>
          <w:bCs/>
          <w:spacing w:val="1"/>
          <w:position w:val="6"/>
          <w:sz w:val="15"/>
          <w:szCs w:val="15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- A presente Resolução entrará em vigor na data de sua publicação no </w:t>
      </w:r>
      <w:r>
        <w:rPr>
          <w:rFonts w:ascii="Arial" w:hAnsi="Arial" w:cs="Arial"/>
          <w:spacing w:val="-3"/>
          <w:sz w:val="22"/>
          <w:szCs w:val="22"/>
        </w:rPr>
        <w:t xml:space="preserve">Diário Oficial do Município. </w:t>
      </w:r>
    </w:p>
    <w:p w:rsidR="00F86C95" w:rsidRDefault="00F86C95">
      <w:pPr>
        <w:widowControl w:val="0"/>
        <w:autoSpaceDE w:val="0"/>
        <w:autoSpaceDN w:val="0"/>
        <w:adjustRightInd w:val="0"/>
        <w:spacing w:line="259" w:lineRule="exact"/>
        <w:ind w:left="2" w:right="51" w:firstLine="400"/>
        <w:rPr>
          <w:rFonts w:ascii="Arial" w:hAnsi="Arial" w:cs="Arial"/>
          <w:spacing w:val="-3"/>
          <w:sz w:val="22"/>
          <w:szCs w:val="22"/>
        </w:rPr>
        <w:sectPr w:rsidR="00F86C95">
          <w:pgSz w:w="12239" w:h="15839"/>
          <w:pgMar w:top="1360" w:right="2060" w:bottom="600" w:left="1320" w:header="720" w:footer="720" w:gutter="0"/>
          <w:cols w:space="720"/>
          <w:noEndnote/>
        </w:sectPr>
      </w:pPr>
    </w:p>
    <w:p w:rsidR="00F86C95" w:rsidRDefault="00F86C95">
      <w:pPr>
        <w:widowControl w:val="0"/>
        <w:autoSpaceDE w:val="0"/>
        <w:autoSpaceDN w:val="0"/>
        <w:adjustRightInd w:val="0"/>
        <w:spacing w:line="221" w:lineRule="exact"/>
        <w:rPr>
          <w:sz w:val="22"/>
          <w:szCs w:val="22"/>
        </w:rPr>
      </w:pPr>
      <w:r>
        <w:rPr>
          <w:noProof/>
        </w:rPr>
        <w:pict>
          <v:shape id="_x0000_s1028" type="#_x0000_t75" style="position:absolute;margin-left:0;margin-top:0;width:612pt;height:11in;z-index:-251656192;mso-position-horizontal-relative:page;mso-position-vertical-relative:page" o:allowincell="f">
            <v:imagedata r:id="rId5" o:title=""/>
            <w10:wrap anchorx="page" anchory="page"/>
          </v:shape>
        </w:pict>
      </w:r>
    </w:p>
    <w:p w:rsidR="00F86C95" w:rsidRDefault="00F86C95">
      <w:pPr>
        <w:widowControl w:val="0"/>
        <w:autoSpaceDE w:val="0"/>
        <w:autoSpaceDN w:val="0"/>
        <w:adjustRightInd w:val="0"/>
        <w:spacing w:line="200" w:lineRule="exact"/>
        <w:ind w:left="3" w:right="358"/>
      </w:pPr>
      <w:hyperlink r:id="rId6" w:history="1">
        <w:r>
          <w:rPr>
            <w:rFonts w:ascii="Arial" w:hAnsi="Arial" w:cs="Arial"/>
            <w:spacing w:val="-2"/>
            <w:sz w:val="20"/>
            <w:szCs w:val="20"/>
          </w:rPr>
          <w:t>This document was created with Win2PDF available at</w:t>
        </w:r>
        <w:r>
          <w:rPr>
            <w:rFonts w:ascii="Arial" w:hAnsi="Arial" w:cs="Arial"/>
            <w:color w:val="0000FA"/>
            <w:spacing w:val="-2"/>
            <w:sz w:val="20"/>
            <w:szCs w:val="20"/>
          </w:rPr>
          <w:t xml:space="preserve"> http://www.win2pdf.com. </w:t>
        </w:r>
      </w:hyperlink>
    </w:p>
    <w:p w:rsidR="00F86C95" w:rsidRDefault="00F86C95">
      <w:pPr>
        <w:widowControl w:val="0"/>
        <w:autoSpaceDE w:val="0"/>
        <w:autoSpaceDN w:val="0"/>
        <w:adjustRightInd w:val="0"/>
        <w:spacing w:line="200" w:lineRule="exact"/>
        <w:ind w:left="3" w:right="78"/>
        <w:rPr>
          <w:spacing w:val="-2"/>
        </w:rPr>
      </w:pPr>
      <w:hyperlink r:id="rId7" w:history="1">
        <w:r>
          <w:rPr>
            <w:rFonts w:ascii="Arial" w:hAnsi="Arial" w:cs="Arial"/>
            <w:spacing w:val="-2"/>
            <w:sz w:val="20"/>
            <w:szCs w:val="20"/>
          </w:rPr>
          <w:t xml:space="preserve">The unregistered version of Win2PDF is for evaluation or non-commercial use only. </w:t>
        </w:r>
      </w:hyperlink>
      <w:hyperlink r:id="rId8" w:history="1">
        <w:r>
          <w:rPr>
            <w:rFonts w:ascii="Arial" w:hAnsi="Arial" w:cs="Arial"/>
            <w:spacing w:val="-2"/>
            <w:sz w:val="20"/>
            <w:szCs w:val="20"/>
          </w:rPr>
          <w:t xml:space="preserve">This page will not be added after purchasing Win2PDF. </w:t>
        </w:r>
      </w:hyperlink>
    </w:p>
    <w:sectPr w:rsidR="00F86C95" w:rsidSect="00F86C95">
      <w:pgSz w:w="12239" w:h="15839"/>
      <w:pgMar w:top="7560" w:right="3560" w:bottom="1480" w:left="12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BE3"/>
    <w:rsid w:val="00493582"/>
    <w:rsid w:val="00525AD7"/>
    <w:rsid w:val="007F4C6A"/>
    <w:rsid w:val="00D85BE3"/>
    <w:rsid w:val="00F8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n2pdf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2pdf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586</Words>
  <Characters>3169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2014-02-06T20:02:00Z</dcterms:created>
  <dcterms:modified xsi:type="dcterms:W3CDTF">2014-02-06T20:02:00Z</dcterms:modified>
</cp:coreProperties>
</file>