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C7" w:rsidRDefault="000B78C7">
      <w:pPr>
        <w:widowControl w:val="0"/>
        <w:autoSpaceDE w:val="0"/>
        <w:autoSpaceDN w:val="0"/>
        <w:adjustRightInd w:val="0"/>
        <w:spacing w:line="249" w:lineRule="exact"/>
        <w:ind w:left="1" w:right="4205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0B78C7" w:rsidRDefault="000B78C7">
      <w:pPr>
        <w:widowControl w:val="0"/>
        <w:autoSpaceDE w:val="0"/>
        <w:autoSpaceDN w:val="0"/>
        <w:adjustRightInd w:val="0"/>
        <w:spacing w:line="251" w:lineRule="exact"/>
        <w:ind w:left="1" w:right="4743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0B78C7" w:rsidRDefault="000B78C7">
      <w:pPr>
        <w:widowControl w:val="0"/>
        <w:autoSpaceDE w:val="0"/>
        <w:autoSpaceDN w:val="0"/>
        <w:adjustRightInd w:val="0"/>
        <w:spacing w:line="253" w:lineRule="exact"/>
        <w:ind w:left="1" w:right="4074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0B78C7" w:rsidRDefault="000B78C7">
      <w:pPr>
        <w:widowControl w:val="0"/>
        <w:autoSpaceDE w:val="0"/>
        <w:autoSpaceDN w:val="0"/>
        <w:adjustRightInd w:val="0"/>
        <w:spacing w:line="300" w:lineRule="exact"/>
        <w:ind w:left="1" w:right="4074"/>
        <w:rPr>
          <w:sz w:val="30"/>
          <w:szCs w:val="30"/>
        </w:rPr>
      </w:pPr>
    </w:p>
    <w:p w:rsidR="000B78C7" w:rsidRDefault="000B78C7">
      <w:pPr>
        <w:widowControl w:val="0"/>
        <w:autoSpaceDE w:val="0"/>
        <w:autoSpaceDN w:val="0"/>
        <w:adjustRightInd w:val="0"/>
        <w:spacing w:line="240" w:lineRule="exact"/>
        <w:ind w:left="1" w:right="4074"/>
      </w:pPr>
    </w:p>
    <w:p w:rsidR="000B78C7" w:rsidRDefault="000B78C7">
      <w:pPr>
        <w:widowControl w:val="0"/>
        <w:autoSpaceDE w:val="0"/>
        <w:autoSpaceDN w:val="0"/>
        <w:adjustRightInd w:val="0"/>
        <w:spacing w:line="230" w:lineRule="exact"/>
        <w:ind w:left="1" w:right="68"/>
      </w:pPr>
      <w:r>
        <w:rPr>
          <w:rFonts w:ascii="Arial" w:hAnsi="Arial" w:cs="Arial"/>
          <w:spacing w:val="-2"/>
          <w:sz w:val="20"/>
          <w:szCs w:val="20"/>
        </w:rPr>
        <w:t xml:space="preserve">Conselho Municipal de Preservação do Patrimônio Histórico, Cultural e Ambiental da Cidade de </w:t>
      </w:r>
    </w:p>
    <w:p w:rsidR="000B78C7" w:rsidRDefault="000B78C7">
      <w:pPr>
        <w:widowControl w:val="0"/>
        <w:autoSpaceDE w:val="0"/>
        <w:autoSpaceDN w:val="0"/>
        <w:adjustRightInd w:val="0"/>
        <w:spacing w:line="230" w:lineRule="exact"/>
        <w:ind w:left="1" w:right="6871"/>
      </w:pPr>
      <w:r>
        <w:rPr>
          <w:rFonts w:ascii="Arial" w:hAnsi="Arial" w:cs="Arial"/>
          <w:spacing w:val="-8"/>
          <w:sz w:val="20"/>
          <w:szCs w:val="20"/>
        </w:rPr>
        <w:t xml:space="preserve">São Paulo </w:t>
      </w:r>
    </w:p>
    <w:p w:rsidR="000B78C7" w:rsidRDefault="000B78C7">
      <w:pPr>
        <w:widowControl w:val="0"/>
        <w:autoSpaceDE w:val="0"/>
        <w:autoSpaceDN w:val="0"/>
        <w:adjustRightInd w:val="0"/>
        <w:spacing w:line="234" w:lineRule="exact"/>
        <w:ind w:left="1" w:right="6871"/>
        <w:rPr>
          <w:sz w:val="23"/>
          <w:szCs w:val="23"/>
        </w:rPr>
      </w:pPr>
    </w:p>
    <w:p w:rsidR="000B78C7" w:rsidRDefault="000B78C7">
      <w:pPr>
        <w:widowControl w:val="0"/>
        <w:autoSpaceDE w:val="0"/>
        <w:autoSpaceDN w:val="0"/>
        <w:adjustRightInd w:val="0"/>
        <w:spacing w:line="316" w:lineRule="exact"/>
        <w:ind w:left="1" w:right="5334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04/90 </w:t>
      </w:r>
    </w:p>
    <w:p w:rsidR="000B78C7" w:rsidRDefault="000B78C7">
      <w:pPr>
        <w:widowControl w:val="0"/>
        <w:autoSpaceDE w:val="0"/>
        <w:autoSpaceDN w:val="0"/>
        <w:adjustRightInd w:val="0"/>
        <w:spacing w:line="248" w:lineRule="exact"/>
        <w:ind w:left="1" w:right="5334"/>
        <w:rPr>
          <w:sz w:val="25"/>
          <w:szCs w:val="25"/>
        </w:rPr>
      </w:pPr>
    </w:p>
    <w:p w:rsidR="000B78C7" w:rsidRDefault="000B78C7">
      <w:pPr>
        <w:widowControl w:val="0"/>
        <w:autoSpaceDE w:val="0"/>
        <w:autoSpaceDN w:val="0"/>
        <w:adjustRightInd w:val="0"/>
        <w:spacing w:line="240" w:lineRule="exact"/>
        <w:ind w:left="1" w:right="5334"/>
      </w:pPr>
    </w:p>
    <w:p w:rsidR="000B78C7" w:rsidRDefault="000B78C7">
      <w:pPr>
        <w:widowControl w:val="0"/>
        <w:autoSpaceDE w:val="0"/>
        <w:autoSpaceDN w:val="0"/>
        <w:adjustRightInd w:val="0"/>
        <w:spacing w:line="200" w:lineRule="exact"/>
        <w:ind w:left="1" w:right="46" w:firstLine="425"/>
      </w:pPr>
      <w:r>
        <w:rPr>
          <w:rFonts w:ascii="Arial" w:hAnsi="Arial" w:cs="Arial"/>
          <w:spacing w:val="-1"/>
          <w:sz w:val="20"/>
          <w:szCs w:val="20"/>
        </w:rPr>
        <w:t xml:space="preserve">Por decisão unânime dos Conselheiros presentes à reunião realizada aos 15 de março de </w:t>
      </w:r>
    </w:p>
    <w:p w:rsidR="000B78C7" w:rsidRDefault="000B78C7">
      <w:pPr>
        <w:widowControl w:val="0"/>
        <w:autoSpaceDE w:val="0"/>
        <w:autoSpaceDN w:val="0"/>
        <w:adjustRightInd w:val="0"/>
        <w:spacing w:line="346" w:lineRule="exact"/>
        <w:ind w:left="1" w:right="46"/>
      </w:pPr>
      <w:r>
        <w:rPr>
          <w:rFonts w:ascii="Arial" w:hAnsi="Arial" w:cs="Arial"/>
          <w:sz w:val="20"/>
          <w:szCs w:val="20"/>
        </w:rPr>
        <w:t>1990, o Conselho Municipal de Preservação do Patrimônio Histórico, Cultural e A</w:t>
      </w:r>
      <w:r>
        <w:rPr>
          <w:rFonts w:ascii="Arial" w:hAnsi="Arial" w:cs="Arial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mbiental da </w:t>
      </w:r>
    </w:p>
    <w:p w:rsidR="000B78C7" w:rsidRDefault="000B78C7">
      <w:pPr>
        <w:widowControl w:val="0"/>
        <w:autoSpaceDE w:val="0"/>
        <w:autoSpaceDN w:val="0"/>
        <w:adjustRightInd w:val="0"/>
        <w:spacing w:line="114" w:lineRule="exact"/>
        <w:ind w:left="1" w:right="47"/>
      </w:pPr>
      <w:r>
        <w:rPr>
          <w:rFonts w:ascii="Arial" w:hAnsi="Arial" w:cs="Arial"/>
          <w:sz w:val="20"/>
          <w:szCs w:val="20"/>
        </w:rPr>
        <w:t xml:space="preserve">Cidade de São Paulo - CONPRESP, resolve, nos termos e para os fins da Lei n 10.032/85, </w:t>
      </w:r>
    </w:p>
    <w:p w:rsidR="000B78C7" w:rsidRDefault="000B78C7">
      <w:pPr>
        <w:widowControl w:val="0"/>
        <w:autoSpaceDE w:val="0"/>
        <w:autoSpaceDN w:val="0"/>
        <w:adjustRightInd w:val="0"/>
        <w:spacing w:line="229" w:lineRule="exact"/>
        <w:ind w:left="1" w:right="47"/>
      </w:pPr>
      <w:r>
        <w:rPr>
          <w:rFonts w:ascii="Arial" w:hAnsi="Arial" w:cs="Arial"/>
          <w:sz w:val="20"/>
          <w:szCs w:val="20"/>
        </w:rPr>
        <w:t>com as alterações introduzidas pela Lei n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10.236/86,</w:t>
      </w:r>
      <w:r>
        <w:rPr>
          <w:rFonts w:ascii="Arial" w:hAnsi="Arial" w:cs="Arial"/>
          <w:b/>
          <w:bCs/>
          <w:sz w:val="20"/>
          <w:szCs w:val="20"/>
        </w:rPr>
        <w:t xml:space="preserve"> abrir processo de tombamento</w:t>
      </w:r>
      <w:r>
        <w:rPr>
          <w:rFonts w:ascii="Arial" w:hAnsi="Arial" w:cs="Arial"/>
          <w:sz w:val="20"/>
          <w:szCs w:val="20"/>
        </w:rPr>
        <w:t xml:space="preserve"> dos </w:t>
      </w:r>
    </w:p>
    <w:p w:rsidR="000B78C7" w:rsidRDefault="000B78C7">
      <w:pPr>
        <w:widowControl w:val="0"/>
        <w:autoSpaceDE w:val="0"/>
        <w:autoSpaceDN w:val="0"/>
        <w:adjustRightInd w:val="0"/>
        <w:spacing w:line="230" w:lineRule="exact"/>
        <w:ind w:left="1" w:right="6441"/>
      </w:pPr>
      <w:r>
        <w:rPr>
          <w:rFonts w:ascii="Arial" w:hAnsi="Arial" w:cs="Arial"/>
          <w:spacing w:val="-5"/>
          <w:sz w:val="20"/>
          <w:szCs w:val="20"/>
        </w:rPr>
        <w:t xml:space="preserve">seguintes bens: </w:t>
      </w:r>
    </w:p>
    <w:p w:rsidR="000B78C7" w:rsidRDefault="000B78C7">
      <w:pPr>
        <w:widowControl w:val="0"/>
        <w:autoSpaceDE w:val="0"/>
        <w:autoSpaceDN w:val="0"/>
        <w:adjustRightInd w:val="0"/>
        <w:spacing w:line="229" w:lineRule="exact"/>
        <w:ind w:left="1" w:right="6441"/>
        <w:rPr>
          <w:sz w:val="23"/>
          <w:szCs w:val="23"/>
        </w:rPr>
      </w:pPr>
    </w:p>
    <w:p w:rsidR="000B78C7" w:rsidRDefault="000B78C7">
      <w:pPr>
        <w:widowControl w:val="0"/>
        <w:autoSpaceDE w:val="0"/>
        <w:autoSpaceDN w:val="0"/>
        <w:adjustRightInd w:val="0"/>
        <w:spacing w:line="230" w:lineRule="exact"/>
        <w:ind w:left="427" w:right="54"/>
      </w:pPr>
      <w:r>
        <w:rPr>
          <w:rFonts w:ascii="Arial" w:hAnsi="Arial" w:cs="Arial"/>
          <w:spacing w:val="-2"/>
          <w:sz w:val="20"/>
          <w:szCs w:val="20"/>
        </w:rPr>
        <w:t>a) imóveis localizados à</w:t>
      </w: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 xml:space="preserve"> Rua do Bucolismo</w:t>
      </w:r>
      <w:r>
        <w:rPr>
          <w:rFonts w:ascii="Arial" w:hAnsi="Arial" w:cs="Arial"/>
          <w:spacing w:val="-2"/>
          <w:sz w:val="20"/>
          <w:szCs w:val="20"/>
        </w:rPr>
        <w:t xml:space="preserve">, antiga Rua Flórida, 77, 88 (casa 1 a 32) e 92; </w:t>
      </w:r>
    </w:p>
    <w:p w:rsidR="000B78C7" w:rsidRDefault="000B78C7">
      <w:pPr>
        <w:widowControl w:val="0"/>
        <w:autoSpaceDE w:val="0"/>
        <w:autoSpaceDN w:val="0"/>
        <w:adjustRightInd w:val="0"/>
        <w:spacing w:line="230" w:lineRule="exact"/>
        <w:ind w:left="427" w:right="3317"/>
      </w:pPr>
      <w:r>
        <w:rPr>
          <w:rFonts w:ascii="Arial" w:hAnsi="Arial" w:cs="Arial"/>
          <w:spacing w:val="-3"/>
          <w:sz w:val="20"/>
          <w:szCs w:val="20"/>
        </w:rPr>
        <w:t>b) imóvel localizado à</w:t>
      </w:r>
      <w:r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 xml:space="preserve"> Rua Fernandes Silva</w:t>
      </w:r>
      <w:r>
        <w:rPr>
          <w:rFonts w:ascii="Arial" w:hAnsi="Arial" w:cs="Arial"/>
          <w:spacing w:val="-3"/>
          <w:sz w:val="20"/>
          <w:szCs w:val="20"/>
        </w:rPr>
        <w:t xml:space="preserve">, 296; </w:t>
      </w:r>
    </w:p>
    <w:p w:rsidR="000B78C7" w:rsidRDefault="000B78C7">
      <w:pPr>
        <w:widowControl w:val="0"/>
        <w:autoSpaceDE w:val="0"/>
        <w:autoSpaceDN w:val="0"/>
        <w:adjustRightInd w:val="0"/>
        <w:spacing w:line="230" w:lineRule="exact"/>
        <w:ind w:left="427" w:right="1276"/>
      </w:pPr>
      <w:r>
        <w:rPr>
          <w:rFonts w:ascii="Arial" w:hAnsi="Arial" w:cs="Arial"/>
          <w:spacing w:val="-2"/>
          <w:sz w:val="20"/>
          <w:szCs w:val="20"/>
        </w:rPr>
        <w:t>c) imóveis localizados à</w:t>
      </w: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 xml:space="preserve"> Rua Sampaio Moreira</w:t>
      </w:r>
      <w:r>
        <w:rPr>
          <w:rFonts w:ascii="Arial" w:hAnsi="Arial" w:cs="Arial"/>
          <w:spacing w:val="-2"/>
          <w:sz w:val="20"/>
          <w:szCs w:val="20"/>
        </w:rPr>
        <w:t xml:space="preserve">, 51, 63, 79, 111, 117 e 127; </w:t>
      </w:r>
    </w:p>
    <w:p w:rsidR="000B78C7" w:rsidRDefault="000B78C7">
      <w:pPr>
        <w:widowControl w:val="0"/>
        <w:autoSpaceDE w:val="0"/>
        <w:autoSpaceDN w:val="0"/>
        <w:adjustRightInd w:val="0"/>
        <w:spacing w:line="229" w:lineRule="exact"/>
        <w:ind w:left="427" w:right="1066"/>
      </w:pPr>
      <w:r>
        <w:rPr>
          <w:rFonts w:ascii="Arial" w:hAnsi="Arial" w:cs="Arial"/>
          <w:spacing w:val="-2"/>
          <w:sz w:val="20"/>
          <w:szCs w:val="20"/>
        </w:rPr>
        <w:t>d) imóveis localizados à</w:t>
      </w: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 xml:space="preserve"> Rua Monsenhor Andrade</w:t>
      </w:r>
      <w:r>
        <w:rPr>
          <w:rFonts w:ascii="Arial" w:hAnsi="Arial" w:cs="Arial"/>
          <w:spacing w:val="-2"/>
          <w:sz w:val="20"/>
          <w:szCs w:val="20"/>
        </w:rPr>
        <w:t xml:space="preserve">, 319, 331, 343, 353 e 367; </w:t>
      </w:r>
    </w:p>
    <w:p w:rsidR="000B78C7" w:rsidRDefault="000B78C7">
      <w:pPr>
        <w:widowControl w:val="0"/>
        <w:autoSpaceDE w:val="0"/>
        <w:autoSpaceDN w:val="0"/>
        <w:adjustRightInd w:val="0"/>
        <w:spacing w:line="230" w:lineRule="exact"/>
        <w:ind w:left="427" w:right="46"/>
      </w:pPr>
      <w:r>
        <w:rPr>
          <w:rFonts w:ascii="Arial" w:hAnsi="Arial" w:cs="Arial"/>
          <w:spacing w:val="-1"/>
          <w:sz w:val="20"/>
          <w:szCs w:val="20"/>
        </w:rPr>
        <w:t>e) imóveis localizados à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 xml:space="preserve"> Rua Vitoriano Lazzare</w:t>
      </w:r>
      <w:r>
        <w:rPr>
          <w:rFonts w:ascii="Arial" w:hAnsi="Arial" w:cs="Arial"/>
          <w:spacing w:val="-1"/>
          <w:sz w:val="20"/>
          <w:szCs w:val="20"/>
        </w:rPr>
        <w:t>, antiga Travessa Lameirão, casas n</w:t>
      </w:r>
      <w:r>
        <w:rPr>
          <w:rFonts w:ascii="Arial" w:hAnsi="Arial" w:cs="Arial"/>
          <w:spacing w:val="-1"/>
          <w:position w:val="5"/>
          <w:sz w:val="12"/>
          <w:szCs w:val="12"/>
        </w:rPr>
        <w:t>o</w:t>
      </w:r>
      <w:r>
        <w:rPr>
          <w:rFonts w:ascii="Arial" w:hAnsi="Arial" w:cs="Arial"/>
          <w:spacing w:val="-1"/>
          <w:sz w:val="20"/>
          <w:szCs w:val="20"/>
        </w:rPr>
        <w:t xml:space="preserve">s 1 a </w:t>
      </w:r>
    </w:p>
    <w:p w:rsidR="000B78C7" w:rsidRDefault="000B78C7">
      <w:pPr>
        <w:widowControl w:val="0"/>
        <w:autoSpaceDE w:val="0"/>
        <w:autoSpaceDN w:val="0"/>
        <w:adjustRightInd w:val="0"/>
        <w:spacing w:line="230" w:lineRule="exact"/>
        <w:ind w:left="1" w:right="6112" w:firstLine="709"/>
        <w:rPr>
          <w:rFonts w:ascii="Arial" w:hAnsi="Arial" w:cs="Arial"/>
          <w:spacing w:val="-6"/>
          <w:sz w:val="20"/>
          <w:szCs w:val="20"/>
        </w:rPr>
      </w:pPr>
      <w:r>
        <w:rPr>
          <w:rFonts w:ascii="Arial" w:hAnsi="Arial" w:cs="Arial"/>
          <w:spacing w:val="-6"/>
          <w:sz w:val="20"/>
          <w:szCs w:val="20"/>
        </w:rPr>
        <w:t xml:space="preserve">29, 31 e 33. </w:t>
      </w:r>
    </w:p>
    <w:p w:rsidR="000B78C7" w:rsidRDefault="000B78C7">
      <w:pPr>
        <w:widowControl w:val="0"/>
        <w:autoSpaceDE w:val="0"/>
        <w:autoSpaceDN w:val="0"/>
        <w:adjustRightInd w:val="0"/>
        <w:spacing w:line="230" w:lineRule="exact"/>
        <w:ind w:left="1" w:right="6112" w:firstLine="709"/>
        <w:rPr>
          <w:rFonts w:ascii="Arial" w:hAnsi="Arial" w:cs="Arial"/>
          <w:spacing w:val="-6"/>
          <w:sz w:val="20"/>
          <w:szCs w:val="20"/>
        </w:rPr>
        <w:sectPr w:rsidR="000B78C7">
          <w:pgSz w:w="11900" w:h="16840"/>
          <w:pgMar w:top="1420" w:right="1640" w:bottom="1960" w:left="1700" w:header="720" w:footer="720" w:gutter="0"/>
          <w:cols w:space="720"/>
          <w:noEndnote/>
        </w:sectPr>
      </w:pPr>
    </w:p>
    <w:p w:rsidR="000B78C7" w:rsidRDefault="000B78C7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_x0000_s1027" type="#_x0000_t75" style="position:absolute;margin-left:0;margin-top:0;width:595.2pt;height:841.9pt;z-index:-251657216;mso-position-horizontal-relative:page;mso-position-vertical-relative:page" o:allowincell="f">
            <v:imagedata r:id="rId5" o:title=""/>
            <w10:wrap anchorx="page" anchory="page"/>
          </v:shape>
        </w:pict>
      </w:r>
    </w:p>
    <w:sectPr w:rsidR="000B78C7" w:rsidSect="000B78C7">
      <w:pgSz w:w="11900" w:h="16840"/>
      <w:pgMar w:top="1440" w:right="11660" w:bottom="336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3C2"/>
    <w:rsid w:val="000B78C7"/>
    <w:rsid w:val="00214CFC"/>
    <w:rsid w:val="00A633C2"/>
    <w:rsid w:val="00C12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158</Words>
  <Characters>854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2014-02-06T19:12:00Z</dcterms:created>
  <dcterms:modified xsi:type="dcterms:W3CDTF">2014-02-06T19:12:00Z</dcterms:modified>
</cp:coreProperties>
</file>