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9E" w:rsidRDefault="00120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2099E" w:rsidRDefault="0076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ATA DA 635ª REUNIÃO ORDINÁRIA DO CONPRESP</w:t>
      </w:r>
    </w:p>
    <w:p w:rsidR="0012099E" w:rsidRDefault="0012099E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23796C" w:rsidRDefault="0076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>
        <w:rPr>
          <w:rFonts w:asciiTheme="minorHAnsi" w:hAnsiTheme="minorHAnsi" w:cs="Calibri"/>
          <w:b/>
          <w:sz w:val="22"/>
          <w:szCs w:val="22"/>
        </w:rPr>
        <w:t>06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de setembro de 2016</w:t>
      </w:r>
      <w:r>
        <w:rPr>
          <w:rFonts w:asciiTheme="minorHAnsi" w:hAnsiTheme="minorHAnsi" w:cs="Calibri"/>
          <w:sz w:val="22"/>
          <w:szCs w:val="22"/>
        </w:rPr>
        <w:t xml:space="preserve">, às 9h50, realizou sua </w:t>
      </w:r>
      <w:r>
        <w:rPr>
          <w:rFonts w:asciiTheme="minorHAnsi" w:hAnsiTheme="minorHAnsi" w:cs="Calibri"/>
          <w:b/>
          <w:bCs/>
          <w:sz w:val="22"/>
          <w:szCs w:val="22"/>
        </w:rPr>
        <w:t>635ª Reunião Ordinária</w:t>
      </w:r>
      <w:r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Nadia Somekh – Representante do Departamento do Patrimônio Histórico – Presidente; Marcelo Manhães de Almeida – Representante da Ordem dos Advogados do Brasil – Vice-Presidente; Marco Antônio Cilento Winther – Representante Suplente da Secretaria Municipal de Cultura; Adilson Amadeu – Representante da Câmara Municipal de São Paulo; José Police Neto – Representante suplente da Câmara Municipal de São Paulo; </w:t>
      </w:r>
      <w:r w:rsidR="005B1CE5">
        <w:rPr>
          <w:rFonts w:asciiTheme="minorHAnsi" w:hAnsiTheme="minorHAnsi" w:cs="Calibri"/>
          <w:sz w:val="22"/>
          <w:szCs w:val="22"/>
        </w:rPr>
        <w:t xml:space="preserve">Fábio Vicente Vetritti Filho – Representante suplente da Secretaria Municipal de Negócios Jurídicos; </w:t>
      </w:r>
      <w:r>
        <w:rPr>
          <w:rFonts w:asciiTheme="minorHAnsi" w:hAnsiTheme="minorHAnsi" w:cs="Calibri"/>
          <w:sz w:val="22"/>
          <w:szCs w:val="22"/>
        </w:rPr>
        <w:t xml:space="preserve">Sílvio Oksman – Representante suplente do Instituto dos Arquitetos do Brasil; Alfredo Vieira da Cunha – Representante suplente do Conselho Regional de Engenharia e Agronomia do Estado de São Paulo; Ronaldo Berbare Albuquerque Parente – Representante da Secretaria Municipal de Licenciamento e Penha Elizabeth Arantes Ceribelli Pacca – Representante da Secretaria Municipal de Desenvolvimento Urbano. Participaram, assistindo à reunião: Flávia Taliberti Peretto – Representante suplente da Secretaria Municipal de Desenvolvimento Urbano; Eduardo Pompeo Martins – SP Urbanismo; Hannah Arcuschin Machado – Iniciativa Bloomberg para Segurança no Trânsito; Raquel Rodrigues dos Santos – SP Trans; Andrea Viana – Diretora de Infraestrutura da SP Trans/SMT; Wolf Kos – Instituto Olga Kos; Sandro Merida – CMSP/Mandato Police Neto; Carlos Alexandre – CMSP/Mandato Police Neto; João Lucas N. Domingos – Estagiário DPH/STCT; Ana Carolina S. Moraes – Estagiária DPH/STCT; Juliana Saad de Marchi – CADES Vila Mariana/ Agenda 2030 Vila Mariana; Fábio Dutra Peres – SMC – AJ; Carlos Hoty – CMSP/ Mandato Adilson Amadeu; Ismael de Carvalho – Dexter Assessoria;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Ilan Szklo – Chefe da Seção de Projetos, Restauro e Conservação; Walter Pires – DPH/ Divisão de Preservação; Ana Winther – DPH/ Divisão de Preservação; Lucas de Moraes Coelho – Assistente do CONPRESP e </w:t>
      </w:r>
      <w:r>
        <w:rPr>
          <w:rFonts w:asciiTheme="minorHAnsi" w:hAnsiTheme="minorHAnsi" w:cs="Calibri"/>
          <w:sz w:val="22"/>
          <w:szCs w:val="22"/>
        </w:rPr>
        <w:t>Danielle Cristina Dias de Santana Braga – Secretária Executiva CONPRESP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 Foi dado início à pauta. </w:t>
      </w:r>
      <w:r>
        <w:rPr>
          <w:rFonts w:asciiTheme="minorHAnsi" w:hAnsiTheme="minorHAnsi" w:cs="Calibri"/>
          <w:b/>
          <w:bCs/>
          <w:sz w:val="22"/>
          <w:szCs w:val="22"/>
        </w:rPr>
        <w:t>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. Leitura, discussão e aprovação da Ata da 634ª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2. Comunicações / Informes da Presidência e dos Conselheiros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>
        <w:rPr>
          <w:rFonts w:asciiTheme="minorHAnsi" w:hAnsiTheme="minorHAnsi" w:cs="Calibri"/>
          <w:b/>
          <w:sz w:val="22"/>
          <w:szCs w:val="22"/>
        </w:rPr>
        <w:t>2.1.</w:t>
      </w:r>
      <w:r>
        <w:rPr>
          <w:rFonts w:asciiTheme="minorHAnsi" w:hAnsiTheme="minorHAnsi" w:cs="Calibri"/>
          <w:sz w:val="22"/>
          <w:szCs w:val="22"/>
        </w:rPr>
        <w:t xml:space="preserve"> Faz um balanço da segunda Jornada do Patrimônio e da Semana do Patrimônio. Ressalta que essas ações são importantes para dar visibilidade para o tema e que o DPH e CONPRESP tem recebido elogios pelas ações de divulgação e valorização do patrimônio cultural da cidade. Informa que durante a Jornada, em conjunto com a Secretária de Cultural, Rosário Ramalho, entregou o Selo de Valor Cultural para a Padaria italianinha, Panificadora 14 de Julho, Padaria Santa Tereza,  Restaurante Carlino e edifícios APRACS e Hortênsias. </w:t>
      </w:r>
      <w:r>
        <w:rPr>
          <w:rFonts w:asciiTheme="minorHAnsi" w:hAnsiTheme="minorHAnsi" w:cs="Calibri"/>
          <w:b/>
          <w:sz w:val="22"/>
          <w:szCs w:val="22"/>
        </w:rPr>
        <w:t xml:space="preserve">2.2. </w:t>
      </w:r>
      <w:r>
        <w:rPr>
          <w:rFonts w:asciiTheme="minorHAnsi" w:hAnsiTheme="minorHAnsi" w:cs="Calibri"/>
          <w:sz w:val="22"/>
          <w:szCs w:val="22"/>
        </w:rPr>
        <w:t xml:space="preserve">Informa que a iniciativa do Selo de Valor Cultural foi muito bem recebida pelo Escritório Técnico de Gestão Compartilhada. Os órgãos de preservação estadual e federal vislumbraram no instrumento uma possível solução para diversos casos em que existe a intenção de se preservar e valorizar a memória, mas que não necessariamente são passíveis de tombamento. Para a presidente a discussão foi frutífera. </w:t>
      </w:r>
      <w:r>
        <w:rPr>
          <w:rFonts w:asciiTheme="minorHAnsi" w:hAnsiTheme="minorHAnsi" w:cs="Calibri"/>
          <w:b/>
          <w:sz w:val="22"/>
          <w:szCs w:val="22"/>
        </w:rPr>
        <w:t xml:space="preserve">2.3. </w:t>
      </w:r>
      <w:r>
        <w:rPr>
          <w:rFonts w:asciiTheme="minorHAnsi" w:hAnsiTheme="minorHAnsi" w:cs="Calibri"/>
          <w:sz w:val="22"/>
          <w:szCs w:val="22"/>
        </w:rPr>
        <w:lastRenderedPageBreak/>
        <w:t xml:space="preserve">Informa o início das obras de restauro do painel de bronze do Monumento à Independência com recursos do FUNCAP. Propõe que o Conselho faça uma visita às obras para conhecer o processo de restauro. Informa ainda que a contratação do restauro dos Arcos da Rua Jandaia está em fase final para homologação e após esse procedimento dará início à contratação efetiva. </w:t>
      </w:r>
      <w:r>
        <w:rPr>
          <w:rFonts w:asciiTheme="minorHAnsi" w:hAnsiTheme="minorHAnsi" w:cs="Calibri"/>
          <w:b/>
          <w:sz w:val="22"/>
          <w:szCs w:val="22"/>
        </w:rPr>
        <w:t xml:space="preserve">2.4. </w:t>
      </w:r>
      <w:r>
        <w:rPr>
          <w:rFonts w:asciiTheme="minorHAnsi" w:hAnsiTheme="minorHAnsi" w:cs="Calibri"/>
          <w:sz w:val="22"/>
          <w:szCs w:val="22"/>
        </w:rPr>
        <w:t xml:space="preserve">Os conselheiros discutem o término do presente mandato que se encerra em novembro. A Presidente </w:t>
      </w:r>
      <w:r w:rsidR="0017623C">
        <w:rPr>
          <w:rFonts w:asciiTheme="minorHAnsi" w:hAnsiTheme="minorHAnsi" w:cs="Calibri"/>
          <w:sz w:val="22"/>
          <w:szCs w:val="22"/>
        </w:rPr>
        <w:t>solicita aos Conselheiros,</w:t>
      </w:r>
      <w:r>
        <w:rPr>
          <w:rFonts w:asciiTheme="minorHAnsi" w:hAnsiTheme="minorHAnsi" w:cs="Calibri"/>
          <w:sz w:val="22"/>
          <w:szCs w:val="22"/>
        </w:rPr>
        <w:t xml:space="preserve"> que a reunião agendada para o dia 8 de novembro seja transferida para o dia 11, ultimo dia do presente mandato, em razão de suia viagem à Bélgica para participar de uma banca de doutorado. Os conselheiros acolhem o pedido e ressaltam a necessidade de esgotar a pauta no dia 11 para não prejudicar os munícipes. </w:t>
      </w:r>
      <w:r>
        <w:rPr>
          <w:rFonts w:asciiTheme="minorHAnsi" w:hAnsiTheme="minorHAnsi" w:cs="Calibri"/>
          <w:b/>
          <w:sz w:val="22"/>
          <w:szCs w:val="22"/>
        </w:rPr>
        <w:t xml:space="preserve">2.5. </w:t>
      </w:r>
      <w:r>
        <w:rPr>
          <w:rFonts w:asciiTheme="minorHAnsi" w:hAnsiTheme="minorHAnsi" w:cs="Calibri"/>
          <w:sz w:val="22"/>
          <w:szCs w:val="22"/>
        </w:rPr>
        <w:t xml:space="preserve">O Conselheiro suplente de SNJ, Fábio Vetritti, fala da reorganização da Secretária de Negócios Jurídicos e esclarece que por questões ligadas à reestruturação o Conselheiro Eduardo Mikalaukas não pôde comparecer nas últimas reuniões. Informa que </w:t>
      </w:r>
      <w:r w:rsidR="0017623C">
        <w:rPr>
          <w:rFonts w:asciiTheme="minorHAnsi" w:hAnsiTheme="minorHAnsi" w:cs="Calibri"/>
          <w:sz w:val="22"/>
          <w:szCs w:val="22"/>
        </w:rPr>
        <w:t>o Conselheiro Mikalaukas não irá</w:t>
      </w:r>
      <w:r>
        <w:rPr>
          <w:rFonts w:asciiTheme="minorHAnsi" w:hAnsiTheme="minorHAnsi" w:cs="Calibri"/>
          <w:sz w:val="22"/>
          <w:szCs w:val="22"/>
        </w:rPr>
        <w:t xml:space="preserve"> integrar o conselho em sua próxima formação. Os Conselheiros Adilson Amadeu e Police Neto informam que a nova indicação de composição do CONPRESP deverá ser feita pela nova composição da Câmara após as eleições municipais</w:t>
      </w:r>
      <w:r w:rsidR="0017623C">
        <w:rPr>
          <w:rFonts w:asciiTheme="minorHAnsi" w:hAnsiTheme="minorHAnsi" w:cs="Calibri"/>
          <w:sz w:val="22"/>
          <w:szCs w:val="22"/>
        </w:rPr>
        <w:t xml:space="preserve"> no ano de 2017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sz w:val="22"/>
          <w:szCs w:val="22"/>
        </w:rPr>
        <w:t>2.6.</w:t>
      </w:r>
      <w:r>
        <w:rPr>
          <w:rFonts w:asciiTheme="minorHAnsi" w:hAnsiTheme="minorHAnsi" w:cs="Calibri"/>
          <w:sz w:val="22"/>
          <w:szCs w:val="22"/>
        </w:rPr>
        <w:t xml:space="preserve"> O Conselheiro Police Neto fala sobre a entrega do Selo de Valor Cultural para os edifícios APRACS e Hortênsias. Para ele, quando a sociedade se envolve no processo de tombamento o ato torna-se uma comemoração. Ao longo do tempo o tombamento foi tratado de forma isolada, mas a passagem desse conselho nesse período mostra que quanto mais a sociedade se envolve no processo, mais ela reconhece o que de fato é o seu patrimônio. Os moradores do APRACS e Hortênsias continuam buscando o tombamento por acreditarem que ele seja algo mais importante. Mas fica claro na entrega do selo que o reconhecimento do patrimônio é algo que a sociedade tem buscado. O Conselheiro acredita que o Selo de Valor Cultural seja um instrumento poderoso para reduzir tensões nas questões de tombamento. Para ele se abre a oportunidade de um novo modelo de diálogo e de reconhecimento do patrimônio cultural sem aqueles processos mais longínquos e que levam anos e muita disputa. Encerra informando que a festa que o APRACS fez não foi pequena. </w:t>
      </w:r>
      <w:r>
        <w:rPr>
          <w:rFonts w:asciiTheme="minorHAnsi" w:hAnsiTheme="minorHAnsi" w:cs="Calibri"/>
          <w:b/>
          <w:sz w:val="22"/>
          <w:szCs w:val="22"/>
        </w:rPr>
        <w:t xml:space="preserve">2.7. </w:t>
      </w:r>
      <w:r>
        <w:rPr>
          <w:rFonts w:asciiTheme="minorHAnsi" w:hAnsiTheme="minorHAnsi" w:cs="Calibri"/>
          <w:sz w:val="22"/>
          <w:szCs w:val="22"/>
        </w:rPr>
        <w:t xml:space="preserve">O Conselheiro Police fala ainda da festa da Associação de Moradores de Vila Nova Conceição em razão do tombamento da Escola Martim Francisco.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3. Leitura, discussão e decisão dos seguintes processos e expedientes: </w:t>
      </w:r>
      <w:r>
        <w:rPr>
          <w:rFonts w:asciiTheme="minorHAnsi" w:hAnsiTheme="minorHAnsi" w:cs="Calibri"/>
          <w:bCs/>
          <w:sz w:val="22"/>
          <w:szCs w:val="22"/>
        </w:rPr>
        <w:t>A Presidente solicita inclusão de três assuntos extra-pauta de interesse da administração: 1)</w:t>
      </w:r>
      <w:r>
        <w:rPr>
          <w:rFonts w:asciiTheme="minorHAnsi" w:hAnsiTheme="minorHAnsi" w:cs="Calibri"/>
          <w:sz w:val="22"/>
          <w:szCs w:val="22"/>
        </w:rPr>
        <w:t xml:space="preserve"> TID: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15523201: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São Paulo Urbanismo – Projeto de Implantação de Mobiliário Urbano – </w:t>
      </w:r>
      <w:r>
        <w:rPr>
          <w:rFonts w:asciiTheme="minorHAnsi" w:hAnsiTheme="minorHAnsi"/>
          <w:sz w:val="22"/>
          <w:szCs w:val="22"/>
        </w:rPr>
        <w:t xml:space="preserve">Escadaria do Bixiga e Rua dos Ingleses. Os interessados adotaram as sugestões propostas em última reunião e apresentam novo projeto contemplando a intervenção na Rua dos Ingleses e Treze de Maio com a recuperação dos taludes da escadaria. </w:t>
      </w:r>
      <w:r>
        <w:rPr>
          <w:rFonts w:asciiTheme="minorHAnsi" w:hAnsiTheme="minorHAnsi"/>
          <w:b/>
          <w:i/>
          <w:sz w:val="22"/>
          <w:szCs w:val="22"/>
        </w:rPr>
        <w:t>Relato:</w:t>
      </w:r>
      <w:r>
        <w:rPr>
          <w:rFonts w:asciiTheme="minorHAnsi" w:hAnsiTheme="minorHAnsi"/>
          <w:i/>
          <w:sz w:val="22"/>
          <w:szCs w:val="22"/>
        </w:rPr>
        <w:t xml:space="preserve"> Trata-se de solicitação da Sp Urbanismo para implantação do projeto “Escadaria do Bixiga e Rua dos Ingleses” do programa Centro Aberto. O projeto completo anteriormente apresentado, que foi indeferido pelo CONPRESP em função da descaracterização da escadaria do Bixiga, contemplava 3 locais: 1- a Rua dos Ingleses, onde será removido o estacionamento para a área de implantação de área de fruição pedestrianizada, com jardineiras, brinquedos infantis, cadeiras, ombrelones e contêiner de apoio; 2- a Rua Treze de Maio, implantando soluções de “traffic calming” nas bordas da Praça, mediante o estreitamento da calha viária; 3- na Escadaria do Bixiga, </w:t>
      </w:r>
      <w:r>
        <w:rPr>
          <w:rFonts w:asciiTheme="minorHAnsi" w:hAnsiTheme="minorHAnsi"/>
          <w:i/>
          <w:sz w:val="22"/>
          <w:szCs w:val="22"/>
        </w:rPr>
        <w:lastRenderedPageBreak/>
        <w:t xml:space="preserve">recobrindo aproximadamente 80% do talude de gramado para a instalação de deques de madeira e escadarias com chapa de aço dobrada. Para colocação de brinquedos e área de estar. Neste novo expediente, é apresentado o projeto dos itens 1 e 2, excluindo o item 3, referente à escadaria. No TID 15476360, que acompanha o presente, há análise técnica do DPH, que é favorável à essas duas intervenções, com a sugestão de consulta aos órgãos de trânsito e ao Hospital Infantil Menino Jesus, quanto à possíveis prejuízos operacionais. Assim sendo, corroboramos com a manifestação técnica do DPH, e encaminhamos para deliberação CONPRESP. </w:t>
      </w:r>
      <w:r>
        <w:rPr>
          <w:rFonts w:asciiTheme="minorHAnsi" w:hAnsiTheme="minorHAnsi"/>
          <w:sz w:val="22"/>
          <w:szCs w:val="22"/>
        </w:rPr>
        <w:t xml:space="preserve">Os Conselheiros discutem a proposta e julgam a presente versão, muito mais adequada do ponto de vista da preservação. Sugerem que seja incluída uma diretriz para recuperação do talude de gramado. É dado início à votação. Por maioria de votos dos Conselheiros presentes, com abstenção de voto dos Conselheiros representantes do IAB e SNJ, </w:t>
      </w:r>
      <w:r>
        <w:rPr>
          <w:rFonts w:asciiTheme="minorHAnsi" w:hAnsiTheme="minorHAnsi" w:cs="Calibri"/>
          <w:sz w:val="22"/>
          <w:szCs w:val="22"/>
        </w:rPr>
        <w:t xml:space="preserve">o projeto </w:t>
      </w:r>
      <w:r>
        <w:rPr>
          <w:rFonts w:asciiTheme="minorHAnsi" w:hAnsiTheme="minorHAnsi" w:cs="Calibri"/>
          <w:color w:val="000000"/>
          <w:sz w:val="22"/>
          <w:szCs w:val="22"/>
        </w:rPr>
        <w:t>foi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DEFERIDO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b/>
          <w:i/>
          <w:sz w:val="22"/>
          <w:szCs w:val="22"/>
        </w:rPr>
        <w:t xml:space="preserve">Os interessados deverão remover o deck e reconstituir os taludes da escadaria do Bixiga, como estavam no início da intervenção. - </w:t>
      </w:r>
      <w:r>
        <w:rPr>
          <w:rFonts w:asciiTheme="minorHAnsi" w:hAnsiTheme="minorHAnsi" w:cs="Calibri"/>
          <w:bCs/>
          <w:sz w:val="22"/>
          <w:szCs w:val="22"/>
        </w:rPr>
        <w:t>2)</w:t>
      </w:r>
      <w:r>
        <w:rPr>
          <w:rFonts w:asciiTheme="minorHAnsi" w:hAnsiTheme="minorHAnsi" w:cs="Calibri"/>
          <w:sz w:val="22"/>
          <w:szCs w:val="22"/>
        </w:rPr>
        <w:t xml:space="preserve"> PROCESSO: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2016-0.192.986-9: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Secretaria Municipal de Transportes – Requalificação urbana e Segurança Viária de São Miguel Paulista. Relator: Marco Winther. A arquiteta </w:t>
      </w:r>
      <w:r>
        <w:rPr>
          <w:rFonts w:asciiTheme="minorHAnsi" w:hAnsiTheme="minorHAnsi" w:cs="Calibri"/>
          <w:sz w:val="22"/>
          <w:szCs w:val="22"/>
        </w:rPr>
        <w:t xml:space="preserve">Hannah Arcuschin Machado da Iniciativa Bloomberg para Segurança no Trânsito apresenta proposta de intervenção em perímetro estabelecido como “Área 40” em São Miguel Paulista. Os Conselheiros apoiam a proposta. </w:t>
      </w:r>
      <w:r>
        <w:rPr>
          <w:rFonts w:asciiTheme="minorHAnsi" w:hAnsiTheme="minorHAnsi" w:cs="Calibri"/>
          <w:b/>
          <w:i/>
          <w:sz w:val="22"/>
          <w:szCs w:val="22"/>
        </w:rPr>
        <w:t xml:space="preserve">Relato: </w:t>
      </w:r>
      <w:r>
        <w:rPr>
          <w:rFonts w:asciiTheme="minorHAnsi" w:hAnsiTheme="minorHAnsi" w:cs="Calibri"/>
          <w:i/>
          <w:sz w:val="22"/>
          <w:szCs w:val="22"/>
        </w:rPr>
        <w:t>Trata-se de solicitação da Secretaria Municipal de Transportes para requalificação urbana e segurança viária de São Miguel. Conforme a análise técnica, as intervenções limitam-se às calçadas, sem a descaracterização da ambiência proposta no tombamento. Assim sendo, corroboramos com a manifestação técnica favorável, e com a diretriz de manter o testemunho do limite do calçamento hoje existente, e encaminhamos para o CONPRESP para deliberação.</w:t>
      </w:r>
      <w:r>
        <w:rPr>
          <w:rFonts w:asciiTheme="minorHAnsi" w:hAnsiTheme="minorHAnsi" w:cs="Calibri"/>
          <w:sz w:val="22"/>
          <w:szCs w:val="22"/>
        </w:rPr>
        <w:t xml:space="preserve">  É dado início à votação. </w:t>
      </w:r>
      <w:r>
        <w:rPr>
          <w:rFonts w:asciiTheme="minorHAnsi" w:hAnsiTheme="minorHAnsi"/>
          <w:sz w:val="22"/>
          <w:szCs w:val="22"/>
        </w:rPr>
        <w:t xml:space="preserve">Por maioria de votos dos Conselheiros presentes, com abstenção de voto do Conselheiro representantes de SNJ, </w:t>
      </w:r>
      <w:r>
        <w:rPr>
          <w:rFonts w:asciiTheme="minorHAnsi" w:hAnsiTheme="minorHAnsi" w:cs="Calibri"/>
          <w:sz w:val="22"/>
          <w:szCs w:val="22"/>
        </w:rPr>
        <w:t xml:space="preserve">o projeto </w:t>
      </w:r>
      <w:r>
        <w:rPr>
          <w:rFonts w:asciiTheme="minorHAnsi" w:hAnsiTheme="minorHAnsi" w:cs="Calibri"/>
          <w:color w:val="000000"/>
          <w:sz w:val="22"/>
          <w:szCs w:val="22"/>
        </w:rPr>
        <w:t>foi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DEFERIDO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COM DIRETRIZ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, a saber: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>1)</w:t>
      </w:r>
      <w:r>
        <w:rPr>
          <w:i/>
        </w:rPr>
        <w:t xml:space="preserve">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Manter as referências das guias atuais dos calçamentos. - </w:t>
      </w:r>
      <w:r>
        <w:rPr>
          <w:rFonts w:asciiTheme="minorHAnsi" w:hAnsiTheme="minorHAnsi" w:cs="Calibri"/>
          <w:bCs/>
          <w:sz w:val="22"/>
          <w:szCs w:val="22"/>
        </w:rPr>
        <w:t>2)</w:t>
      </w:r>
      <w:r>
        <w:rPr>
          <w:rFonts w:asciiTheme="minorHAnsi" w:hAnsiTheme="minorHAnsi" w:cs="Calibri"/>
          <w:sz w:val="22"/>
          <w:szCs w:val="22"/>
        </w:rPr>
        <w:t xml:space="preserve"> OFÍCIO: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109/16-SMT.ADJ.GAB: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Secretaria Municipal de Transportes – Requalificação Alteração do posicionamento do gradil do Parque da Independência para implantação de ciclovia – Avenida Nazaré. Relator: Marco Winther.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Relato: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Trata-se de projeto encaminhado pela SM Transportes, para implantação de ciclovia na Avenida Nazaré, na lateral do Parque da Independência, através da alteração do posicionamento do gradil do Parque. Conforme análise técnica à folha retro, a área de projeto utiliza canteiro da Avenida para a execução de calçada e ciclovia, mantendo as árvores existentes, e sem alteração da calçada do Parque, não trazendo prejuízo ao bem tombado. Considerando também que a SVMA já aprovou a proposta; que não haverá alteração do leito carroçável; e que o projeto faz parte do Plano de Mobilidade do Município de São Paulo, em consonância com a Política Nacional de Mobilidade Urbana, encaminhamos com manifestação favorável para a deliberação do CONPRESP. </w:t>
      </w:r>
      <w:r>
        <w:rPr>
          <w:rFonts w:asciiTheme="minorHAnsi" w:hAnsiTheme="minorHAnsi" w:cs="Calibri"/>
          <w:sz w:val="22"/>
          <w:szCs w:val="22"/>
        </w:rPr>
        <w:t xml:space="preserve">É dado início à votação. </w:t>
      </w:r>
      <w:r>
        <w:rPr>
          <w:rFonts w:asciiTheme="minorHAnsi" w:hAnsiTheme="minorHAnsi"/>
          <w:sz w:val="22"/>
          <w:szCs w:val="22"/>
        </w:rPr>
        <w:t xml:space="preserve">Por maioria de votos dos Conselheiros presentes, com abstenção de voto dos Conselheiros representantes de SNJ e OAB, </w:t>
      </w:r>
      <w:r>
        <w:rPr>
          <w:rFonts w:asciiTheme="minorHAnsi" w:hAnsiTheme="minorHAnsi" w:cs="Calibri"/>
          <w:sz w:val="22"/>
          <w:szCs w:val="22"/>
        </w:rPr>
        <w:t>o projeto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foi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DEFERIDO</w:t>
      </w:r>
      <w:r>
        <w:rPr>
          <w:rFonts w:asciiTheme="minorHAnsi" w:hAnsiTheme="minorHAnsi" w:cs="Calibri"/>
          <w:color w:val="000000"/>
          <w:sz w:val="22"/>
          <w:szCs w:val="22"/>
        </w:rPr>
        <w:t>. A pauta é retomada.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3.1. </w:t>
      </w:r>
      <w:r>
        <w:rPr>
          <w:rFonts w:asciiTheme="minorHAnsi" w:hAnsiTheme="minorHAnsi" w:cs="Calibri"/>
          <w:sz w:val="22"/>
          <w:szCs w:val="22"/>
          <w:u w:val="single"/>
        </w:rPr>
        <w:t>Processos pautados em Reuniões Anteriores, Pendentes de Deliberação Relativos a Tombamentos:</w:t>
      </w:r>
      <w:r>
        <w:rPr>
          <w:rFonts w:asciiTheme="minorHAnsi" w:hAnsiTheme="minorHAnsi" w:cs="Calibri"/>
          <w:sz w:val="22"/>
          <w:szCs w:val="22"/>
        </w:rPr>
        <w:t xml:space="preserve"> PROCESSO: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2012-0.357.308-8: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Departamento do Patrimônio Histórico – Tombamento da Vila Andrea Raucci – </w:t>
      </w:r>
      <w:r>
        <w:rPr>
          <w:rFonts w:asciiTheme="minorHAnsi" w:hAnsiTheme="minorHAnsi"/>
          <w:sz w:val="22"/>
          <w:szCs w:val="22"/>
        </w:rPr>
        <w:t>Rua Valentim Magalhães, 13 a 55 e Rua Cuiabá.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Relator: </w:t>
      </w:r>
      <w:r>
        <w:rPr>
          <w:rFonts w:asciiTheme="minorHAnsi" w:hAnsiTheme="minorHAnsi" w:cs="Calibri"/>
          <w:sz w:val="22"/>
          <w:szCs w:val="22"/>
        </w:rPr>
        <w:t xml:space="preserve">Ronaldo Parente. O arquiteto Nelson da Seção de Crítica e Tombamento do DPH apresenta proposta de tombamento. Os conselheiros discutem a necessidade de adequação da área envoltória da Vila.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Em razão do pedido de vistas efetuado pelo Conselheiro de OAB,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color w:val="000000"/>
          <w:sz w:val="22"/>
          <w:szCs w:val="22"/>
        </w:rPr>
        <w:t>- 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2009-0.366.732-7: </w:t>
      </w:r>
      <w:r>
        <w:rPr>
          <w:rFonts w:asciiTheme="minorHAnsi" w:hAnsiTheme="minorHAnsi" w:cs="Calibri"/>
          <w:sz w:val="22"/>
          <w:szCs w:val="22"/>
        </w:rPr>
        <w:t xml:space="preserve">Câmara Municipal de São Paulo – Contestação da APT do imóvel que abriga a Cruz Vermelha – Av. Guimarães, 699 – Moema. Relato: Alfredo Vieira. </w:t>
      </w:r>
      <w:r>
        <w:rPr>
          <w:rFonts w:asciiTheme="minorHAnsi" w:hAnsiTheme="minorHAnsi" w:cs="Calibri"/>
          <w:b/>
          <w:i/>
          <w:sz w:val="22"/>
          <w:szCs w:val="22"/>
        </w:rPr>
        <w:t xml:space="preserve">Relato: </w:t>
      </w:r>
      <w:r>
        <w:rPr>
          <w:rFonts w:asciiTheme="minorHAnsi" w:hAnsiTheme="minorHAnsi" w:cs="Calibri"/>
          <w:i/>
          <w:sz w:val="22"/>
          <w:szCs w:val="22"/>
        </w:rPr>
        <w:t xml:space="preserve">Considerando que existe um pedido formal de abertura de processo de tombamento; considerando a existência da resolução 22/CONPRESP/2015, a qual versa sobre a Abertura de Processo de Tombamento dos Imóveis Propostos como Zonas Especiais de Preservação Cultural (ZEPEC); Considerando que o imóvel objeto do presente processo está incluído no rol dos imóveis contantes da citada resolução; Considerando que não estão assinados, nem o Parecer técnico, nem o documento de responsabilidade técnica pela elaboração do parecer, qual seja, o Registro de Responsabilidade Técnica – RRT, que no presente caso é retificadora de outra RRT; Considerando o contido na análise jurídica do M.D. Procurador do Município, somos de Parecer favorável ao prosseguimento do feito na forma jurídica proposta, conforme fls. 187, no que tange à devolução do processo ao CONPRESP para que seja indeferido liminarmente o pedido implícito de declaração de invalidade do tombamento provisório de fls. 63/74, acompanhado de documentos de fls. 75/181, posto que o pedido tem a natureza jurídica de recurso à abertura de tombamento, e não há previsão legal de recurso neste momento do processo especial de tombamento da Lei Municipal nº 10.032 de 1985, com destaque para a necessidade formal de notificação ao proprietário do imóvel, juntando-se a certidão imobiliária, antes de eventual decisão do tombamento definitivo. </w:t>
      </w:r>
      <w:r>
        <w:rPr>
          <w:rFonts w:asciiTheme="minorHAnsi" w:hAnsiTheme="minorHAnsi" w:cs="Calibri"/>
          <w:sz w:val="22"/>
          <w:szCs w:val="22"/>
        </w:rPr>
        <w:t xml:space="preserve">Os Conselheiros discutem o rito processual. O Conselheiro Marco Winther informa que os estudos de tombamento definitivo já foram finalizados e propõe que o processo seja deliberado em próxima reunião. É dado início à votação. </w:t>
      </w:r>
      <w:r>
        <w:rPr>
          <w:rFonts w:asciiTheme="minorHAnsi" w:hAnsiTheme="minorHAnsi"/>
          <w:sz w:val="22"/>
          <w:szCs w:val="22"/>
        </w:rPr>
        <w:t xml:space="preserve">Por unanimidade de votos dos Conselheiros presentes, </w:t>
      </w:r>
      <w:r>
        <w:rPr>
          <w:rFonts w:asciiTheme="minorHAnsi" w:hAnsiTheme="minorHAnsi" w:cs="Calibri"/>
          <w:sz w:val="22"/>
          <w:szCs w:val="22"/>
        </w:rPr>
        <w:t>o pedido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foi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INDEFERIDO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635ª Reunião Ordinária. Relativos à Tombamentos:</w:t>
      </w:r>
      <w:r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2016-0.011.118-8: </w:t>
      </w:r>
      <w:r>
        <w:rPr>
          <w:rFonts w:asciiTheme="minorHAnsi" w:hAnsiTheme="minorHAnsi" w:cs="Calibri"/>
          <w:sz w:val="22"/>
          <w:szCs w:val="22"/>
        </w:rPr>
        <w:t>Departamento do Patrimônio Histórico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Z8-200/ Exclusão de imóveis sem interesse para tombamento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>
        <w:rPr>
          <w:rFonts w:asciiTheme="minorHAnsi" w:hAnsiTheme="minorHAnsi" w:cs="Calibri"/>
          <w:sz w:val="22"/>
          <w:szCs w:val="22"/>
        </w:rPr>
        <w:t xml:space="preserve">Penha Pacca. </w:t>
      </w:r>
      <w:r>
        <w:rPr>
          <w:rFonts w:asciiTheme="minorHAnsi" w:hAnsiTheme="minorHAnsi" w:cs="Calibri"/>
          <w:b/>
          <w:i/>
          <w:sz w:val="22"/>
          <w:szCs w:val="22"/>
        </w:rPr>
        <w:t>Relato:</w:t>
      </w:r>
      <w:r>
        <w:rPr>
          <w:rFonts w:asciiTheme="minorHAnsi" w:hAnsiTheme="minorHAnsi" w:cs="Calibri"/>
          <w:i/>
          <w:sz w:val="22"/>
          <w:szCs w:val="22"/>
        </w:rPr>
        <w:t xml:space="preserve">Trata-se de aprovação da Resolução de exclusão de tombamento dos imóveis enquadrados como Z8-200 (lei 8.328/75) e protegidos pelo CONPRESP através da Resolução 44/1992, de abertura de processo de tombamento. A minuta de resolução a ser aprovada trata-se dos imóveis z8-200 que foram demolidos ou descaracterizados. No processo nº 1992-0.009.298-5 foram contemplados os imóveis para tombamento. Lembramos que a aprovação da resolução de exclusão não os exclui de não cumprirem com o artigo 68 da lei 16.050/14 – PDE e do artigo 26 da lei nº 16.402/16 e demais sanções previstas em legislação específica. Assim sendo, somos favoráveis a presente resolução com a seguinte diretriz: A presente Resolução de exclusão não os exclui de não cumprirem com o artigo 68 da lei 16.050/2014 – PDE e do artigo 28 da Lei nº 16.402/2016 e demais sanções previstas em legislação específica, para os imóveis isolados. </w:t>
      </w:r>
      <w:r>
        <w:rPr>
          <w:rFonts w:asciiTheme="minorHAnsi" w:hAnsiTheme="minorHAnsi" w:cs="Calibri"/>
          <w:sz w:val="22"/>
          <w:szCs w:val="22"/>
        </w:rPr>
        <w:t xml:space="preserve">É dado início à votação. Por unanimidade de votos dos Conselheiros presentes, a proposta de exclusão de imóveis sem interesse para preservação foi </w:t>
      </w:r>
      <w:r>
        <w:rPr>
          <w:rFonts w:asciiTheme="minorHAnsi" w:hAnsiTheme="minorHAnsi" w:cs="Calibri"/>
          <w:b/>
          <w:bCs/>
          <w:sz w:val="22"/>
          <w:szCs w:val="22"/>
        </w:rPr>
        <w:t>DEFERIDA</w:t>
      </w:r>
      <w:r>
        <w:rPr>
          <w:rFonts w:asciiTheme="minorHAnsi" w:hAnsiTheme="minorHAnsi" w:cs="Calibri"/>
          <w:sz w:val="22"/>
          <w:szCs w:val="22"/>
        </w:rPr>
        <w:t xml:space="preserve">, gerando a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RESOLUÇÃO 21/CONPRESP/16. 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1992-0.009.298-5: </w:t>
      </w:r>
      <w:r>
        <w:rPr>
          <w:rFonts w:asciiTheme="minorHAnsi" w:hAnsiTheme="minorHAnsi" w:cs="Calibri"/>
          <w:sz w:val="22"/>
          <w:szCs w:val="22"/>
        </w:rPr>
        <w:t>Departamento do Patrimônio Histórico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Z8-200/ tombamento dos imóveis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Relator: </w:t>
      </w:r>
      <w:r>
        <w:rPr>
          <w:rFonts w:asciiTheme="minorHAnsi" w:hAnsiTheme="minorHAnsi" w:cs="Calibri"/>
          <w:sz w:val="22"/>
          <w:szCs w:val="22"/>
        </w:rPr>
        <w:t xml:space="preserve">Penha Pacca. </w:t>
      </w:r>
      <w:r>
        <w:rPr>
          <w:rFonts w:asciiTheme="minorHAnsi" w:hAnsiTheme="minorHAnsi" w:cs="Calibri"/>
          <w:b/>
          <w:i/>
          <w:sz w:val="22"/>
          <w:szCs w:val="22"/>
        </w:rPr>
        <w:t xml:space="preserve">Relato: </w:t>
      </w:r>
      <w:r>
        <w:rPr>
          <w:rFonts w:asciiTheme="minorHAnsi" w:hAnsiTheme="minorHAnsi" w:cs="Calibri"/>
          <w:i/>
          <w:sz w:val="22"/>
          <w:szCs w:val="22"/>
        </w:rPr>
        <w:t xml:space="preserve">trata-se de aprovação da Resolução de tombamento dos imóveis enquadrados como z8-200 (lei 8.328/75) e protegidos pelo CONPRESP através da Resolução 44/1992, de abertura de processo de tombamento. Em reunião entre os técnicos do DPH e Conselheiras responsáveis pelo presente processo foram decididas as alterações pleiteadas. Ressaltamos que os imóveis z8-200 que foram demolidos ou descaracterizados foram excluídos da presente resolução e serão objetos de outro processo nº 2016-0.011.118-8. A presente resolução não contempla os imóveis já protegidos por outras resoluções, nem aqueles que serão encaminhados para tombamento ex-ofício. Considerando que a presente resolução está de acordo com os estudos técnicos do DPH/SMC, encaminhamos o presente para apreciação e deliberação do CONPRESP. </w:t>
      </w:r>
      <w:r>
        <w:rPr>
          <w:rFonts w:asciiTheme="minorHAnsi" w:hAnsiTheme="minorHAnsi" w:cs="Calibri"/>
          <w:sz w:val="22"/>
          <w:szCs w:val="22"/>
        </w:rPr>
        <w:t xml:space="preserve">É dado início à votação. Por unanimidade de votos dos Conselheiros presentes, a proposta de tombamento dos imóveis listados na Z8-200 foi </w:t>
      </w:r>
      <w:r>
        <w:rPr>
          <w:rFonts w:asciiTheme="minorHAnsi" w:hAnsiTheme="minorHAnsi" w:cs="Calibri"/>
          <w:b/>
          <w:bCs/>
          <w:sz w:val="22"/>
          <w:szCs w:val="22"/>
        </w:rPr>
        <w:t>DEFERIDA</w:t>
      </w:r>
      <w:r>
        <w:rPr>
          <w:rFonts w:asciiTheme="minorHAnsi" w:hAnsiTheme="minorHAnsi" w:cs="Calibri"/>
          <w:sz w:val="22"/>
          <w:szCs w:val="22"/>
        </w:rPr>
        <w:t xml:space="preserve">, gerando a </w:t>
      </w:r>
      <w:r>
        <w:rPr>
          <w:rFonts w:asciiTheme="minorHAnsi" w:hAnsiTheme="minorHAnsi" w:cs="Calibri"/>
          <w:b/>
          <w:bCs/>
          <w:sz w:val="22"/>
          <w:szCs w:val="22"/>
        </w:rPr>
        <w:t>RESOLUÇÃO 22/CONPRESP/16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3.3. </w:t>
      </w:r>
      <w:r>
        <w:rPr>
          <w:rFonts w:asciiTheme="minorHAnsi" w:hAnsiTheme="minorHAnsi" w:cs="Calibri"/>
          <w:sz w:val="22"/>
          <w:szCs w:val="22"/>
          <w:u w:val="single"/>
        </w:rPr>
        <w:t>Processos pautados em Reuniões Anteriores, Pendentes de Deliberação Relativos à Aprovação de Projetos de Intervenção em Bens Protegidos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>:</w:t>
      </w:r>
      <w:r>
        <w:rPr>
          <w:rFonts w:asciiTheme="minorHAnsi" w:hAnsiTheme="minorHAnsi" w:cs="Calibri"/>
          <w:iCs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2014-0.031.869-2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: Eduardo Velucci – Construção de Conjunto Residencial – Rua Santo Amaro, 554 – Bela Vista. Relator: Penha Pacca. </w:t>
      </w:r>
      <w:r>
        <w:rPr>
          <w:rFonts w:asciiTheme="minorHAnsi" w:hAnsiTheme="minorHAnsi" w:cs="Calibri"/>
          <w:sz w:val="22"/>
          <w:szCs w:val="22"/>
        </w:rPr>
        <w:t xml:space="preserve">Vistas: </w:t>
      </w:r>
      <w:r>
        <w:rPr>
          <w:rFonts w:asciiTheme="minorHAnsi" w:hAnsiTheme="minorHAnsi" w:cs="Calibri"/>
          <w:color w:val="000000"/>
          <w:sz w:val="22"/>
          <w:szCs w:val="22"/>
        </w:rPr>
        <w:t>Nadia Somekh.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>Relato de vistas: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O tombamento do Bairro da Bela Vista, que inclui 905 imóveis tombados, foi produto de um inventário que objetiva garantir a sobrevivência das características históricas e urbanísticas da primeira fase de ocupação do bairro. Segundo a análise técnica, na Rua da Abolição, fundamentado no próprio tombamento, constata-se que as calçadas existentes possuem dimensões modestas compatíveis com o casario original e “as alterações no traçado urbano, bem como mudanças em guias e largura das calçadas só poderão ocorrer em caráter excepcional, a partir de um plano específico”, como exige o artigo 9° do tombamento do bairro. A quadra objeto do projeto, além de conter o Teatro Oficina, passou por um processo de demolições e faz parte de uma área de transição entre a verticalização da área central e o bairro histórico que antes do seu tombamento, passou ainda por intervenções viárias, que desfiguraram boa parte da história de São Paulo. O desenvolvimento da cidade é sempre desejável desde que respeite nossa memória e história e possa garantir qualidade urbanística, o que não vem sendo o caso do bairro em questão. A necessidade de um projeto urbano global para o bairro do Bixiga se articula com a definição do PDE 2014 de adensamento, que é desejável, a partir de duas novas estações de Metrô que interligarão o bairro tombado ao restante da cidade, mas que demanda uma articulação cuidadosa com as pré-existências. As análises técnicas, com o relato da Conselheira do SMDU reiteravam e recomendavam o indeferimento deste projeto, por apresentar “gabarito que excede a altura para preservação do entorno, e não atender do ponto de vista da preservação a compatibilidade com as edificações vizinhas tombadas do bairro histórico da Bela Vista” (fls. 476). O projeto agora em pauta não atende essas demandas. O recurso apresentado em maio de 2016 aponta a verticalização das áreas imediatas, a importância de não se reconstituir o passado, que o patrimônio cultural é algo diverso a degradação da região, a necessidade de adensamento e ainda inclui documentos de exemplos em outras áreas da cidade. Concordamos com todos os argumentos, porém insistimos que a região necessita de um projeto urbano global. Especificamente em relação a quadra em questão, esta foi definida como ZOE (Zona de Ocupação Especial) </w:t>
      </w:r>
      <w:r>
        <w:rPr>
          <w:rFonts w:asciiTheme="minorHAnsi" w:hAnsiTheme="minorHAnsi" w:cs="Calibri"/>
          <w:i/>
          <w:color w:val="000000"/>
          <w:sz w:val="22"/>
          <w:szCs w:val="22"/>
        </w:rPr>
        <w:lastRenderedPageBreak/>
        <w:t>pela lei de uso e ocupação de solo aprovada em 22 de março de 2016. Dentro desse quadro, a área em tela deverá passar por uma análise específica da SMDU para apontar as diretrizes específicas de ocupação da área especial, considerando as diretrizes de preservação, não atendidas no projeto.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O PROCESSO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SERÁ ENCAMINHADO PARA SMDU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-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/>
          <w:b/>
          <w:bCs/>
          <w:sz w:val="22"/>
          <w:szCs w:val="22"/>
        </w:rPr>
        <w:t>2016-0.116.214-2:</w:t>
      </w:r>
      <w:r>
        <w:rPr>
          <w:rFonts w:asciiTheme="minorHAnsi" w:hAnsiTheme="minorHAnsi"/>
          <w:sz w:val="22"/>
          <w:szCs w:val="22"/>
        </w:rPr>
        <w:t xml:space="preserve"> Nova Pari Center Empreendimentos e Participações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Restauro e Conservação – Rua Hannemann, 335 - Canindé. Relator: Penha Pacca. O presente projeto segue o plano de massas previamente aprovado pelo CONPRESP. A Conselheira relatora procede a leitura de seu parecer. </w:t>
      </w:r>
      <w:r>
        <w:rPr>
          <w:rFonts w:asciiTheme="minorHAnsi" w:hAnsiTheme="minorHAnsi" w:cs="Tahoma"/>
          <w:color w:val="000000"/>
          <w:sz w:val="22"/>
          <w:szCs w:val="22"/>
        </w:rPr>
        <w:t>Por unanimidade de votos dos Conselheiros Presentes, o projeto de restauro e conservação</w:t>
      </w:r>
      <w:r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>
        <w:rPr>
          <w:rFonts w:asciiTheme="minorHAnsi" w:hAnsiTheme="minorHAnsi"/>
          <w:b/>
          <w:bCs/>
          <w:sz w:val="22"/>
          <w:szCs w:val="22"/>
        </w:rPr>
        <w:t>2014-0.165.893-4/2014-0.165.895-0/2014-0.165.898-5: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ESP 107/13 – ESP 106/13 – ESP 100/13 Empreendimentos Imobiliários Ltda. – Aplicação de Multa FUNCAP – Rua Borges de Figueiredo, 680 e 828 - Moóca.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Relator: Penha Pacca.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Relato: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Trata o presente da pertinência de multa no imóvel localizado à Rua Borges de Figueiredo, 680 a 828 – Moóca, protegido por meio da Resolução 19/CONPRESP/2011, tombamento dos elementos remanescentes da arquitetura industrial, precisamente as antigas Indústrias Reunidas Francisco Matarazzo, Société Anonyme Anciens Établissements Duchen e Companhia Fiat Lux. O PA informa que o interessado demoliu partes importantes dos galpões, ocorrida entre a abertura do processo de tombamento e o tombamento definitivo, comprovada a notificação ao interessado às fls. 391 a 393. Face ao exposto, concluímos pela pertinência da aplicação de multa FUNCAP e encaminhamos o presente para apreciação e deliberação do CONPRESP.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Calibri"/>
          <w:color w:val="000000"/>
          <w:sz w:val="22"/>
          <w:szCs w:val="22"/>
        </w:rPr>
        <w:t>Os Conselheiros discutem a aplicação de multa no caso, considerando que os danos foram promovidos pelo antigo proprietário. No caso, a multa deverá ser aplicada em nome do proprietário a época da irregularidade.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Por maioria de votos dos Conselheiros Presentes, com abstenção de voto do Conselheiro de SNJ  a aplicação de multa FUNCAP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DEFERIDA.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>
        <w:rPr>
          <w:rFonts w:asciiTheme="minorHAnsi" w:hAnsiTheme="minorHAnsi"/>
          <w:b/>
          <w:bCs/>
          <w:sz w:val="22"/>
          <w:szCs w:val="22"/>
        </w:rPr>
        <w:t>2015-0.187.587-2: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Sandra Aparecida Caldeira Card. P. da Cunha – Regularização – Rua Manoel Dutra, 291, 293, 299 e 307 – Bela Vista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Penha Pacca.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Por unanimidade de votos dos Conselheiros Presentes, o pedido de regularização </w:t>
      </w:r>
      <w:r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INDEFERIDO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>
        <w:rPr>
          <w:rFonts w:asciiTheme="minorHAnsi" w:hAnsiTheme="minorHAnsi"/>
          <w:b/>
          <w:bCs/>
          <w:sz w:val="22"/>
          <w:szCs w:val="22"/>
        </w:rPr>
        <w:t>2014-0.050.778-9: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Manuel da Vinha Gomes Hipólito – Regularização – Rua Libero Badaró, 89 – Centro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Eduardo Mikalauskas. </w:t>
      </w:r>
      <w:r>
        <w:rPr>
          <w:rFonts w:asciiTheme="minorHAnsi" w:hAnsiTheme="minorHAnsi" w:cs="Calibri"/>
          <w:b/>
          <w:sz w:val="22"/>
          <w:szCs w:val="22"/>
        </w:rPr>
        <w:t xml:space="preserve">O PROCESSO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SERÁ REDISTRIBUÍDO,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a pedido do Conselheiro Relator.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- PROCESSO: </w:t>
      </w:r>
      <w:r>
        <w:rPr>
          <w:rFonts w:asciiTheme="minorHAnsi" w:hAnsiTheme="minorHAnsi"/>
          <w:b/>
          <w:bCs/>
          <w:sz w:val="22"/>
          <w:szCs w:val="22"/>
        </w:rPr>
        <w:t>2015-0.253.602-8: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Secretaria Municipal de Cultura – Pertinência da aplicação de multa FUNCAP – Rua Santanésia, s/nº – Butantã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Eduardo Mikalauskas. </w:t>
      </w:r>
      <w:r>
        <w:rPr>
          <w:rFonts w:asciiTheme="minorHAnsi" w:hAnsiTheme="minorHAnsi" w:cs="Calibri"/>
          <w:b/>
          <w:sz w:val="22"/>
          <w:szCs w:val="22"/>
        </w:rPr>
        <w:t xml:space="preserve">O PROCESSO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SERÁ REDISTRIBUÍDO,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 xml:space="preserve">a pedido do Conselheiro Relator. -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/>
          <w:b/>
          <w:bCs/>
          <w:sz w:val="22"/>
          <w:szCs w:val="22"/>
        </w:rPr>
        <w:t>2015-0.238.854-1: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Edifício Garage Parque 25 – Regularização de Estação Rádio Base – Parque Dom Pedro II, 740 - Centro</w:t>
      </w:r>
      <w:r>
        <w:rPr>
          <w:rFonts w:asciiTheme="minorHAnsi" w:hAnsiTheme="minorHAnsi" w:cs="Calibri"/>
          <w:color w:val="000000"/>
          <w:sz w:val="22"/>
          <w:szCs w:val="22"/>
        </w:rPr>
        <w:t>. Relator: Eduardo Mikalauskas.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O PROCESSO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SERÁ REDISTRIBUÍDO,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 xml:space="preserve">a pedido do Conselheiro Relator. </w:t>
      </w:r>
      <w:r>
        <w:rPr>
          <w:rFonts w:ascii="Calibri" w:hAnsi="Calibri" w:cs="Tahoma"/>
          <w:i/>
          <w:iCs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/>
          <w:b/>
          <w:bCs/>
          <w:sz w:val="22"/>
          <w:szCs w:val="22"/>
        </w:rPr>
        <w:t>2016-0.082.986-0: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José Mario Fuchs – Desdobro de Lote – Rua Piracicaba, 188 - Sumaré</w:t>
      </w:r>
      <w:r>
        <w:rPr>
          <w:rFonts w:asciiTheme="minorHAnsi" w:hAnsiTheme="minorHAnsi" w:cs="Calibri"/>
          <w:color w:val="000000"/>
          <w:sz w:val="22"/>
          <w:szCs w:val="22"/>
        </w:rPr>
        <w:t>. Relator: Eduardo Mikalauskas.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O PROCESSO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SERÁ REDISTRIBUÍDO,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a pedido do Conselheiro Relator.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- PROCESSO: </w:t>
      </w:r>
      <w:r>
        <w:rPr>
          <w:rFonts w:asciiTheme="minorHAnsi" w:hAnsiTheme="minorHAnsi"/>
          <w:b/>
          <w:bCs/>
          <w:sz w:val="22"/>
          <w:szCs w:val="22"/>
        </w:rPr>
        <w:t>2012-0.340.284-4:</w:t>
      </w:r>
      <w:r>
        <w:rPr>
          <w:rFonts w:asciiTheme="minorHAnsi" w:hAnsiTheme="minorHAnsi"/>
          <w:sz w:val="22"/>
          <w:szCs w:val="22"/>
        </w:rPr>
        <w:t xml:space="preserve"> David Klawa Filho.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Construção – Rua R, Lote 10, Quadra 18 – Pq. Itaguaçu. Relator: Adilson Amadeu.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Por unanimidade de votos dos Conselheiros Presentes, o projeto de construção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INDEFERIDO.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>
        <w:rPr>
          <w:rFonts w:asciiTheme="minorHAnsi" w:hAnsiTheme="minorHAnsi"/>
          <w:b/>
          <w:bCs/>
          <w:sz w:val="22"/>
          <w:szCs w:val="22"/>
        </w:rPr>
        <w:t>2015-0.142.235-5: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Paróquia Armênia Católica – Conservação e Restauro – Rua Dr. Rodrigo de Barros, 180 – Luz.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Relator: Alfredo Vieira. A Presidente devolve o processo para deliberação com </w:t>
      </w:r>
      <w:r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parecer da Assessoria Jurídica que concluiu pela aplicação do § 4º do artigo 9º do Decreto Municipal nº 47.493/2006, acrescentado pelo Decreto Municipal nº 54.805, de 31 de janeiro de 2014, no caso de aprovação do projeto. </w:t>
      </w:r>
      <w:r>
        <w:rPr>
          <w:rFonts w:asciiTheme="minorHAnsi" w:hAnsiTheme="minorHAnsi" w:cs="Tahoma"/>
          <w:color w:val="000000"/>
          <w:sz w:val="22"/>
          <w:szCs w:val="22"/>
        </w:rPr>
        <w:t>Por maioria de votos dos Conselheiros Presentes, com abstenção de voto do Conselheiro</w:t>
      </w:r>
      <w:r w:rsidR="000968D2">
        <w:rPr>
          <w:rFonts w:asciiTheme="minorHAnsi" w:hAnsiTheme="minorHAnsi" w:cs="Tahoma"/>
          <w:color w:val="000000"/>
          <w:sz w:val="22"/>
          <w:szCs w:val="22"/>
        </w:rPr>
        <w:t xml:space="preserve"> de SNJ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, o projeto de conservação e restauro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DEFERIDO.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3.4. 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635ª Reunião Ordinária: Relativos à aprovação de projetos de intervenção em bens protegidos</w:t>
      </w:r>
      <w:r>
        <w:rPr>
          <w:rFonts w:asciiTheme="minorHAnsi" w:hAnsiTheme="minorHAnsi" w:cs="Calibri"/>
          <w:i/>
          <w:iCs/>
          <w:sz w:val="22"/>
          <w:szCs w:val="22"/>
        </w:rPr>
        <w:t>: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PROCESSO: </w:t>
      </w:r>
      <w:r>
        <w:rPr>
          <w:rFonts w:asciiTheme="minorHAnsi" w:hAnsiTheme="minorHAnsi"/>
          <w:b/>
          <w:bCs/>
          <w:sz w:val="22"/>
          <w:szCs w:val="22"/>
        </w:rPr>
        <w:t>2014-0.231.358-2:</w:t>
      </w:r>
      <w:r>
        <w:rPr>
          <w:rFonts w:asciiTheme="minorHAnsi" w:hAnsiTheme="minorHAnsi"/>
          <w:sz w:val="22"/>
          <w:szCs w:val="22"/>
        </w:rPr>
        <w:t xml:space="preserve"> itororó Veículos e Peças Ltda. – Reforma e Regularização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Rua Pedroso, 258 e 272 – Bela Vista. Relator: Ronaldo Parente.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>Relato: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 Trata o presente de pedido de reforma para regularização de área em imóvel localizado dentro da área envoltória da Vila Itororó tombada pela Resolução 22/CONPRESP/2002. Após análise efetuada pela STCT e a constatação de que a proposta apresentada não agrava a situação de gabarito e ocupação dos lotes, o presente nos é encaminhado com parecer favorável. A questão da aplicação de multa está sendo tratada pelo processo nº 2013-0.218.412-8 que deverá ser reanalisada pela unidade técnica, de acordo com as considerações oferecidas pelo Senhor Assessor Jurídico às folhas 90/93. Face ao exposto acompanho parecer favorável proposto pelo DPH que submeto ao Conselho.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Por maioria de votos dos Conselheiros Presentes, com abstenção de voto do Conselheiro de SNJ, o projeto de reforma e regularização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DEFERIDO.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/>
          <w:b/>
          <w:bCs/>
          <w:sz w:val="22"/>
          <w:szCs w:val="22"/>
        </w:rPr>
        <w:t>2014-0.336.805-4:</w:t>
      </w:r>
      <w:r>
        <w:rPr>
          <w:rFonts w:asciiTheme="minorHAnsi" w:hAnsiTheme="minorHAnsi"/>
          <w:sz w:val="22"/>
          <w:szCs w:val="22"/>
        </w:rPr>
        <w:t xml:space="preserve"> Condomínio Edifício Mauá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Construção ERB – Rua Florêncio de Abreu, 194 - Centro. Relator: Ronaldo Parente. Em seu parecer o conselheiro esclarece o parecer contrário do DPH e sugere um estudo técnico, por parte do DPH, da forma de analisar as ERBs sob a ótica da preservação.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Por unanimidade  de votos dos Conselheiros Presentes, o projeto de construção de ERB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INDEFERIDO.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>
        <w:rPr>
          <w:rFonts w:asciiTheme="minorHAnsi" w:hAnsiTheme="minorHAnsi"/>
          <w:b/>
          <w:bCs/>
          <w:sz w:val="22"/>
          <w:szCs w:val="22"/>
        </w:rPr>
        <w:t>2016-0.124.328-2:</w:t>
      </w:r>
      <w:r>
        <w:rPr>
          <w:rFonts w:asciiTheme="minorHAnsi" w:hAnsiTheme="minorHAnsi"/>
          <w:sz w:val="22"/>
          <w:szCs w:val="22"/>
        </w:rPr>
        <w:t xml:space="preserve"> Fundação Bienal de São Paulo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Reforma e requalificação do 1º Pavimento – Av. Pedro Alvares Cabral, s/nº, Portão 3 – Pavilhão Ciccillo Matarazzo. Relator: Alfredo Vieira.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Por unanimidade  de votos dos Conselheiros Presentes, o projeto de requalificação e reforma do 1º pavimento do Pavilhão Ciccillo Matarazzo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 COM RECOMENDAÇÃO, 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a saber: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i/>
          <w:color w:val="000000"/>
          <w:sz w:val="22"/>
          <w:szCs w:val="22"/>
        </w:rPr>
        <w:t>Que na grande divisória interna seja utilizado vidro laminado no lugar do policarbonato.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>
        <w:rPr>
          <w:rFonts w:asciiTheme="minorHAnsi" w:hAnsiTheme="minorHAnsi"/>
          <w:b/>
          <w:bCs/>
          <w:sz w:val="22"/>
          <w:szCs w:val="22"/>
        </w:rPr>
        <w:t>2015-0.077.836-9:</w:t>
      </w:r>
      <w:r>
        <w:rPr>
          <w:rFonts w:asciiTheme="minorHAnsi" w:hAnsiTheme="minorHAnsi"/>
          <w:sz w:val="22"/>
          <w:szCs w:val="22"/>
        </w:rPr>
        <w:t xml:space="preserve"> Dirceu Raiser Nunes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Construção – Rua Luiz Affonso C. M. Otero, Lt 01-13, Quadra 13 – Pq. Itaguaçu. Relator: Adilson Amadeu. 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O projeto de construção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INDEFERIDO,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porém, em razão de equívoco na junção da última versão do projeto apresentado, o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PROCESSO DEVERÁ RETORNAR AO DPH PARA REANÁLISE.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>
        <w:rPr>
          <w:rFonts w:asciiTheme="minorHAnsi" w:hAnsiTheme="minorHAnsi"/>
          <w:b/>
          <w:bCs/>
          <w:sz w:val="22"/>
          <w:szCs w:val="22"/>
        </w:rPr>
        <w:t>2013-0.121.118-0: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Dirceu Raiser Nunes – Construção – Rua Ruth Roxo Almeida Souza, Lote 07, Quadra 09 – Pq. Itaguaçu. </w:t>
      </w:r>
      <w:r>
        <w:rPr>
          <w:rFonts w:asciiTheme="minorHAnsi" w:hAnsiTheme="minorHAnsi" w:cs="Calibri"/>
          <w:color w:val="000000"/>
          <w:sz w:val="22"/>
          <w:szCs w:val="22"/>
        </w:rPr>
        <w:t>Relator: Marco Winther.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O projeto de construção foi 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DEFERIDO,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porém, em razão de equívoco na junção da última versão do projeto apresentado, o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PROCESSO DEVERÁ RETORNAR AO DPH PARA REANÁLISE.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– PROCESSO: </w:t>
      </w:r>
      <w:r>
        <w:rPr>
          <w:rFonts w:asciiTheme="minorHAnsi" w:hAnsiTheme="minorHAnsi"/>
          <w:b/>
          <w:bCs/>
          <w:sz w:val="22"/>
          <w:szCs w:val="22"/>
        </w:rPr>
        <w:t>2016-0.010.418-1: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Trento Leming Imóveis Ltda – Regularização – Av. Paulista, 2.584 – Lojas 1, 2 e 3 – Cerqueira César.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Relator: Marco Winther.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Relato: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Trata-se de regularização de edifício com abertura de tombamento sito à Av. Paulista 2.584, lojas 1, 2 e 3, que é ocupado pelo Bar Riviera. Houve remoção de paredes internas e construção de outras, com material de fácil remoção, para melhor adequação ao uso. As obras internas mantiveram as características mais significativas do projeto original, tais como a escada e a parede curva em tijolos de vidro, e, conforme análise técnica, são passíveis de aprovação. Externamente, não houve nenhuma reforma, com </w:t>
      </w:r>
      <w:r>
        <w:rPr>
          <w:rFonts w:asciiTheme="minorHAnsi" w:hAnsiTheme="minorHAnsi" w:cs="Calibri"/>
          <w:i/>
          <w:color w:val="000000"/>
          <w:sz w:val="22"/>
          <w:szCs w:val="22"/>
        </w:rPr>
        <w:lastRenderedPageBreak/>
        <w:t xml:space="preserve">exceção de três colunas em granito que foram pintadas. Assim sendo, acompanhamos a manifestação favorável à regularização, com a diretriz de que em futuras obras sejam restauradas as colunas externas.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regularização foi DEFERIDO COM DIRETRIZ, a saber: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1)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Prever a recuperação dos pilares externos em futuras obras. </w:t>
      </w:r>
      <w:r>
        <w:rPr>
          <w:rFonts w:asciiTheme="minorHAnsi" w:hAnsiTheme="minorHAnsi" w:cs="Calibri"/>
          <w:color w:val="000000"/>
          <w:sz w:val="22"/>
          <w:szCs w:val="22"/>
        </w:rPr>
        <w:t>-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color w:val="000000"/>
          <w:sz w:val="22"/>
          <w:szCs w:val="22"/>
          <w:u w:val="single"/>
        </w:rPr>
        <w:t>PROCESSOS DE CADAN – PARA CIÊNCIA DO CONSELHO: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2015-0.338.696-8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Macerata Comércio de Alimentos ltda Me – Reconsideração de Despacho/CADAN – Av. Brigadeiro Luis Antônio, 2.228 -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Parecer DPH: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FAVORÁVEL - Processo: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2014-0.152.376-1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Banco Bradesco - CADAN – Av. Paulista, 329 – Bela Vista -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Parecer DPH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: FAVORÁVEL. </w:t>
      </w:r>
      <w:r>
        <w:rPr>
          <w:rFonts w:ascii="Calibri" w:hAnsi="Calibri" w:cs="Arial"/>
          <w:b/>
          <w:bCs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. Apresentação de temas gerais: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r>
        <w:rPr>
          <w:rFonts w:asciiTheme="minorHAnsi" w:hAnsiTheme="minorHAnsi" w:cs="Calibri"/>
          <w:b/>
          <w:bCs/>
          <w:sz w:val="22"/>
          <w:szCs w:val="22"/>
        </w:rPr>
        <w:t>12:35</w:t>
      </w:r>
      <w:r>
        <w:rPr>
          <w:rFonts w:asciiTheme="minorHAnsi" w:hAnsiTheme="minorHAnsi" w:cs="Calibri"/>
          <w:sz w:val="22"/>
          <w:szCs w:val="22"/>
        </w:rPr>
        <w:t xml:space="preserve">. A Ata será lavrada e, depois de achada conforme, será assinada pelos Conselheiros e publicada no Diário Oficial da Cidade. </w:t>
      </w:r>
    </w:p>
    <w:p w:rsidR="00A36317" w:rsidRDefault="00A36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36317" w:rsidRDefault="00A36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36317" w:rsidRPr="005B1CE5" w:rsidRDefault="00A36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DOC 23/09/2016 – páginas 48 e 49</w:t>
      </w:r>
    </w:p>
    <w:sectPr w:rsidR="00A36317" w:rsidRPr="005B1CE5" w:rsidSect="0023796C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E5" w:rsidRDefault="005B1CE5" w:rsidP="0012099E">
      <w:r>
        <w:separator/>
      </w:r>
    </w:p>
  </w:endnote>
  <w:endnote w:type="continuationSeparator" w:id="0">
    <w:p w:rsidR="005B1CE5" w:rsidRDefault="005B1CE5" w:rsidP="0012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E5" w:rsidRDefault="00256FD5">
    <w:pPr>
      <w:pStyle w:val="Footer"/>
      <w:jc w:val="right"/>
    </w:pPr>
    <w:fldSimple w:instr="PAGE">
      <w:r w:rsidR="00A36317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E5" w:rsidRDefault="005B1CE5" w:rsidP="0012099E">
      <w:r>
        <w:separator/>
      </w:r>
    </w:p>
  </w:footnote>
  <w:footnote w:type="continuationSeparator" w:id="0">
    <w:p w:rsidR="005B1CE5" w:rsidRDefault="005B1CE5" w:rsidP="0012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5B1CE5">
      <w:trPr>
        <w:trHeight w:val="707"/>
      </w:trPr>
      <w:tc>
        <w:tcPr>
          <w:tcW w:w="1940" w:type="dxa"/>
          <w:shd w:val="clear" w:color="auto" w:fill="auto"/>
        </w:tcPr>
        <w:p w:rsidR="005B1CE5" w:rsidRDefault="005B1CE5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5B1CE5" w:rsidRDefault="005B1CE5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5B1CE5" w:rsidRDefault="005B1CE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5B1CE5" w:rsidRDefault="005B1C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99E"/>
    <w:rsid w:val="000968D2"/>
    <w:rsid w:val="0012099E"/>
    <w:rsid w:val="0017623C"/>
    <w:rsid w:val="001A7298"/>
    <w:rsid w:val="0023796C"/>
    <w:rsid w:val="00256FD5"/>
    <w:rsid w:val="003103EE"/>
    <w:rsid w:val="00492990"/>
    <w:rsid w:val="00580BB8"/>
    <w:rsid w:val="005B1CE5"/>
    <w:rsid w:val="0060419A"/>
    <w:rsid w:val="00702603"/>
    <w:rsid w:val="007657B0"/>
    <w:rsid w:val="008C15CB"/>
    <w:rsid w:val="00A36317"/>
    <w:rsid w:val="00AA6535"/>
    <w:rsid w:val="00F8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">
    <w:name w:val="Heading 2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">
    <w:name w:val="Heading 5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">
    <w:name w:val="Heading 6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">
    <w:name w:val="Heading 8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">
    <w:name w:val="Heading 9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b/>
      <w:bCs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b/>
      <w:bCs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basedOn w:val="Corpodotexto"/>
    <w:uiPriority w:val="99"/>
    <w:rsid w:val="00200552"/>
  </w:style>
  <w:style w:type="paragraph" w:customStyle="1" w:styleId="Caption">
    <w:name w:val="Caption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">
    <w:name w:val="Header"/>
    <w:basedOn w:val="Normal"/>
    <w:link w:val="CabealhoChar2"/>
    <w:uiPriority w:val="99"/>
    <w:rsid w:val="00200552"/>
    <w:pPr>
      <w:tabs>
        <w:tab w:val="center" w:pos="4419"/>
        <w:tab w:val="right" w:pos="8838"/>
      </w:tabs>
    </w:pPr>
    <w:rPr>
      <w:rFonts w:cs="Times New Roman"/>
    </w:rPr>
  </w:style>
  <w:style w:type="paragraph" w:customStyle="1" w:styleId="Footer">
    <w:name w:val="Footer"/>
    <w:basedOn w:val="Normal"/>
    <w:link w:val="RodapChar2"/>
    <w:uiPriority w:val="99"/>
    <w:rsid w:val="00200552"/>
    <w:pPr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33783-2029-4254-800E-B6555E81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4067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 - SECRETARIA MUNICIPAL DE CULTURA</vt:lpstr>
    </vt:vector>
  </TitlesOfParts>
  <Company>P.M.S.P.</Company>
  <LinksUpToDate>false</LinksUpToDate>
  <CharactersWithSpaces>25983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2016-09-20T13:00:00Z</cp:lastPrinted>
  <dcterms:created xsi:type="dcterms:W3CDTF">2016-09-23T18:23:00Z</dcterms:created>
  <dcterms:modified xsi:type="dcterms:W3CDTF">2016-09-23T18:23:00Z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