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9B" w:rsidRDefault="00007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1"/>
          <w:szCs w:val="21"/>
        </w:rPr>
      </w:pPr>
    </w:p>
    <w:p w:rsidR="002016E1" w:rsidRDefault="00AC5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</w:pPr>
      <w:r>
        <w:rPr>
          <w:rFonts w:asciiTheme="minorHAnsi" w:hAnsiTheme="minorHAnsi" w:cs="Calibri"/>
          <w:b/>
          <w:bCs/>
          <w:sz w:val="21"/>
          <w:szCs w:val="21"/>
        </w:rPr>
        <w:t>ATA DA 630</w:t>
      </w:r>
      <w:r w:rsidR="00ED6451">
        <w:rPr>
          <w:rFonts w:asciiTheme="minorHAnsi" w:hAnsiTheme="minorHAnsi" w:cs="Calibri"/>
          <w:b/>
          <w:bCs/>
          <w:sz w:val="21"/>
          <w:szCs w:val="21"/>
        </w:rPr>
        <w:t>ª REUNIÃO ORDINÁRIA DO CONPRESP</w:t>
      </w:r>
    </w:p>
    <w:p w:rsidR="0000789B" w:rsidRDefault="0000789B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1"/>
          <w:szCs w:val="21"/>
        </w:rPr>
      </w:pPr>
    </w:p>
    <w:p w:rsidR="002016E1" w:rsidRDefault="00ED6451" w:rsidP="00A1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00789B"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AC5C11" w:rsidRPr="0000789B">
        <w:rPr>
          <w:rFonts w:asciiTheme="minorHAnsi" w:hAnsiTheme="minorHAnsi" w:cs="Calibri"/>
          <w:b/>
          <w:bCs/>
          <w:sz w:val="22"/>
          <w:szCs w:val="22"/>
        </w:rPr>
        <w:t>10 de maio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 xml:space="preserve"> de 2016</w:t>
      </w:r>
      <w:r w:rsidR="00AC5C11" w:rsidRPr="0000789B">
        <w:rPr>
          <w:rFonts w:asciiTheme="minorHAnsi" w:hAnsiTheme="minorHAnsi" w:cs="Calibri"/>
          <w:sz w:val="22"/>
          <w:szCs w:val="22"/>
        </w:rPr>
        <w:t>, às 9h40</w:t>
      </w:r>
      <w:r w:rsidRPr="0000789B">
        <w:rPr>
          <w:rFonts w:asciiTheme="minorHAnsi" w:hAnsiTheme="minorHAnsi" w:cs="Calibri"/>
          <w:sz w:val="22"/>
          <w:szCs w:val="22"/>
        </w:rPr>
        <w:t xml:space="preserve">, realizou sua </w:t>
      </w:r>
      <w:r w:rsidR="00AC5C11" w:rsidRPr="0000789B">
        <w:rPr>
          <w:rFonts w:asciiTheme="minorHAnsi" w:hAnsiTheme="minorHAnsi" w:cs="Calibri"/>
          <w:b/>
          <w:bCs/>
          <w:sz w:val="22"/>
          <w:szCs w:val="22"/>
        </w:rPr>
        <w:t>630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 w:rsidRPr="0000789B"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Nadia Somekh – Representante do Departamento do Patrimônio Histórico – Presidente; </w:t>
      </w:r>
      <w:r w:rsidR="00AC5C11" w:rsidRPr="0000789B">
        <w:rPr>
          <w:rFonts w:asciiTheme="minorHAnsi" w:hAnsiTheme="minorHAnsi" w:cs="Calibri"/>
          <w:sz w:val="22"/>
          <w:szCs w:val="22"/>
        </w:rPr>
        <w:t xml:space="preserve">Marcelo Manhães de Almeida – Representante da Ordem dos Advogados do Brasil – Vice-Presidente; </w:t>
      </w:r>
      <w:r w:rsidRPr="0000789B">
        <w:rPr>
          <w:rFonts w:asciiTheme="minorHAnsi" w:hAnsiTheme="minorHAnsi" w:cs="Calibri"/>
          <w:sz w:val="22"/>
          <w:szCs w:val="22"/>
        </w:rPr>
        <w:t xml:space="preserve">Marco Antônio Cilento Winther – Representante Suplente da Secretaria Municipal de Cultura; </w:t>
      </w:r>
      <w:r w:rsidR="00AC5C11" w:rsidRPr="0000789B">
        <w:rPr>
          <w:rFonts w:asciiTheme="minorHAnsi" w:hAnsiTheme="minorHAnsi" w:cs="Calibri"/>
          <w:sz w:val="22"/>
          <w:szCs w:val="22"/>
        </w:rPr>
        <w:t xml:space="preserve">Adilson Amadeu – Representante da Câmara Municipal de São Paulo; </w:t>
      </w:r>
      <w:r w:rsidRPr="0000789B">
        <w:rPr>
          <w:rFonts w:asciiTheme="minorHAnsi" w:hAnsiTheme="minorHAnsi" w:cs="Calibri"/>
          <w:sz w:val="22"/>
          <w:szCs w:val="22"/>
        </w:rPr>
        <w:t>Eduardo Mikalauskas – Representante da Secretaria Municipal de Negócios Jurídicos; José Geraldo Simões Júnior – Representante do Insti</w:t>
      </w:r>
      <w:r w:rsidR="00AC5C11" w:rsidRPr="0000789B">
        <w:rPr>
          <w:rFonts w:asciiTheme="minorHAnsi" w:hAnsiTheme="minorHAnsi" w:cs="Calibri"/>
          <w:sz w:val="22"/>
          <w:szCs w:val="22"/>
        </w:rPr>
        <w:t>tuto dos Arquitetos do Brasil; Alfredo Vieira da Cunha – Representante suplente do Conselho Regional de Engenharia e Agronomia do Estado de São Paulo; Ronaldo Berbare Albuquerque Parente – Representante</w:t>
      </w:r>
      <w:r w:rsidRPr="0000789B">
        <w:rPr>
          <w:rFonts w:asciiTheme="minorHAnsi" w:hAnsiTheme="minorHAnsi" w:cs="Calibri"/>
          <w:sz w:val="22"/>
          <w:szCs w:val="22"/>
        </w:rPr>
        <w:t xml:space="preserve"> da Secretária Municipal de Licenciamento e Penha Elizabeth Arantes Ceribelli Pacca – Representante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da Secretaria Municipal de Desenvolvimento Urbano</w:t>
      </w:r>
      <w:r w:rsidRPr="0000789B">
        <w:rPr>
          <w:rFonts w:asciiTheme="minorHAnsi" w:hAnsiTheme="minorHAnsi" w:cs="Calibri"/>
          <w:sz w:val="22"/>
          <w:szCs w:val="22"/>
        </w:rPr>
        <w:t xml:space="preserve">. Participaram, assistindo à reunião: Flávia Taliberti Pereto – Representante Suplente da Secretaria Municipal de Desenvolvimento Urbano;  </w:t>
      </w:r>
      <w:r w:rsidR="00D47AF6" w:rsidRPr="0000789B">
        <w:rPr>
          <w:rFonts w:asciiTheme="minorHAnsi" w:hAnsiTheme="minorHAnsi" w:cs="Calibri"/>
          <w:sz w:val="22"/>
          <w:szCs w:val="22"/>
        </w:rPr>
        <w:t xml:space="preserve">Teresa Maria Emídio – Representante da Secretaria do Verde e Meio Ambiente; </w:t>
      </w:r>
      <w:r w:rsidRPr="0000789B">
        <w:rPr>
          <w:rFonts w:asciiTheme="minorHAnsi" w:hAnsiTheme="minorHAnsi" w:cs="Calibri"/>
          <w:sz w:val="22"/>
          <w:szCs w:val="22"/>
        </w:rPr>
        <w:t xml:space="preserve">Dalva Soares Bolognini – CADES Vila Mariana; Juliana Saad de Marchi – Agenda 21;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47AF6" w:rsidRPr="0000789B">
        <w:rPr>
          <w:rFonts w:asciiTheme="minorHAnsi" w:hAnsiTheme="minorHAnsi" w:cs="Calibri"/>
          <w:color w:val="000000"/>
          <w:sz w:val="22"/>
          <w:szCs w:val="22"/>
        </w:rPr>
        <w:t xml:space="preserve">Baldomero Navarro </w:t>
      </w:r>
      <w:r w:rsidR="00EA51EC" w:rsidRPr="0000789B">
        <w:rPr>
          <w:rFonts w:asciiTheme="minorHAnsi" w:hAnsiTheme="minorHAnsi" w:cs="Calibri"/>
          <w:color w:val="000000"/>
          <w:sz w:val="22"/>
          <w:szCs w:val="22"/>
        </w:rPr>
        <w:t>–</w:t>
      </w:r>
      <w:r w:rsidR="00D47AF6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BA3839" w:rsidRPr="0000789B">
        <w:rPr>
          <w:rFonts w:asciiTheme="minorHAnsi" w:hAnsiTheme="minorHAnsi" w:cs="Calibri"/>
          <w:color w:val="000000"/>
          <w:sz w:val="22"/>
          <w:szCs w:val="22"/>
        </w:rPr>
        <w:t xml:space="preserve">NN Arquitetura/Igreja Presbiteriana de Formosa; Marília Gallmeister – Associação Teatro </w:t>
      </w:r>
      <w:r w:rsidR="00BA3839" w:rsidRPr="0000789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Oficina Uzyna Uzona; israel Kislansky – KSA Conservação e Restauração Ltda.; Reynaldo Stamatis Filho - KSA Conservação e Restauração Ltda.; </w:t>
      </w:r>
      <w:r w:rsidR="00BA3839" w:rsidRPr="0000789B">
        <w:rPr>
          <w:rFonts w:asciiTheme="minorHAnsi" w:hAnsiTheme="minorHAnsi" w:cs="Calibri"/>
          <w:color w:val="000000"/>
          <w:sz w:val="22"/>
          <w:szCs w:val="22"/>
        </w:rPr>
        <w:t xml:space="preserve">Walter Pires - Seção Técnica de Programas de Valorização do Patrimônio;Alice Almeida Américo – Chefe da Seção de Monumentos e Obras Artísticas; João Lucas Nogueira Domingos – Estagiário DPH/STCT; </w:t>
      </w:r>
      <w:r w:rsidR="00A95945" w:rsidRPr="0000789B">
        <w:rPr>
          <w:rFonts w:asciiTheme="minorHAnsi" w:hAnsiTheme="minorHAnsi" w:cs="Calibri"/>
          <w:color w:val="000000"/>
          <w:sz w:val="22"/>
          <w:szCs w:val="22"/>
        </w:rPr>
        <w:t>Ana Carolina S. Moraes – Estagiária DPH/STCT; Luís Gustavo Vidrih – Estagiário DPH/STCT; Ana Lucia F.M.S. Bragança Winther – SeçãoTécnica de Levantamento e Pesquisa; Aline Faiwichow Estefan – DPH/ Divisão de Preservação; Mauro Pereira – Chefe da Seção Técnica de Crítica e Tombamento; Fábio Dutra Peres – Assessoria Jurídica SMC/DPH</w:t>
      </w:r>
      <w:r w:rsidR="00A95945" w:rsidRPr="0000789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; </w:t>
      </w:r>
      <w:r w:rsidR="00A95945" w:rsidRPr="0000789B">
        <w:rPr>
          <w:rFonts w:asciiTheme="minorHAnsi" w:hAnsiTheme="minorHAnsi" w:cs="Calibri"/>
          <w:color w:val="000000"/>
          <w:sz w:val="22"/>
          <w:szCs w:val="22"/>
        </w:rPr>
        <w:t>Solange Silva Rosário -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CONPRESP; Silvana Gagliardi – Assistente do CONPRESP; Lucas de Moraes Coelho – Assistente do CONPRESP e </w:t>
      </w:r>
      <w:r w:rsidRPr="0000789B">
        <w:rPr>
          <w:rFonts w:asciiTheme="minorHAnsi" w:hAnsiTheme="minorHAnsi" w:cs="Calibri"/>
          <w:sz w:val="22"/>
          <w:szCs w:val="22"/>
        </w:rPr>
        <w:t>Danielle Cristina Dias de Santana Braga – Secretária Executiva CONPRESP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00789B">
        <w:rPr>
          <w:rFonts w:asciiTheme="minorHAnsi" w:hAnsiTheme="minorHAnsi" w:cs="Calibri"/>
          <w:sz w:val="22"/>
          <w:szCs w:val="22"/>
        </w:rPr>
        <w:t xml:space="preserve">  Foi dado início à pauta. 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>1</w:t>
      </w:r>
      <w:r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. Leitura, dis</w:t>
      </w:r>
      <w:r w:rsidR="00A95945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cussão e aprovação da Ata da 629</w:t>
      </w:r>
      <w:r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ª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2.Comunicações / Informes da Presidência e dos Conselheiros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5E3D6B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F7333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2.1. </w:t>
      </w:r>
      <w:r w:rsidR="00DA1436" w:rsidRPr="0000789B">
        <w:rPr>
          <w:rFonts w:asciiTheme="minorHAnsi" w:hAnsiTheme="minorHAnsi" w:cs="Calibri"/>
          <w:color w:val="000000"/>
          <w:sz w:val="22"/>
          <w:szCs w:val="22"/>
        </w:rPr>
        <w:t xml:space="preserve">A Presidente informa e convida todos os presentes a acompanharem o Blog do DPH, no ar desde o início do mês. Segundo a postagem incicial “Com o blog, o DPH pretende contribuir ainda mais para a difusão e o avanço de todas essas discussões, trazendo para a pauta assuntos que estão na ordem do dia, como a recuperação da Estação da Luz após o incêndio do ano passado, a readequação de imóveis tombados para novos usos, as conclusões de seminários e conferências sobre o assunto, a opinião de especialistas no tema, além das ações e novidades do próprio DPH.” </w:t>
      </w:r>
      <w:r w:rsidR="00DA1436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2.2. </w:t>
      </w:r>
      <w:r w:rsidR="00DA1436" w:rsidRPr="0000789B">
        <w:rPr>
          <w:rFonts w:asciiTheme="minorHAnsi" w:hAnsiTheme="minorHAnsi" w:cs="Calibri"/>
          <w:color w:val="000000"/>
          <w:sz w:val="22"/>
          <w:szCs w:val="22"/>
        </w:rPr>
        <w:t xml:space="preserve">Agradece o esforço de SMDU em quantificar e disponibilizar no Geosampa, a quantidade de benms tombados e o mapa com a localização desses imóveis. São ao todo </w:t>
      </w:r>
      <w:r w:rsidR="00DA1436" w:rsidRPr="0000789B">
        <w:rPr>
          <w:rFonts w:asciiTheme="minorHAnsi" w:hAnsiTheme="minorHAnsi" w:cs="Calibri"/>
          <w:sz w:val="22"/>
          <w:szCs w:val="22"/>
        </w:rPr>
        <w:t xml:space="preserve">3.323 bens tombados, destes 570 estão nas Áreas de </w:t>
      </w:r>
      <w:r w:rsidR="00DA1436" w:rsidRPr="0000789B">
        <w:rPr>
          <w:rFonts w:asciiTheme="minorHAnsi" w:hAnsiTheme="minorHAnsi" w:cs="Calibri"/>
          <w:sz w:val="22"/>
          <w:szCs w:val="22"/>
        </w:rPr>
        <w:lastRenderedPageBreak/>
        <w:t>Urbanização Especial, 42 Áreas de proteção paisagistica e 913 bens de imóveis representativos em abertura de processo de tombamento.</w:t>
      </w:r>
      <w:r w:rsidR="00DA1436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2.3. </w:t>
      </w:r>
      <w:r w:rsidR="00DA1436" w:rsidRPr="0000789B">
        <w:rPr>
          <w:rFonts w:asciiTheme="minorHAnsi" w:hAnsiTheme="minorHAnsi" w:cs="Calibri"/>
          <w:color w:val="000000"/>
          <w:sz w:val="22"/>
          <w:szCs w:val="22"/>
        </w:rPr>
        <w:t>Informa que c</w:t>
      </w:r>
      <w:r w:rsidR="00DA1436" w:rsidRPr="0000789B">
        <w:rPr>
          <w:rFonts w:asciiTheme="minorHAnsi" w:hAnsiTheme="minorHAnsi" w:cs="Calibri"/>
          <w:sz w:val="22"/>
          <w:szCs w:val="22"/>
        </w:rPr>
        <w:t>omo resultado das discussões da Oficina Fábrica de Restauro realizada no dia 15 de abril foram definidos três grupos de trabalho que se reunirão nos dias 17, 18 e 19 de maio</w:t>
      </w:r>
      <w:r w:rsidR="005E3D6B" w:rsidRPr="0000789B">
        <w:rPr>
          <w:rFonts w:asciiTheme="minorHAnsi" w:hAnsiTheme="minorHAnsi" w:cs="Calibri"/>
          <w:sz w:val="22"/>
          <w:szCs w:val="22"/>
        </w:rPr>
        <w:t>. O primeiro grupo “Capacitação/ Formação: do pedreiro ao restaurador” tratará da capacitação de toda a cadeia envolvida no restauro. O segundo grupo “Captação de Recursos: da Lei Rouanet a TDC e isenção tributaria”, discutirá novos instrumentos de financiamento para o restauro e o aperfeiçoamento de instrumentos existentes como a Lei Rouanet, Transferência do Direito de Construir e outros e por fim, o grupo “Participação e cooperativismo: movimentos sociais e coletivos”, abordará a participação social e cooperativismo para viabilização do restauro, unindo pequenos proprietários, universidades e demais parceiros.</w:t>
      </w:r>
      <w:r w:rsidR="005E3D6B" w:rsidRPr="0000789B">
        <w:rPr>
          <w:rFonts w:asciiTheme="minorHAnsi" w:eastAsia="Times New Roman" w:hAnsiTheme="minorHAnsi" w:cs="Times New Roman"/>
          <w:b/>
          <w:bCs/>
          <w:color w:val="222222"/>
          <w:sz w:val="22"/>
          <w:szCs w:val="22"/>
        </w:rPr>
        <w:t xml:space="preserve"> </w:t>
      </w:r>
      <w:r w:rsidR="002B4944" w:rsidRPr="0000789B">
        <w:rPr>
          <w:rFonts w:asciiTheme="minorHAnsi" w:hAnsiTheme="minorHAnsi" w:cs="Calibri"/>
          <w:color w:val="000000"/>
          <w:sz w:val="22"/>
          <w:szCs w:val="22"/>
        </w:rPr>
        <w:t xml:space="preserve">Cada </w:t>
      </w:r>
      <w:r w:rsidR="005E3D6B" w:rsidRPr="0000789B">
        <w:rPr>
          <w:rFonts w:asciiTheme="minorHAnsi" w:hAnsiTheme="minorHAnsi" w:cs="Calibri"/>
          <w:color w:val="000000"/>
          <w:sz w:val="22"/>
          <w:szCs w:val="22"/>
        </w:rPr>
        <w:t>grupo irá</w:t>
      </w:r>
      <w:r w:rsidR="002B4944" w:rsidRPr="0000789B">
        <w:rPr>
          <w:rFonts w:asciiTheme="minorHAnsi" w:hAnsiTheme="minorHAnsi" w:cs="Calibri"/>
          <w:color w:val="000000"/>
          <w:sz w:val="22"/>
          <w:szCs w:val="22"/>
        </w:rPr>
        <w:t xml:space="preserve"> definir ações concretas de gestão e avaliação de resultados, que deverão ser anunciadas na Semana do Patrimônio. </w:t>
      </w:r>
      <w:r w:rsidR="005E3D6B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2.4. </w:t>
      </w:r>
      <w:r w:rsidR="005E3D6B" w:rsidRPr="0000789B">
        <w:rPr>
          <w:rFonts w:asciiTheme="minorHAnsi" w:hAnsiTheme="minorHAnsi" w:cs="Calibri"/>
          <w:sz w:val="22"/>
          <w:szCs w:val="22"/>
        </w:rPr>
        <w:t xml:space="preserve">Propõe o cancelamento da </w:t>
      </w:r>
      <w:r w:rsidR="002B4944" w:rsidRPr="0000789B">
        <w:rPr>
          <w:rFonts w:asciiTheme="minorHAnsi" w:hAnsiTheme="minorHAnsi" w:cs="Calibri"/>
          <w:sz w:val="22"/>
          <w:szCs w:val="22"/>
        </w:rPr>
        <w:t>Reunião de 26 de</w:t>
      </w:r>
      <w:r w:rsidR="005E3D6B" w:rsidRPr="0000789B">
        <w:rPr>
          <w:rFonts w:asciiTheme="minorHAnsi" w:hAnsiTheme="minorHAnsi" w:cs="Calibri"/>
          <w:color w:val="000000"/>
          <w:sz w:val="22"/>
          <w:szCs w:val="22"/>
        </w:rPr>
        <w:t xml:space="preserve"> Julho. A Presidente estará fora de São Paulo para coordenar uma </w:t>
      </w:r>
      <w:r w:rsidR="005E3D6B" w:rsidRPr="0000789B">
        <w:rPr>
          <w:rFonts w:asciiTheme="minorHAnsi" w:hAnsiTheme="minorHAnsi" w:cs="Calibri"/>
          <w:sz w:val="22"/>
          <w:szCs w:val="22"/>
        </w:rPr>
        <w:t xml:space="preserve">sessão temática no </w:t>
      </w:r>
      <w:r w:rsidR="005E3D6B" w:rsidRPr="0000789B">
        <w:rPr>
          <w:rFonts w:asciiTheme="minorHAnsi" w:hAnsiTheme="minorHAnsi" w:cs="Calibri"/>
          <w:bCs/>
          <w:sz w:val="22"/>
          <w:szCs w:val="22"/>
        </w:rPr>
        <w:t>IV Encontro da Associação Nacional de Pesquisa e Pós-Graduação em Arquitetura e Urbanismo – ENANPARQ, que será realizado em Porto Alegre entre os dias 25 a 29 de julho. A sessão temática terá como tema “Patrimônio Ambiental Urbano: Urbanidade e Construção de Cidade” e serão apresentados 5 trabalhos, selecionados entre 22 trabalhos submetidos.</w:t>
      </w:r>
      <w:r w:rsidR="005E3D6B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2.5. </w:t>
      </w:r>
      <w:r w:rsidR="005E3D6B" w:rsidRPr="0000789B">
        <w:rPr>
          <w:rFonts w:asciiTheme="minorHAnsi" w:hAnsiTheme="minorHAnsi" w:cs="Calibri"/>
          <w:color w:val="000000"/>
          <w:sz w:val="22"/>
          <w:szCs w:val="22"/>
        </w:rPr>
        <w:t>Fala do Selo Cultural e da necessidade de buscar parcerias para pesquisa e implementação do programa. Em conversa com o vereador Police Neto, surgiu a proposta de fazer um seminário na Câmara pra falar de necessidades e possíveis parcerias para o Patrimônio. O Conselheiro Adilson comenta que seria inédito se todos os vereadores destinassem emendas para o patrimônio.</w:t>
      </w:r>
      <w:r w:rsidR="005E3D6B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2.6. </w:t>
      </w:r>
      <w:r w:rsidR="002F1B79" w:rsidRPr="0000789B">
        <w:rPr>
          <w:rFonts w:asciiTheme="minorHAnsi" w:hAnsiTheme="minorHAnsi" w:cs="Calibri"/>
          <w:color w:val="000000"/>
          <w:sz w:val="22"/>
          <w:szCs w:val="22"/>
        </w:rPr>
        <w:t>A Presidente propõe discussão sobre a utilização dos recursos do FUNCAP. Por recomendação do Conselheiro Eduardo Mikalauskas foi aberto processo administrativo para tratar das prioridades e destinação de recursos do fundo. Foram colhidas as manifestações da Contabilidade e Assessoria Jurídica que informaram que os recursos só poderiam ser destinados para obras de restauro e aquisição de bens tombados. Dessa forma, a proposta de incluir a Jornada do Patrimônio nas prioridades do fundo, não pôde ser levada adiante uma vez que não pode receber recursos do fundo. O mesmo com a destinação de recursos para a Vila Maria Zélia por não ser de propriedade do Município. Por esse motivo, a Presidente sugere que além do restauro de parte do Monumento Ipiranga o Conselho discuta a inclusão do Restauro dos Arcos da Rua Jandaia, com valor orçado de 800 mil reais, nos projetos prioritários do FUNCAP. O Conselheiro Eduardo comenta a lista de projetos apresentada em última reunião, no mérito o Conselheiro se manifestou favorável a todos os projetos, mas desde que os recursos do FUNCAP pudessem ser usados para aquelas finalidades. Sobre o projeto de restauro dos Arcos da Rua Jandaia o Conselheiro Manhães concorda com a inclusão e propõe que como a obra anterior foi realizada pela subprefeitura que os recursos do Fundo fossem repassados para a sibprefeitura a fim de proceder o restauro. A Presidente julga que por se tratar de bem tombado, considerando a expertise do DPH o ideal seria se a pbra fosse contratada e acompanhada pelo DPH, mesmo se tratando de bem em espaço público de competência da subprefeitura.</w:t>
      </w:r>
      <w:r w:rsidR="00366CAA" w:rsidRPr="0000789B">
        <w:rPr>
          <w:rFonts w:asciiTheme="minorHAnsi" w:hAnsiTheme="minorHAnsi" w:cs="Calibri"/>
          <w:color w:val="000000"/>
          <w:sz w:val="22"/>
          <w:szCs w:val="22"/>
        </w:rPr>
        <w:t xml:space="preserve"> O Conselheiro José Geraldo questiona se os valores apresentados estão balizadas por planilhas </w:t>
      </w:r>
      <w:r w:rsidR="00366CAA" w:rsidRPr="0000789B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de custos. A Presidente explica </w:t>
      </w:r>
      <w:r w:rsidR="00726FE0">
        <w:rPr>
          <w:rFonts w:asciiTheme="minorHAnsi" w:hAnsiTheme="minorHAnsi" w:cs="Calibri"/>
          <w:color w:val="000000"/>
          <w:sz w:val="22"/>
          <w:szCs w:val="22"/>
        </w:rPr>
        <w:t xml:space="preserve">que </w:t>
      </w:r>
      <w:r w:rsidR="00366CAA" w:rsidRPr="0000789B">
        <w:rPr>
          <w:rFonts w:asciiTheme="minorHAnsi" w:hAnsiTheme="minorHAnsi" w:cs="Calibri"/>
          <w:color w:val="000000"/>
          <w:sz w:val="22"/>
          <w:szCs w:val="22"/>
        </w:rPr>
        <w:t>os procedimentos adotados para a constituição do valor de cada um dos projetos</w:t>
      </w:r>
      <w:r w:rsidR="00726FE0">
        <w:rPr>
          <w:rFonts w:asciiTheme="minorHAnsi" w:hAnsiTheme="minorHAnsi" w:cs="Calibri"/>
          <w:color w:val="000000"/>
          <w:sz w:val="22"/>
          <w:szCs w:val="22"/>
        </w:rPr>
        <w:t xml:space="preserve"> seguem os procedimentos usuais da gestão </w:t>
      </w:r>
      <w:proofErr w:type="gramStart"/>
      <w:r w:rsidR="00726FE0">
        <w:rPr>
          <w:rFonts w:asciiTheme="minorHAnsi" w:hAnsiTheme="minorHAnsi" w:cs="Calibri"/>
          <w:color w:val="000000"/>
          <w:sz w:val="22"/>
          <w:szCs w:val="22"/>
        </w:rPr>
        <w:t>pública</w:t>
      </w:r>
      <w:r w:rsidR="00366CAA" w:rsidRPr="0000789B">
        <w:rPr>
          <w:rFonts w:asciiTheme="minorHAnsi" w:hAnsiTheme="minorHAnsi" w:cs="Calibri"/>
          <w:color w:val="000000"/>
          <w:sz w:val="22"/>
          <w:szCs w:val="22"/>
        </w:rPr>
        <w:t>.</w:t>
      </w:r>
      <w:proofErr w:type="gramEnd"/>
      <w:r w:rsidR="00366CAA" w:rsidRPr="0000789B">
        <w:rPr>
          <w:rFonts w:asciiTheme="minorHAnsi" w:hAnsiTheme="minorHAnsi" w:cs="Calibri"/>
          <w:color w:val="000000"/>
          <w:sz w:val="22"/>
          <w:szCs w:val="22"/>
        </w:rPr>
        <w:t>O Conselheiro Eduardo comenta sua experiência no Fundo de Reparação de Bens Lesados no estado de São Paulo. Por resolução do Conselho se determinou os valores mínimo e máximo para aplicar por projeto.Dessa forma, a destinação era feita de forma a atender um número razoável de projetos. Para o Conselheiro a função do Conselho é estabelecer os parâmetros para os projetos contemplados, então se o projeto atender o mérito e estiver dentro dos parâmetros estabelecidos ele pode ser atendido. Com relação à licitação é responsabilidade do órgão que irá contratar o projeto atentar para o atendimento às regras de contratação e prestação de contas. O Conselho Alfredo Vieira propõe que seja empresas sejam consultadas para a constituição de parcerias visando o restauro.</w:t>
      </w:r>
      <w:r w:rsidR="005970AC" w:rsidRPr="0000789B">
        <w:rPr>
          <w:rFonts w:asciiTheme="minorHAnsi" w:hAnsiTheme="minorHAnsi" w:cs="Calibri"/>
          <w:color w:val="000000"/>
          <w:sz w:val="22"/>
          <w:szCs w:val="22"/>
        </w:rPr>
        <w:t xml:space="preserve"> O Conselheiro Ronaldo lembra que o DPH já tentou formular uma tabela de proços compostos para restauro, porém, atualemnte a referência é por meio das planilhas de EDIF e do Estado de São Paulo. Explica ainda que o preço global é feito “item por item” dentro de um preço composto. Presidente propõe retirar das ações do FUNCAP o que não é permitido pela lei e deliberar as ações e projetos permitidos em próxima reunião. Conselheiros estão de acordo.</w:t>
      </w:r>
      <w:r w:rsidR="005970AC" w:rsidRPr="0000789B">
        <w:rPr>
          <w:rFonts w:asciiTheme="minorHAnsi" w:hAnsiTheme="minorHAnsi" w:cs="Calibri"/>
          <w:b/>
          <w:sz w:val="22"/>
          <w:szCs w:val="22"/>
        </w:rPr>
        <w:t xml:space="preserve"> 2.7. </w:t>
      </w:r>
      <w:r w:rsidR="005970AC" w:rsidRPr="0000789B">
        <w:rPr>
          <w:rFonts w:asciiTheme="minorHAnsi" w:hAnsiTheme="minorHAnsi" w:cs="Calibri"/>
          <w:sz w:val="22"/>
          <w:szCs w:val="22"/>
        </w:rPr>
        <w:t>O Conselho recebe a visita da nova chefe de gabinete da Secretaria Municipal de Cultura, Rossella Rossetto. A Chefe de gabinete fala da avaliação entre desejos e realidades, bem como, possibilidades de investimentos ao longo do ano. Fala da importância do FUNCAP e da possibilidade de execução dos projetos de restauro do Monumento à Independência e Arcos da Rua Jandaia.</w:t>
      </w:r>
      <w:r w:rsidR="000C3702" w:rsidRPr="0000789B">
        <w:rPr>
          <w:rFonts w:asciiTheme="minorHAnsi" w:hAnsiTheme="minorHAnsi" w:cs="Calibri"/>
          <w:sz w:val="22"/>
          <w:szCs w:val="22"/>
        </w:rPr>
        <w:t xml:space="preserve"> </w:t>
      </w:r>
      <w:r w:rsidR="000C3702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expedientes: </w:t>
      </w:r>
      <w:r w:rsidRPr="0000789B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 w:rsidRPr="0000789B"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à Tombamentos:</w:t>
      </w:r>
      <w:r w:rsidRPr="0000789B">
        <w:rPr>
          <w:rFonts w:asciiTheme="minorHAnsi" w:hAnsiTheme="minorHAnsi" w:cs="Calibri"/>
          <w:sz w:val="22"/>
          <w:szCs w:val="22"/>
        </w:rPr>
        <w:t xml:space="preserve"> Processo: </w:t>
      </w:r>
      <w:r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2004-0.102.248-6: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Ação Ética &amp; Cidadania – Tombamento dos Imóveis na Rua Caio Prado – </w:t>
      </w:r>
      <w:r w:rsidRPr="0000789B">
        <w:rPr>
          <w:rFonts w:asciiTheme="minorHAnsi" w:hAnsiTheme="minorHAnsi"/>
          <w:sz w:val="22"/>
          <w:szCs w:val="22"/>
        </w:rPr>
        <w:t>Rua Caio Prado, 79, 211 e 225 - Consolação.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Relator: </w:t>
      </w:r>
      <w:r w:rsidRPr="0000789B">
        <w:rPr>
          <w:rFonts w:asciiTheme="minorHAnsi" w:hAnsiTheme="minorHAnsi" w:cs="Calibri"/>
          <w:sz w:val="22"/>
          <w:szCs w:val="22"/>
        </w:rPr>
        <w:t xml:space="preserve">José Geraldo. Vistas: Marcelo Manhães. 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O Conselheiro </w:t>
      </w:r>
      <w:r w:rsidR="000C3702" w:rsidRPr="0000789B">
        <w:rPr>
          <w:rFonts w:asciiTheme="minorHAnsi" w:hAnsiTheme="minorHAnsi" w:cs="Calibri"/>
          <w:sz w:val="22"/>
          <w:szCs w:val="22"/>
        </w:rPr>
        <w:t xml:space="preserve">Marcelo 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Manhães procede a leitura de seu relatório de vistas. Em parecer aborda questões conceituais e históricas. Se maifesta contrário ao tombamento dos três imóveis e sugere que caso o Conselho decida pelo tombamento, que o nível de proteção dos imóveis seja alterado para preservação externa uma vez que a minuta sugere a preservação de elementos internos e nos estudos não constam informações sobre o estado de conservação interna dos imóveis. O Conselheiro aborda questões relativas à preservação de bens privados que não ficam abertos ao público e dessa forma revertem poucos benefícios para a sociedade. </w:t>
      </w:r>
      <w:r w:rsidR="000C3702" w:rsidRPr="0000789B">
        <w:rPr>
          <w:rFonts w:asciiTheme="minorHAnsi" w:hAnsiTheme="minorHAnsi" w:cs="Calibri"/>
          <w:sz w:val="22"/>
          <w:szCs w:val="22"/>
        </w:rPr>
        <w:t xml:space="preserve">Questiona se o tombamento é sempre a melhor medida. 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Acredita que em alguns casos </w:t>
      </w:r>
      <w:r w:rsidR="000C3702" w:rsidRPr="0000789B">
        <w:rPr>
          <w:rFonts w:asciiTheme="minorHAnsi" w:hAnsiTheme="minorHAnsi" w:cs="Calibri"/>
          <w:sz w:val="22"/>
          <w:szCs w:val="22"/>
        </w:rPr>
        <w:t>muito mais produtivo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 </w:t>
      </w:r>
      <w:r w:rsidR="000C3702" w:rsidRPr="0000789B">
        <w:rPr>
          <w:rFonts w:asciiTheme="minorHAnsi" w:hAnsiTheme="minorHAnsi" w:cs="Calibri"/>
          <w:sz w:val="22"/>
          <w:szCs w:val="22"/>
        </w:rPr>
        <w:t>proceder o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 resgistro detalhado por meio de inventários e outras form</w:t>
      </w:r>
      <w:r w:rsidR="000C3702" w:rsidRPr="0000789B">
        <w:rPr>
          <w:rFonts w:asciiTheme="minorHAnsi" w:hAnsiTheme="minorHAnsi" w:cs="Calibri"/>
          <w:sz w:val="22"/>
          <w:szCs w:val="22"/>
        </w:rPr>
        <w:t xml:space="preserve">as de documentação e divulgação do que tombar sem contrapartida alguma para a sociedade. </w:t>
      </w:r>
      <w:r w:rsidR="005970AC" w:rsidRPr="0000789B">
        <w:rPr>
          <w:rFonts w:asciiTheme="minorHAnsi" w:hAnsiTheme="minorHAnsi" w:cs="Calibri"/>
          <w:sz w:val="22"/>
          <w:szCs w:val="22"/>
        </w:rPr>
        <w:t xml:space="preserve">A Presidente solicita vistas para avaliar as questões levantadas pelo Conselheiro e concorda com o Conselheiro na necessidade de uma atualização conceitual da prática da preservação. O Conselheiro Marco </w:t>
      </w:r>
      <w:r w:rsidR="000C3702" w:rsidRPr="0000789B">
        <w:rPr>
          <w:rFonts w:asciiTheme="minorHAnsi" w:hAnsiTheme="minorHAnsi" w:cs="Calibri"/>
          <w:sz w:val="22"/>
          <w:szCs w:val="22"/>
        </w:rPr>
        <w:t xml:space="preserve">discorda de Marcelo Manhães e defende a preservação externa desses imóveis por se tratar de um conjunto que constitui um testemunho da primeira ocupação daquela região. Para o Conselheiro relator o problema dessa instrução está em tratar o tombamento dos três imóveis em conjunto. O Conselheiro acredita que os imóveis são singulares mas não possuem a mesma importância. O Arquiteto Walter Pires reforça o posicionamento do conselheiro Marco e </w:t>
      </w:r>
      <w:r w:rsidR="000C3702" w:rsidRPr="0000789B">
        <w:rPr>
          <w:rFonts w:asciiTheme="minorHAnsi" w:hAnsiTheme="minorHAnsi" w:cs="Calibri"/>
          <w:sz w:val="22"/>
          <w:szCs w:val="22"/>
        </w:rPr>
        <w:lastRenderedPageBreak/>
        <w:t xml:space="preserve">lembra que o tombamento desses imóveis está associado a um dos últimos inventários desenvolvidos pelo DPH, o  IGEPAC  Consolação e ressalta que a leitura desses imóveis está associada ao conjunto da Consolação e a história da ocupação do bairro. </w:t>
      </w:r>
      <w:r w:rsidR="000C3702" w:rsidRPr="0000789B">
        <w:rPr>
          <w:rFonts w:asciiTheme="minorHAnsi" w:hAnsiTheme="minorHAnsi" w:cs="Calibri"/>
          <w:color w:val="000000"/>
          <w:sz w:val="22"/>
          <w:szCs w:val="22"/>
        </w:rPr>
        <w:t xml:space="preserve">Em razão do pedido de vistas efetuado pela Presidente, </w:t>
      </w:r>
      <w:r w:rsidR="006C338A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0C3702" w:rsidRPr="0000789B"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 w:rsidR="000C3702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Pr="0000789B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</w:t>
      </w:r>
      <w:r w:rsidR="000C3702" w:rsidRPr="0000789B">
        <w:rPr>
          <w:rFonts w:asciiTheme="minorHAnsi" w:hAnsiTheme="minorHAnsi" w:cs="Calibri"/>
          <w:i/>
          <w:iCs/>
          <w:sz w:val="22"/>
          <w:szCs w:val="22"/>
          <w:u w:val="single"/>
        </w:rPr>
        <w:t>para a 630ª Reunião Ordinária. Relativos à Tombamentos:</w:t>
      </w:r>
      <w:r w:rsidR="000C3702" w:rsidRPr="0000789B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P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ROCESSO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:</w:t>
      </w:r>
      <w:r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0C3702" w:rsidRPr="0000789B">
        <w:rPr>
          <w:rFonts w:asciiTheme="minorHAnsi" w:hAnsiTheme="minorHAnsi" w:cs="Calibri"/>
          <w:b/>
          <w:color w:val="000000"/>
          <w:sz w:val="22"/>
          <w:szCs w:val="22"/>
        </w:rPr>
        <w:t>2007-0.126.755-7</w:t>
      </w:r>
      <w:r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 w:rsidR="00F07E1C" w:rsidRPr="0000789B">
        <w:rPr>
          <w:rFonts w:asciiTheme="minorHAnsi" w:hAnsiTheme="minorHAnsi" w:cs="Calibri"/>
          <w:sz w:val="22"/>
          <w:szCs w:val="22"/>
        </w:rPr>
        <w:t>Câmara Municipal de São Paulo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F07E1C" w:rsidRPr="0000789B">
        <w:rPr>
          <w:rFonts w:asciiTheme="minorHAnsi" w:hAnsiTheme="minorHAnsi" w:cs="Calibri"/>
          <w:sz w:val="22"/>
          <w:szCs w:val="22"/>
        </w:rPr>
        <w:t>Tombamento da área da Sociedade Holandesa de São Paulo “Clube Holandês”</w:t>
      </w:r>
      <w:r w:rsidRPr="0000789B">
        <w:rPr>
          <w:rFonts w:asciiTheme="minorHAnsi" w:hAnsiTheme="minorHAnsi" w:cs="Calibri"/>
          <w:sz w:val="22"/>
          <w:szCs w:val="22"/>
        </w:rPr>
        <w:t xml:space="preserve"> – </w:t>
      </w:r>
      <w:r w:rsidR="00F07E1C" w:rsidRPr="0000789B">
        <w:rPr>
          <w:rFonts w:asciiTheme="minorHAnsi" w:hAnsiTheme="minorHAnsi" w:cs="Calibri"/>
          <w:sz w:val="22"/>
          <w:szCs w:val="22"/>
        </w:rPr>
        <w:t>Av. Raimundo Pereira de Magalhães, 4.123 - Pirituba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F07E1C" w:rsidRPr="0000789B">
        <w:rPr>
          <w:rFonts w:asciiTheme="minorHAnsi" w:hAnsiTheme="minorHAnsi" w:cs="Calibri"/>
          <w:sz w:val="22"/>
          <w:szCs w:val="22"/>
        </w:rPr>
        <w:t>Adilson Amadeu</w:t>
      </w:r>
      <w:r w:rsidRPr="0000789B">
        <w:rPr>
          <w:rFonts w:asciiTheme="minorHAnsi" w:hAnsiTheme="minorHAnsi" w:cs="Calibri"/>
          <w:sz w:val="22"/>
          <w:szCs w:val="22"/>
        </w:rPr>
        <w:t>.</w:t>
      </w:r>
      <w:r w:rsidR="00F07E1C" w:rsidRPr="0000789B">
        <w:rPr>
          <w:rFonts w:asciiTheme="minorHAnsi" w:hAnsiTheme="minorHAnsi" w:cs="Calibri"/>
          <w:sz w:val="22"/>
          <w:szCs w:val="22"/>
        </w:rPr>
        <w:t xml:space="preserve"> A arquiteta do DPH, Aline Estefan, apresenta proposta de tombamento do Clube Holandês. Em razão de problemas na tramitação, </w:t>
      </w:r>
      <w:r w:rsidR="006C338A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F07E1C" w:rsidRPr="0000789B"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 w:rsidR="00F07E1C" w:rsidRPr="0000789B">
        <w:rPr>
          <w:rFonts w:asciiTheme="minorHAnsi" w:hAnsiTheme="minorHAnsi" w:cs="Calibri"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 xml:space="preserve">-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P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ROCESSO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6C338A" w:rsidRPr="0000789B">
        <w:rPr>
          <w:rFonts w:asciiTheme="minorHAnsi" w:hAnsiTheme="minorHAnsi" w:cs="Calibri"/>
          <w:b/>
          <w:color w:val="000000"/>
          <w:sz w:val="22"/>
          <w:szCs w:val="22"/>
        </w:rPr>
        <w:t>2015-0.293.943-2</w:t>
      </w:r>
      <w:r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–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JHS Administração e Participações Ltda. / Lybia Meconi AreiasSammarone e outros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Recurso contra abertura de processo de tombamento/ Resolução 01/CONPRESP/2016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Ronaldo Parente.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Por solicitação do Conselheiro Relator, </w:t>
      </w:r>
      <w:r w:rsidR="006C338A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411843" w:rsidRPr="0000789B">
        <w:rPr>
          <w:rFonts w:asciiTheme="minorHAnsi" w:hAnsiTheme="minorHAnsi" w:cs="Calibri"/>
          <w:color w:val="000000"/>
          <w:sz w:val="22"/>
          <w:szCs w:val="22"/>
        </w:rPr>
        <w:t xml:space="preserve">-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6C338A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2016-0.072.423-6: </w:t>
      </w:r>
      <w:r w:rsidR="006C338A" w:rsidRPr="0000789B">
        <w:rPr>
          <w:rFonts w:asciiTheme="minorHAnsi" w:hAnsiTheme="minorHAnsi" w:cs="Calibri"/>
          <w:sz w:val="22"/>
          <w:szCs w:val="22"/>
        </w:rPr>
        <w:t>SEI Correia Dias Empreendimentos Imobiliários SPE Ltda.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6C338A" w:rsidRPr="0000789B">
        <w:rPr>
          <w:rFonts w:asciiTheme="minorHAnsi" w:hAnsiTheme="minorHAnsi" w:cs="Calibri"/>
          <w:sz w:val="22"/>
          <w:szCs w:val="22"/>
        </w:rPr>
        <w:t>Exclusão de imóvel da Resolução 22/CONPRESP/2015 – Rua Correia Dias, 73 e 93 – Vila Mariana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6C338A" w:rsidRPr="0000789B">
        <w:rPr>
          <w:rFonts w:asciiTheme="minorHAnsi" w:hAnsiTheme="minorHAnsi" w:cs="Calibri"/>
          <w:sz w:val="22"/>
          <w:szCs w:val="22"/>
        </w:rPr>
        <w:t xml:space="preserve">Eduardo Mikalauskas. Em razão de problemas na tramitação, </w:t>
      </w:r>
      <w:r w:rsidR="006C338A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6C338A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 w:rsidR="006C338A" w:rsidRPr="000078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3.3. </w:t>
      </w:r>
      <w:r w:rsidR="00411843" w:rsidRPr="0000789B"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à Aprovação de Projetos de Intervenção em Bens Protegidos</w:t>
      </w:r>
      <w:r w:rsidR="006C338A" w:rsidRPr="0000789B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11843" w:rsidRPr="0000789B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6C338A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2014-0.353.033-1: </w:t>
      </w:r>
      <w:r w:rsidR="006C338A" w:rsidRPr="0000789B">
        <w:rPr>
          <w:rFonts w:asciiTheme="minorHAnsi" w:hAnsiTheme="minorHAnsi" w:cs="Calibri"/>
          <w:sz w:val="22"/>
          <w:szCs w:val="22"/>
        </w:rPr>
        <w:t>Carlos Alberto de Oliveira Andrade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6C338A" w:rsidRPr="0000789B">
        <w:rPr>
          <w:rFonts w:asciiTheme="minorHAnsi" w:hAnsiTheme="minorHAnsi" w:cs="Calibri"/>
          <w:sz w:val="22"/>
          <w:szCs w:val="22"/>
        </w:rPr>
        <w:t>Remembramento de Lotes – Rua Suécia, 78 – Jardim Paulista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6C338A" w:rsidRPr="0000789B">
        <w:rPr>
          <w:rFonts w:asciiTheme="minorHAnsi" w:hAnsiTheme="minorHAnsi" w:cs="Calibri"/>
          <w:sz w:val="22"/>
          <w:szCs w:val="22"/>
        </w:rPr>
        <w:t xml:space="preserve">Eduardo Mikalauskas. Vistas: José Geraldo. 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 xml:space="preserve">O Conselheiro José Geraldo solicita mais prazo para vistas. Em razão desse pedido, </w:t>
      </w:r>
      <w:r w:rsidR="006C338A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6C338A" w:rsidRPr="0000789B">
        <w:rPr>
          <w:rFonts w:asciiTheme="minorHAnsi" w:hAnsiTheme="minorHAnsi" w:cs="Calibri"/>
          <w:color w:val="000000"/>
          <w:sz w:val="22"/>
          <w:szCs w:val="22"/>
        </w:rPr>
        <w:t>.</w:t>
      </w:r>
      <w:r w:rsidR="00411843" w:rsidRPr="0000789B">
        <w:rPr>
          <w:rFonts w:asciiTheme="minorHAnsi" w:hAnsiTheme="minorHAnsi" w:cs="Calibri"/>
          <w:color w:val="000000"/>
          <w:sz w:val="22"/>
          <w:szCs w:val="22"/>
        </w:rPr>
        <w:t xml:space="preserve"> - PROCESSO: </w:t>
      </w:r>
      <w:r w:rsidR="00411843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2014-0.286.724-3(Ac. 2016-0.004.688-2) – </w:t>
      </w:r>
      <w:r w:rsidR="00411843" w:rsidRPr="0000789B">
        <w:rPr>
          <w:rFonts w:asciiTheme="minorHAnsi" w:hAnsiTheme="minorHAnsi" w:cs="Calibri"/>
          <w:color w:val="000000"/>
          <w:sz w:val="22"/>
          <w:szCs w:val="22"/>
        </w:rPr>
        <w:t xml:space="preserve">RMVDPAR Administração e Participações S.A. – Reconsideração de Despacho/Reforma – Rua Cardoso de Almeida, 520 – Perdizes. Relator: Ronaldo Parente. Vistas: Nadia Somekh. Os Conselheiros discutem questões relativas aos despachos anteriores. Existem divergências entre o entendimento do Conselheiro Ronaldo e da Assessoria Jurídica da SMC. Em razão do pedido de vistas efetuado pelo Conselheiro Eduardo Mikalauskas, </w:t>
      </w:r>
      <w:r w:rsidR="00411843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411843" w:rsidRPr="0000789B"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 w:rsidR="00411843" w:rsidRPr="0000789B">
        <w:rPr>
          <w:rFonts w:asciiTheme="minorHAnsi" w:hAnsiTheme="minorHAnsi" w:cs="Calibri"/>
          <w:color w:val="000000"/>
          <w:sz w:val="22"/>
          <w:szCs w:val="22"/>
        </w:rPr>
        <w:t xml:space="preserve"> - PROCESSO: </w:t>
      </w:r>
      <w:r w:rsidR="00411843" w:rsidRPr="0000789B">
        <w:rPr>
          <w:rFonts w:asciiTheme="minorHAnsi" w:hAnsiTheme="minorHAnsi" w:cs="Calibri"/>
          <w:b/>
          <w:color w:val="000000"/>
          <w:sz w:val="22"/>
          <w:szCs w:val="22"/>
        </w:rPr>
        <w:t>2013-0.183.751-9</w:t>
      </w:r>
      <w:r w:rsidR="00411843" w:rsidRPr="0000789B">
        <w:rPr>
          <w:rFonts w:asciiTheme="minorHAnsi" w:hAnsiTheme="minorHAnsi" w:cs="Calibri"/>
          <w:color w:val="000000"/>
          <w:sz w:val="22"/>
          <w:szCs w:val="22"/>
        </w:rPr>
        <w:t>: Irmandade Santa Casa de Misericórdia de São Paulo – Regularização e Reforma – Av. Luís Stamatis, 103 - Jaçanã. Relator: Marcelo Manhães. O Conselheiro levanta duas questões específicas sobre o caso, a primeira diz respeito à regularização pretendida. O DPH se manifesta contrário ao pedido</w:t>
      </w:r>
      <w:r w:rsidR="001434F7" w:rsidRPr="0000789B">
        <w:rPr>
          <w:rFonts w:asciiTheme="minorHAnsi" w:hAnsiTheme="minorHAnsi" w:cs="Calibri"/>
          <w:color w:val="000000"/>
          <w:sz w:val="22"/>
          <w:szCs w:val="22"/>
        </w:rPr>
        <w:t xml:space="preserve"> mas o Conselheiro não encontrou manifestação específica sobre o pedido de regularização de 750 metros de área. Sugere que o processo retorne ao DPH para manifestação sobre esse pedido específico. Outra questão levantada é a da aplicação de multa. O Conselheiro julga pernitente a aplicação de multa,porém questiona se os imóveis demolidos na época da abertura de processo de tombado seriam tombados ou não, uma vez que a informação interfere no cálculo da multa a ser aplicada. O Conselheiro Marco informa que os imóveis seriam tombados. Esclarecido uma das questões abordadas, </w:t>
      </w:r>
      <w:r w:rsidR="001434F7" w:rsidRPr="0000789B">
        <w:rPr>
          <w:rFonts w:asciiTheme="minorHAnsi" w:hAnsiTheme="minorHAnsi" w:cs="Calibri"/>
          <w:b/>
          <w:color w:val="000000"/>
          <w:sz w:val="22"/>
          <w:szCs w:val="22"/>
        </w:rPr>
        <w:t>O PROCESSO DEVERÁ RETORNAR AO DPH</w:t>
      </w:r>
      <w:r w:rsidR="001434F7" w:rsidRPr="0000789B">
        <w:rPr>
          <w:rFonts w:asciiTheme="minorHAnsi" w:hAnsiTheme="minorHAnsi" w:cs="Calibri"/>
          <w:color w:val="000000"/>
          <w:sz w:val="22"/>
          <w:szCs w:val="22"/>
        </w:rPr>
        <w:t>, para análise específica do pedido de regularização de 750 metros quadrados de área.</w:t>
      </w:r>
      <w:r w:rsidR="001434F7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. </w:t>
      </w:r>
      <w:r w:rsidR="001434F7" w:rsidRPr="0000789B"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 w:rsidR="001434F7" w:rsidRPr="0000789B">
        <w:rPr>
          <w:rFonts w:asciiTheme="minorHAnsi" w:hAnsiTheme="minorHAnsi"/>
          <w:b/>
          <w:bCs/>
          <w:sz w:val="22"/>
          <w:szCs w:val="22"/>
        </w:rPr>
        <w:t>2015-0.093.202-3:</w:t>
      </w:r>
      <w:r w:rsidR="001434F7" w:rsidRPr="0000789B">
        <w:rPr>
          <w:rFonts w:asciiTheme="minorHAnsi" w:hAnsiTheme="minorHAnsi"/>
          <w:sz w:val="22"/>
          <w:szCs w:val="22"/>
        </w:rPr>
        <w:t>Tribunal Regional Eleitoral de São Paulo</w:t>
      </w:r>
      <w:r w:rsidR="001434F7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Reforma – Rua Líbero Badaró, 93 x Rua José Bonifácio, 380 - Centro. Relator: Alfredo Vieira. </w:t>
      </w:r>
      <w:r w:rsidR="001434F7" w:rsidRPr="0000789B">
        <w:rPr>
          <w:rFonts w:asciiTheme="minorHAnsi" w:hAnsiTheme="minorHAnsi" w:cs="Calibri"/>
          <w:b/>
          <w:i/>
          <w:color w:val="000000"/>
          <w:sz w:val="22"/>
          <w:szCs w:val="22"/>
        </w:rPr>
        <w:lastRenderedPageBreak/>
        <w:t>Relato:</w:t>
      </w:r>
      <w:r w:rsidR="001434F7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 Conforme documentos acostados ao processo, o interessado apresentou projeto de reforma de edificação tombada pela Resolução 37/92 com nível de proteção 3. O parecer de DPH assinado pelo chefe da seção técnica Ilan Szklo a fls. 122/124 consta que a documentação juntada pelo interessado atendeu parcialmente a todas solicitações do DPH, razão pela qual apresentamanifestação favorável com diretrizes listadas a fls. 123 e 124. Em face do exposto, sob o enfoque da preservação, salvo dispositivo legal em contrário, considerando que a documentação necessária foi apresentadaparcialmente, voto favorável com diretrizes ao pedido solicitado acompanhando análise técnica de fls. 122/124.</w:t>
      </w:r>
      <w:r w:rsidR="001434F7" w:rsidRPr="0000789B">
        <w:rPr>
          <w:rFonts w:asciiTheme="minorHAnsi" w:hAnsiTheme="minorHAnsi" w:cs="Calibri"/>
          <w:color w:val="000000"/>
          <w:sz w:val="22"/>
          <w:szCs w:val="22"/>
        </w:rPr>
        <w:t xml:space="preserve"> É dado início à votação. </w:t>
      </w:r>
      <w:r w:rsidR="001434F7" w:rsidRPr="0000789B"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projeto de </w:t>
      </w:r>
      <w:r w:rsidR="001434F7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REFORMA</w:t>
      </w:r>
      <w:r w:rsidR="001434F7" w:rsidRPr="0000789B"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 w:rsidR="001434F7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DIRETRIZES, </w:t>
      </w:r>
      <w:r w:rsidR="001434F7" w:rsidRPr="0000789B">
        <w:rPr>
          <w:rFonts w:asciiTheme="minorHAnsi" w:hAnsiTheme="minorHAnsi" w:cs="Tahoma"/>
          <w:bCs/>
          <w:color w:val="000000"/>
          <w:sz w:val="22"/>
          <w:szCs w:val="22"/>
        </w:rPr>
        <w:t>a saber</w:t>
      </w:r>
      <w:r w:rsidR="001434F7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: </w:t>
      </w:r>
      <w:r w:rsidR="001434F7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1) </w:t>
      </w:r>
      <w:r w:rsidR="001434F7" w:rsidRPr="0000789B">
        <w:rPr>
          <w:rFonts w:asciiTheme="minorHAnsi" w:hAnsiTheme="minorHAnsi" w:cs="Calibri"/>
          <w:i/>
          <w:color w:val="000000"/>
          <w:sz w:val="22"/>
          <w:szCs w:val="22"/>
        </w:rPr>
        <w:t>Apresentar, dentro do prazo máximo de 60(sessenta dias), a adequação do projeto de conservação do edifício com frente para a Rua Líbero Badaró;</w:t>
      </w:r>
      <w:r w:rsidR="001434F7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 </w:t>
      </w:r>
      <w:r w:rsidR="001434F7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2) </w:t>
      </w:r>
      <w:r w:rsidR="001434F7" w:rsidRPr="0000789B">
        <w:rPr>
          <w:rFonts w:asciiTheme="minorHAnsi" w:hAnsiTheme="minorHAnsi" w:cs="Calibri"/>
          <w:i/>
          <w:color w:val="000000"/>
          <w:sz w:val="22"/>
          <w:szCs w:val="22"/>
        </w:rPr>
        <w:t>A limpeza das pastilhas cerâmicas do edifício com frente para Rua José Bonifácio deverá ser executada com a técnica de hidrojateamento e a utilização de detergente neutro, exclusivamente, não ficando permitido qualquer substância ácida ou corrosiva;</w:t>
      </w:r>
      <w:r w:rsidR="009470C5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 </w:t>
      </w:r>
      <w:r w:rsidR="009470C5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3) </w:t>
      </w:r>
      <w:r w:rsidR="001434F7" w:rsidRPr="0000789B">
        <w:rPr>
          <w:rFonts w:asciiTheme="minorHAnsi" w:hAnsiTheme="minorHAnsi" w:cs="Calibri"/>
          <w:i/>
          <w:color w:val="000000"/>
          <w:sz w:val="22"/>
          <w:szCs w:val="22"/>
        </w:rPr>
        <w:t>Esta aprovação não autoriza qualquer tipo de pintura nas fachadas de nenhum dos dois edifícios, estando liberado para a execução somente os serviços propostos para o edifício da Rua José Bonifácio</w:t>
      </w:r>
      <w:r w:rsidR="009470C5" w:rsidRPr="0000789B">
        <w:rPr>
          <w:rFonts w:asciiTheme="minorHAnsi" w:hAnsiTheme="minorHAnsi" w:cs="Calibri"/>
          <w:i/>
          <w:color w:val="000000"/>
          <w:sz w:val="22"/>
          <w:szCs w:val="22"/>
        </w:rPr>
        <w:t>.</w:t>
      </w:r>
      <w:r w:rsidR="009470C5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 w:rsidR="009470C5" w:rsidRPr="0000789B">
        <w:rPr>
          <w:rFonts w:asciiTheme="minorHAnsi" w:hAnsiTheme="minorHAnsi"/>
          <w:b/>
          <w:bCs/>
          <w:sz w:val="22"/>
          <w:szCs w:val="22"/>
        </w:rPr>
        <w:t xml:space="preserve">2005-0.155.099-9: </w:t>
      </w:r>
      <w:r w:rsidR="009470C5" w:rsidRPr="0000789B">
        <w:rPr>
          <w:rFonts w:asciiTheme="minorHAnsi" w:hAnsiTheme="minorHAnsi"/>
          <w:sz w:val="22"/>
          <w:szCs w:val="22"/>
        </w:rPr>
        <w:t>Luiz Augusto de Arruda Botelho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Reforma – Av. Brigadeiro Luís Antônio, 3.849 – Jardim Paulista. Relator: Eduardo Mikalaukas. Por solicitação do Conselheiro Relator, </w:t>
      </w:r>
      <w:r w:rsidR="009470C5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. - PROCESSO: </w:t>
      </w:r>
      <w:r w:rsidR="009470C5" w:rsidRPr="0000789B">
        <w:rPr>
          <w:rFonts w:asciiTheme="minorHAnsi" w:hAnsiTheme="minorHAnsi"/>
          <w:b/>
          <w:bCs/>
          <w:sz w:val="22"/>
          <w:szCs w:val="22"/>
        </w:rPr>
        <w:t xml:space="preserve">2016-0.000.624-4: </w:t>
      </w:r>
      <w:r w:rsidR="009470C5" w:rsidRPr="0000789B">
        <w:rPr>
          <w:rFonts w:asciiTheme="minorHAnsi" w:hAnsiTheme="minorHAnsi"/>
          <w:sz w:val="22"/>
          <w:szCs w:val="22"/>
        </w:rPr>
        <w:t>Primeira Igreja Presbiteriana de Formosa São Paulo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Restauro – Rua Dr. Siqueira Campos, 104 à 128 - Liberdade. Relator: Penha Pacca. </w:t>
      </w:r>
      <w:r w:rsidR="009470C5" w:rsidRPr="0000789B">
        <w:rPr>
          <w:rFonts w:asciiTheme="minorHAnsi" w:hAnsiTheme="minorHAnsi" w:cs="Calibri"/>
          <w:b/>
          <w:i/>
          <w:color w:val="000000"/>
          <w:sz w:val="22"/>
          <w:szCs w:val="22"/>
        </w:rPr>
        <w:t>Relato:</w:t>
      </w:r>
      <w:r w:rsidR="009470C5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 Trata o presente de Reforma e projeto de edificação nova com demolição em um conjunto de imóveis em situação de processo de tombamento, no bairro da Liberdade. O projeto apresentado é uma edificação nova com proposta de conservação dos imóveis em processo de tombamento, com preservação da fachada e demolição da parte dos fundos. O projeto da nova construção é de linguagem contemporânea, deixando as edificações protegidas em destaque na frente dos lotes.Concordamos com o parecer técnico do DPH, favorável com diretriz. Encaminhamos o presente para apreciação e deliberação do CONPRESP.</w:t>
      </w:r>
      <w:r w:rsidR="009470C5" w:rsidRPr="0000789B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É dado início à votação. </w:t>
      </w:r>
      <w:r w:rsidR="009470C5" w:rsidRPr="0000789B"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projeto de </w:t>
      </w:r>
      <w:r w:rsidR="009470C5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RESTAURO</w:t>
      </w:r>
      <w:r w:rsidR="009470C5" w:rsidRPr="0000789B"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 w:rsidR="009470C5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DIRETRIZES, </w:t>
      </w:r>
      <w:r w:rsidR="009470C5" w:rsidRPr="0000789B">
        <w:rPr>
          <w:rFonts w:asciiTheme="minorHAnsi" w:hAnsiTheme="minorHAnsi" w:cs="Tahoma"/>
          <w:bCs/>
          <w:color w:val="000000"/>
          <w:sz w:val="22"/>
          <w:szCs w:val="22"/>
        </w:rPr>
        <w:t>a saber</w:t>
      </w:r>
      <w:r w:rsidR="009470C5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: </w:t>
      </w:r>
      <w:r w:rsidR="009470C5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1) </w:t>
      </w:r>
      <w:r w:rsidR="009470C5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Com parecer favorável para a concepção arquitetônica apresentada, deve ser protocolado projeto completo em duas vias da intervenção e do restauro dos imóveis no padrão PMSP para deliberação final. </w:t>
      </w:r>
      <w:r w:rsidR="009470C5" w:rsidRPr="000078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3.4</w:t>
      </w:r>
      <w:r w:rsidRPr="000078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9470C5" w:rsidRPr="0000789B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630</w:t>
      </w:r>
      <w:r w:rsidRPr="0000789B"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Ordinária: Relativos à aprovação de projetos de intervenção em bens protegidos:</w:t>
      </w:r>
      <w:r w:rsidR="009470C5" w:rsidRPr="0000789B">
        <w:rPr>
          <w:rFonts w:asciiTheme="minorHAnsi" w:hAnsiTheme="minorHAnsi" w:cs="Calibri"/>
          <w:iCs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>P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>ROCESSO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9470C5" w:rsidRPr="0000789B">
        <w:rPr>
          <w:rFonts w:asciiTheme="minorHAnsi" w:hAnsiTheme="minorHAnsi" w:cs="Calibri"/>
          <w:b/>
          <w:color w:val="000000"/>
          <w:sz w:val="22"/>
          <w:szCs w:val="22"/>
        </w:rPr>
        <w:t>2014-0.031.869-2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>Eduardo Velucci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>Construção de Conjunto Residencial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>Rua Santo Amaro, 554 – Bela Vista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>Penha Pacca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9470C5" w:rsidRPr="0000789B">
        <w:rPr>
          <w:rFonts w:asciiTheme="minorHAnsi" w:hAnsiTheme="minorHAnsi" w:cs="Calibri"/>
          <w:sz w:val="22"/>
          <w:szCs w:val="22"/>
        </w:rPr>
        <w:t xml:space="preserve">Em razão de problemas na tramitação, </w:t>
      </w:r>
      <w:r w:rsidR="009470C5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9470C5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. - 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14DA7" w:rsidRPr="0000789B">
        <w:rPr>
          <w:rFonts w:asciiTheme="minorHAnsi" w:hAnsiTheme="minorHAnsi" w:cs="Calibri"/>
          <w:b/>
          <w:color w:val="000000"/>
          <w:sz w:val="22"/>
          <w:szCs w:val="22"/>
        </w:rPr>
        <w:t>2015-0.276.638-4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Paula Alcantara Barbosa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Demolição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Rua Antônio Fidelis, 55 - Lapa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Adilson Amadeu</w:t>
      </w:r>
      <w:r w:rsidR="009470C5" w:rsidRPr="0000789B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9470C5" w:rsidRPr="0000789B">
        <w:rPr>
          <w:rFonts w:asciiTheme="minorHAnsi" w:hAnsiTheme="minorHAnsi" w:cs="Calibri"/>
          <w:sz w:val="22"/>
          <w:szCs w:val="22"/>
        </w:rPr>
        <w:t xml:space="preserve">Em razão de problemas na tramitação, </w:t>
      </w:r>
      <w:r w:rsidR="009470C5"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9470C5" w:rsidRPr="0000789B">
        <w:rPr>
          <w:rFonts w:asciiTheme="minorHAnsi" w:hAnsiTheme="minorHAnsi" w:cs="Calibri"/>
          <w:b/>
          <w:color w:val="000000"/>
          <w:sz w:val="22"/>
          <w:szCs w:val="22"/>
        </w:rPr>
        <w:t>. -</w:t>
      </w:r>
      <w:r w:rsidR="00A14DA7" w:rsidRPr="0000789B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14DA7" w:rsidRPr="0000789B">
        <w:rPr>
          <w:rFonts w:asciiTheme="minorHAnsi" w:hAnsiTheme="minorHAnsi" w:cs="Calibri"/>
          <w:b/>
          <w:color w:val="000000"/>
          <w:sz w:val="22"/>
          <w:szCs w:val="22"/>
        </w:rPr>
        <w:t>2015-0.306.292-5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 xml:space="preserve">: GMR 01 Empreendimentos Imobiliárias Ltda. – Demolição – Rua Domingos Paiva, 142 e 152 com Rua Martim Burchard, 187 - Brás. Relator: Ronaldo Parente. </w:t>
      </w:r>
      <w:r w:rsidR="00A14DA7" w:rsidRPr="0000789B">
        <w:rPr>
          <w:rFonts w:asciiTheme="minorHAnsi" w:hAnsiTheme="minorHAnsi" w:cs="Calibri"/>
          <w:b/>
          <w:i/>
          <w:color w:val="000000"/>
          <w:sz w:val="22"/>
          <w:szCs w:val="22"/>
        </w:rPr>
        <w:t>Relato:</w:t>
      </w:r>
      <w:r w:rsidR="00A14DA7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 Trata o presente de pedido de demolição de galpões situados dentro da área envoltória da Estação do brás, tombado </w:t>
      </w:r>
      <w:r w:rsidR="00A14DA7" w:rsidRPr="0000789B">
        <w:rPr>
          <w:rFonts w:asciiTheme="minorHAnsi" w:hAnsiTheme="minorHAnsi" w:cs="Calibri"/>
          <w:i/>
          <w:color w:val="000000"/>
          <w:sz w:val="22"/>
          <w:szCs w:val="22"/>
        </w:rPr>
        <w:lastRenderedPageBreak/>
        <w:t xml:space="preserve">ex-offício pela Resolução 05/CONPRESP/91 e Resolução Condephaat SC 22/82. Em que pese a louvável preocupação do setor técnico da STCT com as questões ambientais referentes às novas construções no local não há como exigir do interessado a apresentação de projeto para a nova ocupação do lote. Face ao exposto acompanho a manifestação da diretoria da Divisão de Preservação com parecer favorável com diretriz.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 xml:space="preserve">É dado início à votação. </w:t>
      </w:r>
      <w:r w:rsidR="00A14DA7" w:rsidRPr="0000789B"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pedido de </w:t>
      </w:r>
      <w:r w:rsidR="00A14DA7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DEMOLIÇÃO</w:t>
      </w:r>
      <w:r w:rsidR="00A14DA7" w:rsidRPr="0000789B"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 w:rsidR="00A14DA7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DIRETRIZES, </w:t>
      </w:r>
      <w:r w:rsidR="00A14DA7" w:rsidRPr="0000789B">
        <w:rPr>
          <w:rFonts w:asciiTheme="minorHAnsi" w:hAnsiTheme="minorHAnsi" w:cs="Tahoma"/>
          <w:bCs/>
          <w:color w:val="000000"/>
          <w:sz w:val="22"/>
          <w:szCs w:val="22"/>
        </w:rPr>
        <w:t>a saber</w:t>
      </w:r>
      <w:r w:rsidR="00A14DA7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: </w:t>
      </w:r>
      <w:r w:rsidR="00A14DA7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1) </w:t>
      </w:r>
      <w:r w:rsidR="00A14DA7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As novas construções deverão considerar a valorização dos bens de valor histórico próximo ao lote.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 w:rsidR="00A14DA7" w:rsidRPr="0000789B">
        <w:rPr>
          <w:rFonts w:asciiTheme="minorHAnsi" w:hAnsiTheme="minorHAnsi"/>
          <w:b/>
          <w:bCs/>
          <w:sz w:val="22"/>
          <w:szCs w:val="22"/>
        </w:rPr>
        <w:t>2015-0.261.834-2</w:t>
      </w:r>
      <w:r w:rsidRPr="0000789B">
        <w:rPr>
          <w:rFonts w:asciiTheme="minorHAnsi" w:hAnsiTheme="minorHAnsi"/>
          <w:b/>
          <w:bCs/>
          <w:sz w:val="22"/>
          <w:szCs w:val="22"/>
        </w:rPr>
        <w:t>:</w:t>
      </w:r>
      <w:r w:rsidR="00A14DA7" w:rsidRPr="000078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4DA7" w:rsidRPr="0000789B">
        <w:rPr>
          <w:rFonts w:asciiTheme="minorHAnsi" w:hAnsiTheme="minorHAnsi"/>
          <w:sz w:val="22"/>
          <w:szCs w:val="22"/>
        </w:rPr>
        <w:t>Empresa Brasileira de Infra-Estrutura Aeroportuária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– Reforma – Rua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Av. Washington Luís, s/n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>Marco Winther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A14DA7" w:rsidRPr="0000789B">
        <w:rPr>
          <w:rFonts w:asciiTheme="minorHAnsi" w:hAnsiTheme="minorHAnsi" w:cs="Calibri"/>
          <w:b/>
          <w:i/>
          <w:color w:val="000000"/>
          <w:sz w:val="22"/>
          <w:szCs w:val="22"/>
        </w:rPr>
        <w:t>Relato:</w:t>
      </w:r>
      <w:r w:rsidR="00A14DA7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 Trata-se de proposta de reforma e adequação do sistema de ar condicionado e de energia elétrica do Aeroporto de Congonhas. O Sistema de ar condicionado será instalado na área do saguão do aeroporto e no mezanino, distribuídos por toda a extensão do forro, e totens enconstados nas colunas. A análise técnica da STPRC solicitou justificativa e reposicionamento dos pontos de ar, para melhor adequação do projeto à arquitetura do edifício. As demais intervenções do sistema: portas de </w:t>
      </w:r>
      <w:r w:rsidR="0000789B" w:rsidRPr="0000789B">
        <w:rPr>
          <w:rFonts w:asciiTheme="minorHAnsi" w:hAnsiTheme="minorHAnsi" w:cs="Calibri"/>
          <w:i/>
          <w:color w:val="000000"/>
          <w:sz w:val="22"/>
          <w:szCs w:val="22"/>
        </w:rPr>
        <w:t>vidro e construções de edificíos para a Central de água gelada e subestação de distribuição secundária, não interferem negativamente no bem tombado. Assim sendo, após o atendimento ao comunique-se e considerando a necessidade de climatização dos ambientes para conforto dos usuários e fundionários, acompanhamos a manifestação técnica favorável com diretrizes</w:t>
      </w:r>
      <w:r w:rsidR="00A14DA7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. </w:t>
      </w:r>
      <w:r w:rsidR="00A14DA7" w:rsidRPr="0000789B">
        <w:rPr>
          <w:rFonts w:asciiTheme="minorHAnsi" w:hAnsiTheme="minorHAnsi" w:cs="Calibri"/>
          <w:color w:val="000000"/>
          <w:sz w:val="22"/>
          <w:szCs w:val="22"/>
        </w:rPr>
        <w:t xml:space="preserve">É dado início à votação. </w:t>
      </w:r>
      <w:r w:rsidR="00A14DA7" w:rsidRPr="0000789B"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pedido de </w:t>
      </w:r>
      <w:r w:rsidR="0000789B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REFORMA</w:t>
      </w:r>
      <w:r w:rsidR="00A14DA7" w:rsidRPr="0000789B"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 w:rsidR="00A14DA7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DIRETRIZES, </w:t>
      </w:r>
      <w:r w:rsidR="00A14DA7" w:rsidRPr="0000789B">
        <w:rPr>
          <w:rFonts w:asciiTheme="minorHAnsi" w:hAnsiTheme="minorHAnsi" w:cs="Tahoma"/>
          <w:bCs/>
          <w:color w:val="000000"/>
          <w:sz w:val="22"/>
          <w:szCs w:val="22"/>
        </w:rPr>
        <w:t>a saber</w:t>
      </w:r>
      <w:r w:rsidR="00A14DA7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: </w:t>
      </w:r>
      <w:r w:rsidR="00A14DA7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1) </w:t>
      </w:r>
      <w:r w:rsidR="0000789B" w:rsidRPr="0000789B">
        <w:rPr>
          <w:rFonts w:asciiTheme="minorHAnsi" w:hAnsiTheme="minorHAnsi" w:cs="Calibri"/>
          <w:i/>
          <w:color w:val="000000"/>
          <w:sz w:val="22"/>
          <w:szCs w:val="22"/>
        </w:rPr>
        <w:t>Os insufladores FCU-TE-62 e FCU-TE-63 representados à prancha 1/2 não poderão ser instalados sobre elementos ornamentais devendo-se encontrar outra localização em área lisa do forro ou outra situação;</w:t>
      </w:r>
      <w:r w:rsidR="0000789B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  2) </w:t>
      </w:r>
      <w:r w:rsidR="0000789B" w:rsidRPr="0000789B">
        <w:rPr>
          <w:rFonts w:asciiTheme="minorHAnsi" w:hAnsiTheme="minorHAnsi" w:cs="Calibri"/>
          <w:i/>
          <w:color w:val="000000"/>
          <w:sz w:val="22"/>
          <w:szCs w:val="22"/>
        </w:rPr>
        <w:t xml:space="preserve">Após a realização das obras deverá ser apresentado ao CONPRESP relatório fotográfico que comprove o atendimento á diretriz para ser anexado ao processo;  </w:t>
      </w:r>
      <w:r w:rsidR="0000789B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>3)</w:t>
      </w:r>
      <w:r w:rsidR="0000789B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0789B" w:rsidRPr="0000789B">
        <w:rPr>
          <w:rFonts w:asciiTheme="minorHAnsi" w:hAnsiTheme="minorHAnsi" w:cs="Calibri"/>
          <w:i/>
          <w:color w:val="000000"/>
          <w:sz w:val="22"/>
          <w:szCs w:val="22"/>
        </w:rPr>
        <w:t>Apresentar Plano Diretor de futuras alterações.</w:t>
      </w:r>
      <w:r w:rsidR="0000789B" w:rsidRPr="0000789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0789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4. Apresentação de temas gerais. 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O Conselheiro Marco Winther apresenta </w:t>
      </w:r>
      <w:r w:rsidR="0000789B" w:rsidRPr="0000789B">
        <w:rPr>
          <w:rFonts w:asciiTheme="minorHAnsi" w:hAnsiTheme="minorHAnsi" w:cs="Calibri"/>
          <w:color w:val="000000"/>
          <w:sz w:val="22"/>
          <w:szCs w:val="22"/>
        </w:rPr>
        <w:t>documento de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interesse da Municipalidade a </w:t>
      </w:r>
      <w:r w:rsidR="0000789B" w:rsidRPr="0000789B">
        <w:rPr>
          <w:rFonts w:asciiTheme="minorHAnsi" w:hAnsiTheme="minorHAnsi" w:cs="Calibri"/>
          <w:color w:val="000000"/>
          <w:sz w:val="22"/>
          <w:szCs w:val="22"/>
        </w:rPr>
        <w:t>ser deliberado</w:t>
      </w:r>
      <w:r w:rsidRPr="0000789B">
        <w:rPr>
          <w:rFonts w:asciiTheme="minorHAnsi" w:hAnsiTheme="minorHAnsi" w:cs="Calibri"/>
          <w:color w:val="000000"/>
          <w:sz w:val="22"/>
          <w:szCs w:val="22"/>
        </w:rPr>
        <w:t xml:space="preserve"> em caráter extra pauta: </w:t>
      </w:r>
      <w:r w:rsidR="0000789B" w:rsidRPr="0000789B">
        <w:rPr>
          <w:rFonts w:asciiTheme="minorHAnsi" w:hAnsiTheme="minorHAnsi" w:cs="Tahoma"/>
          <w:bCs/>
          <w:color w:val="000000"/>
          <w:sz w:val="22"/>
          <w:szCs w:val="22"/>
        </w:rPr>
        <w:t>DOCUMENTO</w:t>
      </w:r>
      <w:r w:rsidRPr="0000789B">
        <w:rPr>
          <w:rFonts w:asciiTheme="minorHAnsi" w:hAnsiTheme="minorHAnsi" w:cs="Tahoma"/>
          <w:bCs/>
          <w:color w:val="000000"/>
          <w:sz w:val="22"/>
          <w:szCs w:val="22"/>
        </w:rPr>
        <w:t>:</w:t>
      </w:r>
      <w:r w:rsidR="0000789B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TID 15004014</w:t>
      </w:r>
      <w:r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:</w:t>
      </w:r>
      <w:r w:rsidR="0000789B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00789B" w:rsidRPr="0000789B">
        <w:rPr>
          <w:rFonts w:asciiTheme="minorHAnsi" w:hAnsiTheme="minorHAnsi" w:cs="Tahoma"/>
          <w:color w:val="000000"/>
          <w:sz w:val="22"/>
          <w:szCs w:val="22"/>
        </w:rPr>
        <w:t>CADES Regional Vila Mariana</w:t>
      </w:r>
      <w:r w:rsidRPr="0000789B">
        <w:rPr>
          <w:rFonts w:asciiTheme="minorHAnsi" w:hAnsiTheme="minorHAnsi" w:cs="Tahoma"/>
          <w:color w:val="000000"/>
          <w:sz w:val="22"/>
          <w:szCs w:val="22"/>
        </w:rPr>
        <w:t xml:space="preserve"> – </w:t>
      </w:r>
      <w:r w:rsidR="0000789B" w:rsidRPr="0000789B">
        <w:rPr>
          <w:rFonts w:asciiTheme="minorHAnsi" w:hAnsiTheme="minorHAnsi" w:cs="Tahoma"/>
          <w:color w:val="000000"/>
          <w:sz w:val="22"/>
          <w:szCs w:val="22"/>
        </w:rPr>
        <w:t>Plantio de pequenas florestas urbanas</w:t>
      </w:r>
      <w:r w:rsidRPr="0000789B">
        <w:rPr>
          <w:rFonts w:asciiTheme="minorHAnsi" w:hAnsiTheme="minorHAnsi" w:cs="Tahoma"/>
          <w:color w:val="000000"/>
          <w:sz w:val="22"/>
          <w:szCs w:val="22"/>
        </w:rPr>
        <w:t xml:space="preserve"> – </w:t>
      </w:r>
      <w:r w:rsidR="0000789B" w:rsidRPr="0000789B">
        <w:rPr>
          <w:rFonts w:asciiTheme="minorHAnsi" w:hAnsiTheme="minorHAnsi" w:cs="Tahoma"/>
          <w:color w:val="000000"/>
          <w:sz w:val="22"/>
          <w:szCs w:val="22"/>
        </w:rPr>
        <w:t>Região da Subprefeitura da Vila Mariana</w:t>
      </w:r>
      <w:r w:rsidRPr="0000789B">
        <w:rPr>
          <w:rFonts w:asciiTheme="minorHAnsi" w:hAnsiTheme="minorHAnsi" w:cs="Tahoma"/>
          <w:color w:val="000000"/>
          <w:sz w:val="22"/>
          <w:szCs w:val="22"/>
        </w:rPr>
        <w:t xml:space="preserve">. Relator: Marco Winther. </w:t>
      </w:r>
      <w:r w:rsidRPr="0000789B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 xml:space="preserve">Relato: </w:t>
      </w:r>
      <w:r w:rsidR="0000789B" w:rsidRPr="0000789B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Considerando a localização o plantio proposto, em canteiro próximo ao obelisco, encaminhamos com manifestação favorável com diretrizes. A proposta inicial é de exemplares de 6 a 8 metros de altura, porém conforme manifestação à cota retro, poderá obstruir a visibilidade de parte do obelisco. Assim sendo, encaminhamos s.m.j. para deliberação do CONPRESP. </w:t>
      </w:r>
      <w:r w:rsidR="0000789B" w:rsidRPr="0000789B">
        <w:rPr>
          <w:rFonts w:asciiTheme="minorHAnsi" w:hAnsiTheme="minorHAnsi" w:cs="Calibri"/>
          <w:color w:val="000000"/>
          <w:sz w:val="22"/>
          <w:szCs w:val="22"/>
        </w:rPr>
        <w:t xml:space="preserve">É dado início à votação. </w:t>
      </w:r>
      <w:r w:rsidR="0000789B" w:rsidRPr="0000789B"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pedido de </w:t>
      </w:r>
      <w:r w:rsidR="0000789B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>PLANTIO DE PEQUENAS FLORESTAS URBANAS</w:t>
      </w:r>
      <w:r w:rsidR="0000789B" w:rsidRPr="0000789B"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 w:rsidR="0000789B"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DIRETRIZES, </w:t>
      </w:r>
      <w:r w:rsidR="0000789B" w:rsidRPr="0000789B">
        <w:rPr>
          <w:rFonts w:asciiTheme="minorHAnsi" w:hAnsiTheme="minorHAnsi" w:cs="Tahoma"/>
          <w:bCs/>
          <w:color w:val="000000"/>
          <w:sz w:val="22"/>
          <w:szCs w:val="22"/>
        </w:rPr>
        <w:t>a saber</w:t>
      </w:r>
      <w:r w:rsidR="0000789B" w:rsidRPr="0000789B">
        <w:rPr>
          <w:rFonts w:asciiTheme="minorHAnsi" w:hAnsiTheme="minorHAnsi" w:cs="Tahoma"/>
          <w:bCs/>
          <w:i/>
          <w:color w:val="000000"/>
          <w:sz w:val="22"/>
          <w:szCs w:val="22"/>
        </w:rPr>
        <w:t xml:space="preserve">: </w:t>
      </w:r>
      <w:r w:rsidR="0000789B" w:rsidRPr="0000789B">
        <w:rPr>
          <w:rFonts w:asciiTheme="minorHAnsi" w:hAnsiTheme="minorHAnsi" w:cs="Tahoma"/>
          <w:b/>
          <w:bCs/>
          <w:i/>
          <w:color w:val="000000"/>
          <w:sz w:val="22"/>
          <w:szCs w:val="22"/>
        </w:rPr>
        <w:t xml:space="preserve">1) </w:t>
      </w:r>
      <w:r w:rsidR="0000789B" w:rsidRPr="0000789B">
        <w:rPr>
          <w:rFonts w:asciiTheme="minorHAnsi" w:hAnsiTheme="minorHAnsi" w:cs="Calibri"/>
          <w:i/>
          <w:color w:val="000000"/>
          <w:sz w:val="22"/>
          <w:szCs w:val="22"/>
        </w:rPr>
        <w:t>O plantio deverá ser de exemplares arbóreos que tenham, quando adultos, a altura máxima de 6 metros e deverá ser ouvida a SVMA</w:t>
      </w:r>
      <w:r w:rsidRPr="0000789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. </w:t>
      </w:r>
      <w:r w:rsidRPr="0000789B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 w:rsidRPr="0000789B">
        <w:rPr>
          <w:rFonts w:asciiTheme="minorHAnsi" w:hAnsiTheme="minorHAnsi" w:cs="Calibri"/>
          <w:b/>
          <w:bCs/>
          <w:sz w:val="22"/>
          <w:szCs w:val="22"/>
        </w:rPr>
        <w:t>11:</w:t>
      </w:r>
      <w:r w:rsidR="0000789B" w:rsidRPr="0000789B">
        <w:rPr>
          <w:rFonts w:asciiTheme="minorHAnsi" w:hAnsiTheme="minorHAnsi" w:cs="Calibri"/>
          <w:b/>
          <w:bCs/>
          <w:sz w:val="22"/>
          <w:szCs w:val="22"/>
        </w:rPr>
        <w:t>40</w:t>
      </w:r>
      <w:r w:rsidRPr="0000789B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810C3D" w:rsidRDefault="00810C3D" w:rsidP="00A1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810C3D" w:rsidRPr="0000789B" w:rsidRDefault="00810C3D" w:rsidP="00A1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DOC 26/05/2016 – páginas 94 e 95</w:t>
      </w:r>
    </w:p>
    <w:sectPr w:rsidR="00810C3D" w:rsidRPr="0000789B" w:rsidSect="00416C28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9B" w:rsidRDefault="0000789B" w:rsidP="002016E1">
      <w:r>
        <w:separator/>
      </w:r>
    </w:p>
  </w:endnote>
  <w:endnote w:type="continuationSeparator" w:id="1">
    <w:p w:rsidR="0000789B" w:rsidRDefault="0000789B" w:rsidP="0020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9B" w:rsidRDefault="00422F09">
    <w:pPr>
      <w:pStyle w:val="Rodap"/>
      <w:jc w:val="right"/>
    </w:pPr>
    <w:fldSimple w:instr="PAGE">
      <w:r w:rsidR="00810C3D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9B" w:rsidRDefault="0000789B" w:rsidP="002016E1">
      <w:r>
        <w:separator/>
      </w:r>
    </w:p>
  </w:footnote>
  <w:footnote w:type="continuationSeparator" w:id="1">
    <w:p w:rsidR="0000789B" w:rsidRDefault="0000789B" w:rsidP="00201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00789B">
      <w:trPr>
        <w:trHeight w:val="707"/>
      </w:trPr>
      <w:tc>
        <w:tcPr>
          <w:tcW w:w="1940" w:type="dxa"/>
          <w:shd w:val="clear" w:color="auto" w:fill="auto"/>
        </w:tcPr>
        <w:p w:rsidR="0000789B" w:rsidRDefault="0000789B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1905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00789B" w:rsidRDefault="0000789B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00789B" w:rsidRDefault="0000789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00789B" w:rsidRDefault="000078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96C"/>
    <w:multiLevelType w:val="hybridMultilevel"/>
    <w:tmpl w:val="EBEC71F8"/>
    <w:lvl w:ilvl="0" w:tplc="0416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6E1"/>
    <w:rsid w:val="0000789B"/>
    <w:rsid w:val="00047521"/>
    <w:rsid w:val="000C3702"/>
    <w:rsid w:val="001434F7"/>
    <w:rsid w:val="00173CD0"/>
    <w:rsid w:val="002016E1"/>
    <w:rsid w:val="0022515E"/>
    <w:rsid w:val="002B4944"/>
    <w:rsid w:val="002F1B79"/>
    <w:rsid w:val="00327687"/>
    <w:rsid w:val="00366CAA"/>
    <w:rsid w:val="00411843"/>
    <w:rsid w:val="00416C28"/>
    <w:rsid w:val="00422F09"/>
    <w:rsid w:val="00426660"/>
    <w:rsid w:val="00504AF2"/>
    <w:rsid w:val="005513F6"/>
    <w:rsid w:val="005861E9"/>
    <w:rsid w:val="005970AC"/>
    <w:rsid w:val="005E3D6B"/>
    <w:rsid w:val="00660F32"/>
    <w:rsid w:val="006C338A"/>
    <w:rsid w:val="006E419E"/>
    <w:rsid w:val="00726FE0"/>
    <w:rsid w:val="00810C3D"/>
    <w:rsid w:val="00860970"/>
    <w:rsid w:val="00884694"/>
    <w:rsid w:val="00903DAE"/>
    <w:rsid w:val="009470C5"/>
    <w:rsid w:val="00A14DA7"/>
    <w:rsid w:val="00A95945"/>
    <w:rsid w:val="00AC5C11"/>
    <w:rsid w:val="00AF01A7"/>
    <w:rsid w:val="00B23FDE"/>
    <w:rsid w:val="00B9440B"/>
    <w:rsid w:val="00B94665"/>
    <w:rsid w:val="00BA3839"/>
    <w:rsid w:val="00C81E5F"/>
    <w:rsid w:val="00CF7333"/>
    <w:rsid w:val="00D47AF6"/>
    <w:rsid w:val="00DA1436"/>
    <w:rsid w:val="00EA4468"/>
    <w:rsid w:val="00EA51EC"/>
    <w:rsid w:val="00ED6451"/>
    <w:rsid w:val="00F0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1">
    <w:name w:val="heading 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styleId="Ttulo6">
    <w:name w:val="heading 6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styleId="Ttulo8">
    <w:name w:val="heading 8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Ttulo2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Ttulo3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Ttulo4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Ttulo5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Ttulo7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Ttulo8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Ttulo9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4157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b/>
      <w:bCs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Cabealh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b/>
      <w:bCs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next w:val="Corpodotexto"/>
    <w:link w:val="TtuloChar1"/>
    <w:qFormat/>
    <w:rsid w:val="002016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otexto"/>
    <w:uiPriority w:val="99"/>
    <w:rsid w:val="00200552"/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dodocumento">
    <w:name w:val="Título do documento"/>
    <w:basedOn w:val="Normal"/>
    <w:uiPriority w:val="99"/>
    <w:rsid w:val="00200552"/>
    <w:pPr>
      <w:jc w:val="center"/>
    </w:pPr>
    <w:rPr>
      <w:rFonts w:cs="Times New Roman"/>
      <w:b/>
      <w:bCs/>
    </w:rPr>
  </w:style>
  <w:style w:type="paragraph" w:customStyle="1" w:styleId="Corpodetextorecuado">
    <w:name w:val="Corpo de texto recuado"/>
    <w:basedOn w:val="Normal"/>
    <w:uiPriority w:val="99"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styleId="Rodap">
    <w:name w:val="footer"/>
    <w:basedOn w:val="Normal"/>
    <w:link w:val="Rodap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styleId="Forte">
    <w:name w:val="Strong"/>
    <w:basedOn w:val="Fontepargpadro"/>
    <w:uiPriority w:val="22"/>
    <w:qFormat/>
    <w:rsid w:val="005E3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1C69C-388E-4E26-A811-BF99815F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3315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2016-04-26T14:01:00Z</cp:lastPrinted>
  <dcterms:created xsi:type="dcterms:W3CDTF">2016-05-30T14:39:00Z</dcterms:created>
  <dcterms:modified xsi:type="dcterms:W3CDTF">2016-05-30T14:39:00Z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