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51" w:rsidRPr="007F7577" w:rsidRDefault="00600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600E51" w:rsidRPr="007F7577" w:rsidRDefault="008F5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7F7577">
        <w:rPr>
          <w:rFonts w:asciiTheme="minorHAnsi" w:hAnsiTheme="minorHAnsi" w:cs="Calibri"/>
          <w:b/>
          <w:bCs/>
          <w:sz w:val="22"/>
          <w:szCs w:val="22"/>
        </w:rPr>
        <w:t>ATA DA 628ª REUNIÃO ORDINÁRIA DO CONPRESP</w:t>
      </w:r>
    </w:p>
    <w:p w:rsidR="00600E51" w:rsidRPr="007F7577" w:rsidRDefault="00600E51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600E51" w:rsidRPr="007F7577" w:rsidRDefault="008F5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7"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>12 de abril de 2016</w:t>
      </w:r>
      <w:r w:rsidRPr="007F7577">
        <w:rPr>
          <w:rFonts w:asciiTheme="minorHAnsi" w:hAnsiTheme="minorHAnsi" w:cs="Calibri"/>
          <w:sz w:val="22"/>
          <w:szCs w:val="22"/>
        </w:rPr>
        <w:t xml:space="preserve">, às 9h35, realizou sua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>628ª Reunião Ordinária</w:t>
      </w:r>
      <w:r w:rsidRPr="007F7577">
        <w:rPr>
          <w:rFonts w:asciiTheme="minorHAnsi" w:hAnsiTheme="minorHAnsi" w:cs="Calibri"/>
          <w:sz w:val="22"/>
          <w:szCs w:val="22"/>
        </w:rPr>
        <w:t xml:space="preserve">, nas dependências do CONPRESP, à Avenida São João, 473, 7º andar, contando com a presença dos seguintes Conselheiros: Nadia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Somekh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– Representante do Departamento do Patrimônio Histórico – Presidente; Marco Antônio Cilento Winther – Representante Suplente da Secretaria Municipal de Cultura; Adilson Amadeu – Representante da Câmara Municipal de São Paulo; Eduardo Mikalauskas – Representante da Secretaria Municipal de Negócios Jurídicos;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 xml:space="preserve">  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José Geraldo Simões Júnior – Representante do Instituto dos Arquitetos do Brasil; Alfredo Vieira da Cunha  – Representante suplente do Conselho Regional de Engenharia e Agronomia do Estado de São Paulo; Milena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Staie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Shikasho– Representante suplente da Secretária Municipal de Licenciamento e Penha Elizabeth Arantes Ceribelli Pacca – Representante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>da Secretaria Municipal de Desenvolvimento Urbano</w:t>
      </w:r>
      <w:r w:rsidRPr="007F7577">
        <w:rPr>
          <w:rFonts w:asciiTheme="minorHAnsi" w:hAnsiTheme="minorHAnsi" w:cs="Calibri"/>
          <w:sz w:val="22"/>
          <w:szCs w:val="22"/>
        </w:rPr>
        <w:t xml:space="preserve">. Participaram, assistindo à reunião: Flávia Taliberti Pereto – Representante Suplente da Secretaria Municipal de Desenvolvimento Urbano;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Teresa Maria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Emídio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– Secretaria Municipal de Verde e Meio Ambiente;</w:t>
      </w:r>
      <w:proofErr w:type="gramStart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 </w:t>
      </w:r>
      <w:proofErr w:type="gram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Paulo Murilo Fonseca – Mosaico Filmes; Bruno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Ricco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; Sandro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Merida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– Mandato Police Neto; Carlos Alexandre Soares – Mandato Police Neto; Carlos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Hoty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– CMSP; Alice de Almeida Américo – Chefe da Seção Técnica de Monumentos e Obras Artísticas; Vanessa Correa – Chefe da Seção Técnica de Programas de Valorização do Patrimônio; Dalva Thomaz – Chefe da Seção Técnica de Levantamento e Pesquisa; Mauro Pereira – Chefe da Seção Técnica de Crítica e Tombamento; Raquel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Schenkman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Contier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– Arquiteta/DPH/STCT; João Lucas N. Domingos – DPH/STCT; Tarsila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Andriole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– DPH/STCT; Luis Gustavo Bonora Vidrih Ferreira – DPH/STCT; André Carlos da Silva Braga – DPH/STPVP; Patrícia Freire da Silva Sena - Assistente do CONPRESP; Lucas de Moraes Coelho – Assistente do CONPRESP e </w:t>
      </w:r>
      <w:r w:rsidRPr="007F7577">
        <w:rPr>
          <w:rFonts w:asciiTheme="minorHAnsi" w:hAnsiTheme="minorHAnsi" w:cs="Calibri"/>
          <w:sz w:val="22"/>
          <w:szCs w:val="22"/>
        </w:rPr>
        <w:t>Danielle Cristina Dias de Santana Braga – Secretária Executiva CONPRESP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>.</w:t>
      </w:r>
      <w:r w:rsidRPr="007F7577">
        <w:rPr>
          <w:rFonts w:asciiTheme="minorHAnsi" w:hAnsiTheme="minorHAnsi" w:cs="Calibri"/>
          <w:sz w:val="22"/>
          <w:szCs w:val="22"/>
        </w:rPr>
        <w:t xml:space="preserve"> Foi dado início à 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>pauta.</w:t>
      </w:r>
      <w:proofErr w:type="gramEnd"/>
      <w:r w:rsidRPr="007F7577">
        <w:rPr>
          <w:rFonts w:asciiTheme="minorHAnsi" w:hAnsiTheme="minorHAnsi" w:cs="Calibri"/>
          <w:b/>
          <w:bCs/>
          <w:sz w:val="22"/>
          <w:szCs w:val="22"/>
        </w:rPr>
        <w:t>1</w:t>
      </w:r>
      <w:r w:rsidRPr="007F7577">
        <w:rPr>
          <w:rFonts w:asciiTheme="minorHAnsi" w:hAnsiTheme="minorHAnsi" w:cs="Calibri"/>
          <w:b/>
          <w:bCs/>
          <w:color w:val="000000"/>
          <w:sz w:val="22"/>
          <w:szCs w:val="22"/>
        </w:rPr>
        <w:t>.Leitura, discussão e aprovação da Ata da 627ª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proofErr w:type="gramStart"/>
      <w:r w:rsidRPr="007F7577">
        <w:rPr>
          <w:rFonts w:asciiTheme="minorHAnsi" w:hAnsiTheme="minorHAnsi" w:cs="Calibri"/>
          <w:b/>
          <w:bCs/>
          <w:color w:val="000000"/>
          <w:sz w:val="22"/>
          <w:szCs w:val="22"/>
        </w:rPr>
        <w:t>2.</w:t>
      </w:r>
      <w:proofErr w:type="gramEnd"/>
      <w:r w:rsidRPr="007F7577">
        <w:rPr>
          <w:rFonts w:asciiTheme="minorHAnsi" w:hAnsiTheme="minorHAnsi" w:cs="Calibri"/>
          <w:b/>
          <w:bCs/>
          <w:color w:val="000000"/>
          <w:sz w:val="22"/>
          <w:szCs w:val="22"/>
        </w:rPr>
        <w:t>Comunicações / Informes da Presidência e dos Conselheiros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Pr="007F7577">
        <w:rPr>
          <w:rFonts w:asciiTheme="minorHAnsi" w:hAnsiTheme="minorHAnsi" w:cs="Calibri"/>
          <w:b/>
          <w:sz w:val="22"/>
          <w:szCs w:val="22"/>
        </w:rPr>
        <w:t xml:space="preserve">2.1. </w:t>
      </w:r>
      <w:r w:rsidRPr="007F7577">
        <w:rPr>
          <w:rFonts w:asciiTheme="minorHAnsi" w:hAnsiTheme="minorHAnsi" w:cs="Calibri"/>
          <w:sz w:val="22"/>
          <w:szCs w:val="22"/>
        </w:rPr>
        <w:t xml:space="preserve">Convida para a oficina “Fábrica de Restauro” que discutirá os aspectos conceituais e de atualização do tombamento do bairro da Bela Vista. A oficina será realizada no dia 15 de abril e o projeto tem como objetivo sensibilizar os proprietários e moradores para a conservação e restauro do bairro do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Bixiga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, por meio de uma grande articulação entre universidades, restauradores, instituições de formação profissional, CAU, IAB e órgãos de patrimônio com foco na recuperação deste bairro de São Paulo. Para a Presidente é importante ir além do tombamento e concluir todo o ciclo de salvaguarda definido claramente por três etapas: o inventário, tombamento e proteção.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2.2. </w:t>
      </w:r>
      <w:r w:rsidRPr="007F7577">
        <w:rPr>
          <w:rFonts w:asciiTheme="minorHAnsi" w:hAnsiTheme="minorHAnsi" w:cs="Calibri"/>
          <w:sz w:val="22"/>
          <w:szCs w:val="22"/>
        </w:rPr>
        <w:t xml:space="preserve">A Presidente fala de texto do Professor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Ulpiano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escrito nos anos 70 em que ele cita o arquiteto italiano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Pier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Luigi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Cervellati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e a importância da preservação social na recuperação do ambiente construído. O texto foi distribuído para os Conselheiros.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>2.3. I</w:t>
      </w:r>
      <w:r w:rsidRPr="007F7577">
        <w:rPr>
          <w:rFonts w:asciiTheme="minorHAnsi" w:hAnsiTheme="minorHAnsi" w:cs="Calibri"/>
          <w:sz w:val="22"/>
          <w:szCs w:val="22"/>
        </w:rPr>
        <w:t>nforma carta enviada ao CONPRESP por uma munícipe insatisfeita com a abertura de processo de tombamento de imóvel de sua propriedade. Para a Presidente a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 xml:space="preserve">  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carta reforça a importância de projetos de </w:t>
      </w:r>
      <w:r w:rsidRPr="007F7577">
        <w:rPr>
          <w:rFonts w:asciiTheme="minorHAnsi" w:hAnsiTheme="minorHAnsi" w:cs="Calibri"/>
          <w:sz w:val="22"/>
          <w:szCs w:val="22"/>
        </w:rPr>
        <w:lastRenderedPageBreak/>
        <w:t xml:space="preserve">sensibilização da população para a temática do patrimônio cultural, como as Jornadas do Patrimônio. Questiona ainda o que o Conselho pode fazer diante da resistência de certos munícipes ante ao tombamento. O instrumento ressalta a importância daquele bem para a coletividade e não se trata de imposição autoritária, para isso a sensibilização é de extrema importância.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2.4. </w:t>
      </w:r>
      <w:r w:rsidRPr="007F7577">
        <w:rPr>
          <w:rFonts w:asciiTheme="minorHAnsi" w:hAnsiTheme="minorHAnsi" w:cs="Calibri"/>
          <w:sz w:val="22"/>
          <w:szCs w:val="22"/>
        </w:rPr>
        <w:t xml:space="preserve">O Conselheiro Marcelo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Manhães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informa andamento de Ação Civil Pública dos Arcos da Rua Jandaia. Após a aprovação do projeto de restauro o Conselheiro entrou com petição questionando o juiz responsável sobre a possibilidade de início das obras de restauro. Após questionamento o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juíz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se manifestou conforme segue: “Não existe nenhum provimento jurisdicional exarado nestes autos que impeça a administração de exercer sua função, de modo que não há razão alguma para que eventual 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>restauro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 do patrimônio objeto desta ação seja precedido de autorização judicial. Aliás, salvo melhor análise no momento processual oportuno, eventual perda do objeto da ação somente ocorreria com a efetivação do restauro e não apenas com a mera aprovação do projeto. Ciência ao autor sobre os documentos apresentados facultando manifestação no prazo de dez dias. Depois ao Ministério Público.”. Dada a manifestação do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juíz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o Conselheiro sugere que se aguarde o prazo para manifestação do autor e do Ministério Público e somente após esse prazo se proceda a contratação da obra de 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>restauro.</w:t>
      </w:r>
      <w:proofErr w:type="gramEnd"/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2.5. </w:t>
      </w:r>
      <w:r w:rsidRPr="007F7577">
        <w:rPr>
          <w:rFonts w:asciiTheme="minorHAnsi" w:hAnsiTheme="minorHAnsi" w:cs="Calibri"/>
          <w:sz w:val="22"/>
          <w:szCs w:val="22"/>
        </w:rPr>
        <w:t xml:space="preserve">A Presidente apresenta 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>a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 nova chefe da Seção de Monumentos e Obras Artísticas, a arquiteta Alice Américo que recebe as boas vindos do Conselho.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2.6. </w:t>
      </w:r>
      <w:r w:rsidRPr="007F7577">
        <w:rPr>
          <w:rFonts w:asciiTheme="minorHAnsi" w:hAnsiTheme="minorHAnsi" w:cs="Calibri"/>
          <w:sz w:val="22"/>
          <w:szCs w:val="22"/>
        </w:rPr>
        <w:t xml:space="preserve">O Conselheiro José Geraldo propõe discussão sobre a política de preservação municipal. Para o Conselheiro, de uma maneira geral o trabalho dos órgãos de preservação se concentra em apenas duas etapas do ciclo de salvaguarda. A primeira por meio do inventário para identificação do que se pretende preservar e a segunda por meio do tombamento. Porém esse modelo de trabalho não avança para a terceira etapa que é a proteção por meio de instrumentos que garantam a manutenção daquele patrimônio. Para o Conselheiro é urgente que os órgãos passem a atuar visando 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>a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 consolidação da terceira etapa. Para tanto é necessário formular articulações interinstitucionais. O Conselheiro cita mecanismos internacionais para o restauro e conservação do patrimônio por meio da redução de impostos e fontes de financiamento e propõe um tratamento de choque paralisando as duas etapas iniciais e focando na terceira etapa para que exista de fato uma política de salvaguarda completa. Para o Conselheiro Marco Winther a proposta parece simples, mas completamente fora da realidade da cidade e do DPH. O Conselheiro esclarece que a estrutura do DPH foi pensada para esse ciclo de salvaguarda, mas que as demandas crescentes na análise de projetos de intervenção e a diminuição do quadro técnico não permitiram que se 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>construísse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 ações mais efetivas de preservação. O que não desqualifica o trabalho desenvolvido pelo DPH. O Conselheiro conclui que não existe uma situação em que o DPH possa partir para um choque de ação e parar de tombar e o Conselheiro lamenta se o órgão partir para esse posicionamento. Para ele ainda existe muita coisa a ser reconhecida e protegida, inclusive por diversas demandas da população no reconhecimento de bens representativos para a 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>cidade.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A Conselheira Penha Pacca  concorda que o tombamento deva ser feito com mais rigor e respaldo técnico, mas discorda da análise do Conselheiro José Geraldo.  Existem políticas para a salvaguarda do patrimônio, mas por uma necessidade e realidade da própria sociedade, desigual e carente em diversas frentes, o impacto dessas </w:t>
      </w:r>
      <w:r w:rsidRPr="007F7577">
        <w:rPr>
          <w:rFonts w:asciiTheme="minorHAnsi" w:hAnsiTheme="minorHAnsi" w:cs="Calibri"/>
          <w:sz w:val="22"/>
          <w:szCs w:val="22"/>
        </w:rPr>
        <w:lastRenderedPageBreak/>
        <w:t xml:space="preserve">ações e políticas é bastante diluído. Por esse motivo é necessário que ao olhar as experiências dos países centrais essas desigualdades estruturais sejam analisadas para que as experiências possam ser adaptadas à nossa realidade. Cita ainda o FUNCAP, a Transferência do Direito de Construir e parte dos recursos do FUNDURB, como partes de uma política de preservação.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2.7. </w:t>
      </w:r>
      <w:r w:rsidRPr="007F7577">
        <w:rPr>
          <w:rFonts w:asciiTheme="minorHAnsi" w:hAnsiTheme="minorHAnsi" w:cs="Calibri"/>
          <w:sz w:val="22"/>
          <w:szCs w:val="22"/>
        </w:rPr>
        <w:t xml:space="preserve">A Presidente discute proposta de utilização dos recursos do FUNCAP. O Conselheiro Eduardo pede que seja autuado processo administrativo e a proposta seja analisada pela assessoria jurídica. O Conselheiro Marcelo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Manhães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concorda. Será autuado processo administrativo para tratar da utilização dos recursos e será deliberado em próxima 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>reunião.</w:t>
      </w:r>
      <w:proofErr w:type="gramEnd"/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2.8. 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>A arquiteta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 Raquel Furtado apresenta estudo e proposta de abertura de processo de tombamento da região da Liberdade. A proposta tem como base o IGEPAC Liberdade, produzido pelo DPH nos anos 70.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3. Leitura, discussão e decisão dos seguintes processos e </w:t>
      </w:r>
      <w:proofErr w:type="gramStart"/>
      <w:r w:rsidRPr="007F7577">
        <w:rPr>
          <w:rFonts w:asciiTheme="minorHAnsi" w:hAnsiTheme="minorHAnsi" w:cs="Calibri"/>
          <w:b/>
          <w:bCs/>
          <w:sz w:val="22"/>
          <w:szCs w:val="22"/>
        </w:rPr>
        <w:t>expedientes:</w:t>
      </w:r>
      <w:proofErr w:type="gramEnd"/>
      <w:r w:rsidRPr="007F7577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3.1. </w:t>
      </w:r>
      <w:r w:rsidRPr="007F7577">
        <w:rPr>
          <w:rFonts w:asciiTheme="minorHAnsi" w:hAnsiTheme="minorHAnsi" w:cs="Calibri"/>
          <w:sz w:val="22"/>
          <w:szCs w:val="22"/>
          <w:u w:val="single"/>
        </w:rPr>
        <w:t xml:space="preserve">Processos pautados em Reuniões Anteriores, Pendentes de Deliberação Relativos </w:t>
      </w:r>
      <w:proofErr w:type="gramStart"/>
      <w:r w:rsidRPr="007F7577">
        <w:rPr>
          <w:rFonts w:asciiTheme="minorHAnsi" w:hAnsiTheme="minorHAnsi" w:cs="Calibri"/>
          <w:sz w:val="22"/>
          <w:szCs w:val="22"/>
          <w:u w:val="single"/>
        </w:rPr>
        <w:t>à</w:t>
      </w:r>
      <w:proofErr w:type="gramEnd"/>
      <w:r w:rsidRPr="007F7577">
        <w:rPr>
          <w:rFonts w:asciiTheme="minorHAnsi" w:hAnsiTheme="minorHAnsi" w:cs="Calibri"/>
          <w:sz w:val="22"/>
          <w:szCs w:val="22"/>
          <w:u w:val="single"/>
        </w:rPr>
        <w:t xml:space="preserve"> Tombamentos:</w:t>
      </w:r>
      <w:r w:rsidRPr="007F7577">
        <w:rPr>
          <w:rFonts w:asciiTheme="minorHAnsi" w:hAnsiTheme="minorHAnsi" w:cs="Calibri"/>
          <w:sz w:val="22"/>
          <w:szCs w:val="22"/>
        </w:rPr>
        <w:t xml:space="preserve">  Processo: </w:t>
      </w:r>
      <w:r w:rsidRPr="007F7577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2013-0.086.925-5: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Pedro Luiz da Rocha Lima Leite Pinto – APT de 2 imóveis no bairro da Aclimação – </w:t>
      </w:r>
      <w:r w:rsidRPr="007F7577">
        <w:rPr>
          <w:rFonts w:asciiTheme="minorHAnsi" w:hAnsiTheme="minorHAnsi"/>
          <w:sz w:val="22"/>
          <w:szCs w:val="22"/>
        </w:rPr>
        <w:t>Rua Muniz de Souza, 925 e 927 - Aclimação.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Relator: </w:t>
      </w:r>
      <w:r w:rsidRPr="007F7577">
        <w:rPr>
          <w:rFonts w:asciiTheme="minorHAnsi" w:hAnsiTheme="minorHAnsi" w:cs="Calibri"/>
          <w:sz w:val="22"/>
          <w:szCs w:val="22"/>
        </w:rPr>
        <w:t xml:space="preserve">Marcelo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Manhães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. O Conselheiro se manifesta ainda em dúvidas quanto à abertura de processo de tombamento, por não ter sido demonstrado no estudo do DPH </w:t>
      </w:r>
      <w:proofErr w:type="gramStart"/>
      <w:r w:rsidRPr="007F7577">
        <w:rPr>
          <w:rFonts w:asciiTheme="minorHAnsi" w:hAnsiTheme="minorHAnsi" w:cs="Calibri"/>
          <w:sz w:val="22"/>
          <w:szCs w:val="22"/>
        </w:rPr>
        <w:t>a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 relevância do bem, o efetivo interesse dos imóveis para a preservação do cenário ambiental da Rua Muniz de Souza e bairro da Aclimação entre outros aspectos. O Conselheiro demonstra receio na banalização do instrumento do tombamento e pede que o estudo seja complementado para embasar a discussão e decisão do Conselho. A Presidente, embora manifeste inclinação favorável ao tombamento, acredita ser fundamental um debate mais aprofundado sobre o caso. A Presidente pede que seja levada em consideração a importância dos bens para o bairro. Por solicitação do Conselheiro relator,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O PROCESSO DEVERÁ RETORNAR AO DPH PARA AVALIAÇÃO DOS BENS EM RELAÇÃO AO BAIRRO E ENTORNO. </w:t>
      </w:r>
      <w:r w:rsidRPr="007F7577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3.2. </w:t>
      </w:r>
      <w:r w:rsidRPr="007F7577">
        <w:rPr>
          <w:rFonts w:asciiTheme="minorHAnsi" w:hAnsiTheme="minorHAnsi" w:cs="Calibri"/>
          <w:sz w:val="22"/>
          <w:szCs w:val="22"/>
          <w:u w:val="single"/>
        </w:rPr>
        <w:t xml:space="preserve">Processos pautados para a 628ª Reunião Ordinária Relativos </w:t>
      </w:r>
      <w:proofErr w:type="gramStart"/>
      <w:r w:rsidRPr="007F7577">
        <w:rPr>
          <w:rFonts w:asciiTheme="minorHAnsi" w:hAnsiTheme="minorHAnsi" w:cs="Calibri"/>
          <w:sz w:val="22"/>
          <w:szCs w:val="22"/>
          <w:u w:val="single"/>
        </w:rPr>
        <w:t>à</w:t>
      </w:r>
      <w:proofErr w:type="gramEnd"/>
      <w:r w:rsidRPr="007F7577">
        <w:rPr>
          <w:rFonts w:asciiTheme="minorHAnsi" w:hAnsiTheme="minorHAnsi" w:cs="Calibri"/>
          <w:sz w:val="22"/>
          <w:szCs w:val="22"/>
          <w:u w:val="single"/>
        </w:rPr>
        <w:t xml:space="preserve"> Tombamentos:</w:t>
      </w:r>
      <w:r w:rsidRPr="007F7577">
        <w:rPr>
          <w:rFonts w:asciiTheme="minorHAnsi" w:hAnsiTheme="minorHAnsi" w:cs="Calibri"/>
          <w:sz w:val="22"/>
          <w:szCs w:val="22"/>
        </w:rPr>
        <w:t xml:space="preserve"> Processo: </w:t>
      </w:r>
      <w:r w:rsidRPr="007F7577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2004-0.102.248-6: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>Ação Ética &amp; Cidadania – Tombamento dos imóveis na Rua Caio Prado – Rua Caio Prado, 79, 211 e 225 - Consolação</w:t>
      </w:r>
      <w:r w:rsidRPr="007F7577">
        <w:rPr>
          <w:rFonts w:asciiTheme="minorHAnsi" w:hAnsiTheme="minorHAnsi"/>
          <w:sz w:val="22"/>
          <w:szCs w:val="22"/>
        </w:rPr>
        <w:t>.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Relator: José Geraldo. O Conselheiro comenta a proposta de proteção dos três imóveis na Rua Caio Prado. Os imóveis estão em bom estado e a proposta não prevê área envoltória por se tratar de área bastante adensada. Os três imóveis já apreciam no mapa Sara Brasil de 1930 e a tendência do Conselheiro é acompanhar o parecer do DPH. O Conselheiro Marcelo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Manhães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não se opõe à proposta</w:t>
      </w:r>
      <w:proofErr w:type="gramStart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mas</w:t>
      </w:r>
      <w:proofErr w:type="gram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pede vistas para conhecer melhor o estudo e minuta de resolução de tombamento. Em razão do pedido de vistas efetuado pelo Conselheiro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Manhães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Pr="007F7577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O PROCESSO SERÁ DELIBERADO EM PRÓXIMA REUNIÃO.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>–</w:t>
      </w:r>
      <w:proofErr w:type="gramStart"/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Processo: </w:t>
      </w:r>
      <w:r w:rsidRPr="007F7577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2006-0.197.995-4: </w:t>
      </w:r>
      <w:r w:rsidRPr="007F7577">
        <w:rPr>
          <w:rFonts w:asciiTheme="minorHAnsi" w:hAnsiTheme="minorHAnsi"/>
          <w:sz w:val="22"/>
          <w:szCs w:val="22"/>
        </w:rPr>
        <w:t>CONPRESP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– Abertura de Processo de Tombamento da Chácara do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Jockey</w:t>
      </w:r>
      <w:proofErr w:type="spellEnd"/>
      <w:r w:rsidRPr="007F7577">
        <w:rPr>
          <w:rFonts w:asciiTheme="minorHAnsi" w:hAnsiTheme="minorHAnsi"/>
          <w:sz w:val="22"/>
          <w:szCs w:val="22"/>
        </w:rPr>
        <w:t xml:space="preserve"> – Rua Santa </w:t>
      </w:r>
      <w:proofErr w:type="spellStart"/>
      <w:r w:rsidRPr="007F7577">
        <w:rPr>
          <w:rFonts w:asciiTheme="minorHAnsi" w:hAnsiTheme="minorHAnsi"/>
          <w:sz w:val="22"/>
          <w:szCs w:val="22"/>
        </w:rPr>
        <w:t>Crescência</w:t>
      </w:r>
      <w:proofErr w:type="spellEnd"/>
      <w:r w:rsidRPr="007F7577">
        <w:rPr>
          <w:rFonts w:asciiTheme="minorHAnsi" w:hAnsiTheme="minorHAnsi"/>
          <w:sz w:val="22"/>
          <w:szCs w:val="22"/>
        </w:rPr>
        <w:t>, 323 – Vila Sônia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Pr="007F7577">
        <w:rPr>
          <w:rFonts w:asciiTheme="minorHAnsi" w:hAnsiTheme="minorHAnsi" w:cs="Calibri"/>
          <w:sz w:val="22"/>
          <w:szCs w:val="22"/>
        </w:rPr>
        <w:t xml:space="preserve">Milena Satie. A área tem sido estudada pelo DPH quando ainda pertencia ao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Jockey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Club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de São Paulo, quando a área foi transferida para a Prefeitura o DPH acompanhou a proposta de criação de parque público e a instalação de equipamentos da Secretaria do Verde e Meio Ambiente, Secretaria Municipal de Esportes e Secretaria Municipal de Cultura. Todas as intervenções empreendidas foram baseadas em diretrizes estabelecidas pelo DPH e a proposta de abertura de processo de tombamento se concentra nas edificações antes utilizadas como cocheiras, que configuram o conjunto mais significativo daquela área. Por solicitação da </w:t>
      </w:r>
      <w:r w:rsidRPr="007F7577">
        <w:rPr>
          <w:rFonts w:asciiTheme="minorHAnsi" w:hAnsiTheme="minorHAnsi" w:cs="Calibri"/>
          <w:sz w:val="22"/>
          <w:szCs w:val="22"/>
        </w:rPr>
        <w:lastRenderedPageBreak/>
        <w:t xml:space="preserve">Conselheira relatora,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O PROCESSO SERÁ DELIBERADO EM PRÓXIMA </w:t>
      </w:r>
      <w:proofErr w:type="gramStart"/>
      <w:r w:rsidRPr="007F7577">
        <w:rPr>
          <w:rFonts w:asciiTheme="minorHAnsi" w:hAnsiTheme="minorHAnsi" w:cs="Calibri"/>
          <w:b/>
          <w:bCs/>
          <w:sz w:val="22"/>
          <w:szCs w:val="22"/>
        </w:rPr>
        <w:t>REUNIÃO.</w:t>
      </w:r>
      <w:proofErr w:type="gramEnd"/>
      <w:r w:rsidRPr="007F7577">
        <w:rPr>
          <w:rFonts w:asciiTheme="minorHAnsi" w:hAnsiTheme="minorHAnsi" w:cs="Calibri"/>
          <w:b/>
          <w:color w:val="000000"/>
          <w:sz w:val="22"/>
          <w:szCs w:val="22"/>
          <w:u w:val="single"/>
        </w:rPr>
        <w:t xml:space="preserve">3.3 </w:t>
      </w:r>
      <w:r w:rsidRPr="007F7577">
        <w:rPr>
          <w:rFonts w:asciiTheme="minorHAnsi" w:hAnsiTheme="minorHAnsi" w:cs="Calibri"/>
          <w:color w:val="000000"/>
          <w:sz w:val="22"/>
          <w:szCs w:val="22"/>
          <w:u w:val="single"/>
        </w:rPr>
        <w:t>Processos pautados em Reuniões Anteriores, pendente de deliberação Relativos à aprovação de projetos de intervenção em bens protegidos: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>Processo:</w:t>
      </w:r>
      <w:r w:rsidRPr="007F7577">
        <w:rPr>
          <w:rFonts w:asciiTheme="minorHAnsi" w:hAnsiTheme="minorHAnsi" w:cs="Calibri"/>
          <w:b/>
          <w:color w:val="000000"/>
          <w:sz w:val="22"/>
          <w:szCs w:val="22"/>
        </w:rPr>
        <w:t xml:space="preserve"> 2014-0.353.033-1: </w:t>
      </w:r>
      <w:r w:rsidRPr="007F7577">
        <w:rPr>
          <w:rFonts w:asciiTheme="minorHAnsi" w:hAnsiTheme="minorHAnsi"/>
          <w:sz w:val="22"/>
          <w:szCs w:val="22"/>
        </w:rPr>
        <w:t>Carlos Alberto de Oliveira Andrade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proofErr w:type="spellStart"/>
      <w:r w:rsidRPr="007F7577">
        <w:rPr>
          <w:rFonts w:asciiTheme="minorHAnsi" w:hAnsiTheme="minorHAnsi"/>
          <w:sz w:val="22"/>
          <w:szCs w:val="22"/>
        </w:rPr>
        <w:t>Remembramento</w:t>
      </w:r>
      <w:proofErr w:type="spellEnd"/>
      <w:r w:rsidRPr="007F7577">
        <w:rPr>
          <w:rFonts w:asciiTheme="minorHAnsi" w:hAnsiTheme="minorHAnsi"/>
          <w:sz w:val="22"/>
          <w:szCs w:val="22"/>
        </w:rPr>
        <w:t xml:space="preserve"> de Lotes – Rua Suécia, 78 – Jardim Paulista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Pr="007F7577">
        <w:rPr>
          <w:rFonts w:asciiTheme="minorHAnsi" w:hAnsiTheme="minorHAnsi" w:cs="Calibri"/>
          <w:sz w:val="22"/>
          <w:szCs w:val="22"/>
        </w:rPr>
        <w:t xml:space="preserve">Eduardo Mikalauskas. O Conselheiro relata o processo. Trata-se de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remembramento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de três lotes na Rua Suécia. Houve um parecer contrário do DPH, sobretudo porque haveria um prejuízo à ambiência do bairro. Posteriormente o Conselheiro representante de SEL em pedido de vistas, analisou o pedido e segundo o Conselheiro o parecer de DPH não se justificaria, uma vez que segundo a proposta do próprio loteamento o que se espera é que os lotes sejam grandes, portanto não haveria prejuízo no </w:t>
      </w:r>
      <w:proofErr w:type="spellStart"/>
      <w:r w:rsidRPr="007F7577">
        <w:rPr>
          <w:rFonts w:asciiTheme="minorHAnsi" w:hAnsiTheme="minorHAnsi" w:cs="Calibri"/>
          <w:sz w:val="22"/>
          <w:szCs w:val="22"/>
        </w:rPr>
        <w:t>remembramento</w:t>
      </w:r>
      <w:proofErr w:type="spellEnd"/>
      <w:r w:rsidRPr="007F7577">
        <w:rPr>
          <w:rFonts w:asciiTheme="minorHAnsi" w:hAnsiTheme="minorHAnsi" w:cs="Calibri"/>
          <w:sz w:val="22"/>
          <w:szCs w:val="22"/>
        </w:rPr>
        <w:t xml:space="preserve"> solicitado. O processo retornou ao DPH que em novo parecer afirmou que não haveria prejuízo à ambiência. Para o Conselheiro relator, o segundo parecer não crit</w:t>
      </w:r>
      <w:r w:rsidR="008F7137" w:rsidRPr="007F7577">
        <w:rPr>
          <w:rFonts w:asciiTheme="minorHAnsi" w:hAnsiTheme="minorHAnsi" w:cs="Calibri"/>
          <w:sz w:val="22"/>
          <w:szCs w:val="22"/>
        </w:rPr>
        <w:t>ica o primeiro, logo ambos são</w:t>
      </w:r>
      <w:r w:rsidRPr="007F7577">
        <w:rPr>
          <w:rFonts w:asciiTheme="minorHAnsi" w:hAnsiTheme="minorHAnsi" w:cs="Calibri"/>
          <w:sz w:val="22"/>
          <w:szCs w:val="22"/>
        </w:rPr>
        <w:t xml:space="preserve"> </w:t>
      </w:r>
      <w:r w:rsidR="00F10F59" w:rsidRPr="007F7577">
        <w:rPr>
          <w:rFonts w:asciiTheme="minorHAnsi" w:hAnsiTheme="minorHAnsi" w:cs="Calibri"/>
          <w:sz w:val="22"/>
          <w:szCs w:val="22"/>
        </w:rPr>
        <w:t>válidos</w:t>
      </w:r>
      <w:r w:rsidRPr="007F7577">
        <w:rPr>
          <w:rFonts w:asciiTheme="minorHAnsi" w:hAnsiTheme="minorHAnsi" w:cs="Calibri"/>
          <w:sz w:val="22"/>
          <w:szCs w:val="22"/>
        </w:rPr>
        <w:t xml:space="preserve">. Propõe que o processo seja levado para votação. Para o Conselheiro Marco a manifestação do DPH foi reconsiderada em razão da manifestação do Conselheiro de SEL. O Conselheiro José Geraldo pede vistas ao processo por se tratar de uma questão complicada uma vez que o pedido engloba três lotes.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O PROCESSO SERÁ DELIBERADO EM PRÓXIMA </w:t>
      </w:r>
      <w:proofErr w:type="spellStart"/>
      <w:proofErr w:type="gramStart"/>
      <w:r w:rsidRPr="007F7577">
        <w:rPr>
          <w:rFonts w:asciiTheme="minorHAnsi" w:hAnsiTheme="minorHAnsi" w:cs="Calibri"/>
          <w:b/>
          <w:bCs/>
          <w:sz w:val="22"/>
          <w:szCs w:val="22"/>
        </w:rPr>
        <w:t>REUNIÃO</w:t>
      </w:r>
      <w:r w:rsidRPr="007F7577">
        <w:rPr>
          <w:rFonts w:asciiTheme="minorHAnsi" w:hAnsiTheme="minorHAnsi" w:cs="Calibri"/>
          <w:sz w:val="22"/>
          <w:szCs w:val="22"/>
        </w:rPr>
        <w:t>em</w:t>
      </w:r>
      <w:proofErr w:type="spellEnd"/>
      <w:proofErr w:type="gramEnd"/>
      <w:r w:rsidRPr="007F7577">
        <w:rPr>
          <w:rFonts w:asciiTheme="minorHAnsi" w:hAnsiTheme="minorHAnsi" w:cs="Calibri"/>
          <w:sz w:val="22"/>
          <w:szCs w:val="22"/>
        </w:rPr>
        <w:t xml:space="preserve"> razão do pedido de vistas efetuado pelo Conselheiro Representante do IAB, José Geraldo. </w:t>
      </w:r>
      <w:r w:rsidRPr="007F7577">
        <w:rPr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Pr="007F7577">
        <w:rPr>
          <w:rFonts w:asciiTheme="minorHAnsi" w:hAnsiTheme="minorHAnsi" w:cs="Calibri"/>
          <w:b/>
          <w:color w:val="000000"/>
          <w:sz w:val="22"/>
          <w:szCs w:val="22"/>
        </w:rPr>
        <w:t xml:space="preserve">2014-0.128.907-6: </w:t>
      </w:r>
      <w:r w:rsidRPr="007F7577">
        <w:rPr>
          <w:rFonts w:asciiTheme="minorHAnsi" w:hAnsiTheme="minorHAnsi"/>
          <w:sz w:val="22"/>
          <w:szCs w:val="22"/>
        </w:rPr>
        <w:t>INFRAERO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Pr="007F7577">
        <w:rPr>
          <w:rFonts w:asciiTheme="minorHAnsi" w:hAnsiTheme="minorHAnsi"/>
          <w:sz w:val="22"/>
          <w:szCs w:val="22"/>
        </w:rPr>
        <w:t>Reforma do Aeroporto Campo de Mate – Av. Santos Dumont, 1.979 - Santana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Pr="007F7577">
        <w:rPr>
          <w:rFonts w:asciiTheme="minorHAnsi" w:hAnsiTheme="minorHAnsi" w:cs="Calibri"/>
          <w:sz w:val="22"/>
          <w:szCs w:val="22"/>
        </w:rPr>
        <w:t xml:space="preserve">Eduardo Mikalauskas. O Conselheiro lembra que existe ação que envolve o domínio da área. Em primeiro pedido a INFRAERO solicitou uma série de intervenções de reforma e o Conselheiro em primeiro relato não se opôs a nenhuma intervenção que fosse por motivos de segurança. O processo retornou ao DPH e a INFRAERO alterou o pedido inicial limitando-se a intervenção que consiste na construção de 600 metros de cerca em complemento a outra existente. Por se tratar de cerca de segurança o relato do Conselheiro é favorável ao pedido. É dado início à votação. Por unanimidade de votos dos conselheiros presentes, o pedido de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>REFORMA DO AEROPORTO CAMPO DE MARTE</w:t>
      </w:r>
      <w:r w:rsidRPr="007F7577">
        <w:rPr>
          <w:rFonts w:asciiTheme="minorHAnsi" w:hAnsiTheme="minorHAnsi" w:cs="Calibri"/>
          <w:sz w:val="22"/>
          <w:szCs w:val="22"/>
        </w:rPr>
        <w:t xml:space="preserve"> foi </w:t>
      </w:r>
      <w:r w:rsidRPr="007F7577">
        <w:rPr>
          <w:rFonts w:asciiTheme="minorHAnsi" w:hAnsiTheme="minorHAnsi" w:cs="Calibri"/>
          <w:b/>
          <w:bCs/>
          <w:sz w:val="22"/>
          <w:szCs w:val="22"/>
        </w:rPr>
        <w:t xml:space="preserve">DEFERIDO. </w:t>
      </w:r>
      <w:r w:rsidRPr="007F7577">
        <w:rPr>
          <w:rFonts w:ascii="Calibri" w:hAnsi="Calibri" w:cs="Calibri"/>
          <w:color w:val="000000"/>
          <w:sz w:val="22"/>
          <w:szCs w:val="22"/>
        </w:rPr>
        <w:t xml:space="preserve">– Processo: </w:t>
      </w:r>
      <w:r w:rsidRPr="007F7577">
        <w:rPr>
          <w:rFonts w:ascii="Calibri" w:hAnsi="Calibri" w:cs="Calibri"/>
          <w:b/>
          <w:color w:val="000000"/>
          <w:sz w:val="22"/>
          <w:szCs w:val="22"/>
        </w:rPr>
        <w:t xml:space="preserve">2014-0.286.724-3(Ac. 2016-0.004.688-2) – </w:t>
      </w:r>
      <w:r w:rsidRPr="007F7577">
        <w:rPr>
          <w:rFonts w:ascii="Calibri" w:hAnsi="Calibri" w:cs="Calibri"/>
          <w:color w:val="000000"/>
          <w:sz w:val="22"/>
          <w:szCs w:val="22"/>
        </w:rPr>
        <w:t xml:space="preserve">RMVDPAR Administração e Participações S.A. – Reconsideração de Despacho/Reforma – Rua Cardoso de Almeida, 520 – Perdizes. Relator: Ronaldo Parente. Vistas Nadia </w:t>
      </w:r>
      <w:proofErr w:type="spellStart"/>
      <w:r w:rsidRPr="007F7577">
        <w:rPr>
          <w:rFonts w:ascii="Calibri" w:hAnsi="Calibri" w:cs="Calibri"/>
          <w:color w:val="000000"/>
          <w:sz w:val="22"/>
          <w:szCs w:val="22"/>
        </w:rPr>
        <w:t>Somekh</w:t>
      </w:r>
      <w:proofErr w:type="spellEnd"/>
      <w:r w:rsidRPr="007F757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7F7577">
        <w:rPr>
          <w:rFonts w:ascii="Calibri" w:hAnsi="Calibri" w:cs="Calibri"/>
          <w:b/>
          <w:bCs/>
          <w:color w:val="000000"/>
          <w:sz w:val="22"/>
          <w:szCs w:val="22"/>
        </w:rPr>
        <w:t>O PROCESSO SERÁ DELIBERADO EM PRÓXIMA REUNIÃO,</w:t>
      </w:r>
      <w:r w:rsidRPr="007F7577">
        <w:rPr>
          <w:rFonts w:ascii="Calibri" w:hAnsi="Calibri" w:cs="Calibri"/>
          <w:color w:val="000000"/>
          <w:sz w:val="22"/>
          <w:szCs w:val="22"/>
        </w:rPr>
        <w:t xml:space="preserve"> em razão do pedido de vistas</w:t>
      </w:r>
      <w:proofErr w:type="gramStart"/>
      <w:r w:rsidRPr="007F7577"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gramEnd"/>
      <w:r w:rsidRPr="007F7577">
        <w:rPr>
          <w:rFonts w:ascii="Calibri" w:hAnsi="Calibri" w:cs="Calibri"/>
          <w:color w:val="000000"/>
          <w:sz w:val="22"/>
          <w:szCs w:val="22"/>
        </w:rPr>
        <w:t xml:space="preserve">efetuado pela Presidente em reunião anterior.–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Pr="007F7577">
        <w:rPr>
          <w:rFonts w:asciiTheme="minorHAnsi" w:hAnsiTheme="minorHAnsi" w:cs="Calibri"/>
          <w:b/>
          <w:color w:val="000000"/>
          <w:sz w:val="22"/>
          <w:szCs w:val="22"/>
        </w:rPr>
        <w:t>2015-0.145.413-3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Linneu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Cufari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– Fundação Reconsideração de Despacho/Regularização – Rua dos Ingleses, 447 – Bela Vista. Relator: Milena Satie. Por solicitação da Conselheira </w:t>
      </w:r>
      <w:proofErr w:type="gramStart"/>
      <w:r w:rsidRPr="007F7577">
        <w:rPr>
          <w:rFonts w:asciiTheme="minorHAnsi" w:hAnsiTheme="minorHAnsi" w:cs="Calibri"/>
          <w:color w:val="000000"/>
          <w:sz w:val="22"/>
          <w:szCs w:val="22"/>
        </w:rPr>
        <w:t>relatora,</w:t>
      </w:r>
      <w:proofErr w:type="gramEnd"/>
      <w:r w:rsidRPr="007F7577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O PROCESSO SERÁ DELIBERADO EM PRÓXIMA REUNIÃO. </w:t>
      </w:r>
      <w:r w:rsidRPr="007F7577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Pr="007F7577">
        <w:rPr>
          <w:rFonts w:asciiTheme="minorHAnsi" w:hAnsiTheme="minorHAnsi" w:cs="Calibri"/>
          <w:b/>
          <w:color w:val="000000"/>
          <w:sz w:val="22"/>
          <w:szCs w:val="22"/>
        </w:rPr>
        <w:t>2015-0.152.103-5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: VUNESP – Fundação para o vestibular da Universidade Estadual Paulista – Construção/Projeto Modificativo – Rua Dona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Germaine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Buchard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, 569 x Rua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Turiassú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, s/nº. Relator: Marcelo Rossi. O Conselheiro procede </w:t>
      </w:r>
      <w:proofErr w:type="gramStart"/>
      <w:r w:rsidRPr="007F7577">
        <w:rPr>
          <w:rFonts w:asciiTheme="minorHAnsi" w:hAnsiTheme="minorHAnsi" w:cs="Calibri"/>
          <w:color w:val="000000"/>
          <w:sz w:val="22"/>
          <w:szCs w:val="22"/>
        </w:rPr>
        <w:t>a</w:t>
      </w:r>
      <w:proofErr w:type="gram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leitura de seu parecer. Trata-se de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remembramento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de lotes e projeto de construção em lotes localizados na área envoltória do Parque da Água Branca. Ressalta que um dos lotes a serem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remembrados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está encravado no lote, sem acesso à rua, o que impede qualquer construção no local. Com o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remembramento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o projeto de construção será passível de aprovação por não afetar a ambiência do entorno do Parque protegido. É dado início à votação. Por unanimidade de votos dos Conselheiros presentes,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o projeto de </w:t>
      </w:r>
      <w:r w:rsidRPr="007F7577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CONSTRUÇÃO E REMEMBRAMENTO DE LOTES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foi </w:t>
      </w:r>
      <w:proofErr w:type="gramStart"/>
      <w:r w:rsidRPr="007F7577">
        <w:rPr>
          <w:rFonts w:asciiTheme="minorHAnsi" w:hAnsiTheme="minorHAnsi" w:cs="Calibri"/>
          <w:b/>
          <w:bCs/>
          <w:color w:val="000000"/>
          <w:sz w:val="22"/>
          <w:szCs w:val="22"/>
        </w:rPr>
        <w:t>DEFERIDO.</w:t>
      </w:r>
      <w:proofErr w:type="gram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–Processo: </w:t>
      </w:r>
      <w:r w:rsidRPr="007F7577">
        <w:rPr>
          <w:rFonts w:asciiTheme="minorHAnsi" w:hAnsiTheme="minorHAnsi"/>
          <w:b/>
          <w:bCs/>
          <w:sz w:val="22"/>
          <w:szCs w:val="22"/>
        </w:rPr>
        <w:t xml:space="preserve">2016-0.063.910-7: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Pia Sociedade dos Missionários de São Carlos – Plano Diretor do Complexo Missão de Paz – Rua Glicério, 215 - Liberdade. Relator: Penha Pacca. A Conselheira relatora apresenta a proposta do plano diretor para </w:t>
      </w:r>
      <w:proofErr w:type="gramStart"/>
      <w:r w:rsidRPr="007F7577">
        <w:rPr>
          <w:rFonts w:asciiTheme="minorHAnsi" w:hAnsiTheme="minorHAnsi" w:cs="Calibri"/>
          <w:color w:val="000000"/>
          <w:sz w:val="22"/>
          <w:szCs w:val="22"/>
        </w:rPr>
        <w:t>o complexo Missão</w:t>
      </w:r>
      <w:proofErr w:type="gram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de Paz. Esclarece que a área É uma indicação da antiga Z8-200. Elogia ainda o histórico apresentado. É dado início a votação. Por unanimidade de votos dos Conselheiros Presentes, a proposta do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ab/>
      </w:r>
      <w:r w:rsidRPr="007F7577">
        <w:rPr>
          <w:rFonts w:asciiTheme="minorHAnsi" w:hAnsiTheme="minorHAnsi" w:cs="Calibri"/>
          <w:b/>
          <w:color w:val="000000"/>
          <w:sz w:val="22"/>
          <w:szCs w:val="22"/>
        </w:rPr>
        <w:t xml:space="preserve">PLANO DIRETOR PARA O </w:t>
      </w:r>
      <w:proofErr w:type="spellStart"/>
      <w:proofErr w:type="gramStart"/>
      <w:r w:rsidRPr="007F7577">
        <w:rPr>
          <w:rFonts w:asciiTheme="minorHAnsi" w:hAnsiTheme="minorHAnsi" w:cs="Calibri"/>
          <w:b/>
          <w:color w:val="000000"/>
          <w:sz w:val="22"/>
          <w:szCs w:val="22"/>
        </w:rPr>
        <w:t>CONJUNTO</w:t>
      </w:r>
      <w:r w:rsidRPr="007F7577">
        <w:rPr>
          <w:rFonts w:ascii="Calibri" w:hAnsi="Calibri" w:cs="Tahoma"/>
          <w:bCs/>
          <w:sz w:val="22"/>
          <w:szCs w:val="22"/>
        </w:rPr>
        <w:t>que</w:t>
      </w:r>
      <w:proofErr w:type="spellEnd"/>
      <w:proofErr w:type="gramEnd"/>
      <w:r w:rsidRPr="007F7577">
        <w:rPr>
          <w:rFonts w:ascii="Calibri" w:hAnsi="Calibri" w:cs="Tahoma"/>
          <w:bCs/>
          <w:sz w:val="22"/>
          <w:szCs w:val="22"/>
        </w:rPr>
        <w:t xml:space="preserve"> abriga a Missão da Paz, composto pela Igreja Nossa Senhora da Paz, Casa do Migrante, Paróquia, Creche e demais serviços de apoio ao migrante foi </w:t>
      </w:r>
      <w:r w:rsidRPr="007F7577">
        <w:rPr>
          <w:rFonts w:ascii="Calibri" w:hAnsi="Calibri" w:cs="Tahoma"/>
          <w:b/>
          <w:bCs/>
          <w:sz w:val="22"/>
          <w:szCs w:val="22"/>
        </w:rPr>
        <w:t xml:space="preserve">DEFERIDA.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–Processo: </w:t>
      </w:r>
      <w:r w:rsidRPr="007F7577">
        <w:rPr>
          <w:rFonts w:asciiTheme="minorHAnsi" w:hAnsiTheme="minorHAnsi"/>
          <w:b/>
          <w:bCs/>
          <w:sz w:val="22"/>
          <w:szCs w:val="22"/>
        </w:rPr>
        <w:t xml:space="preserve">2015-0.291.870-2: 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Companhia Paulista de Trens Metropolitanos CPTM – Reforma do Pátio da Lapa – Av. Raimundo Pereira de Magalhães, 200 - Lapa. Relator: Marco Winther. O Conselheiro relator informa que a proposta refere-se à instalação de </w:t>
      </w:r>
      <w:proofErr w:type="spellStart"/>
      <w:r w:rsidRPr="007F7577">
        <w:rPr>
          <w:rFonts w:asciiTheme="minorHAnsi" w:hAnsiTheme="minorHAnsi" w:cs="Calibri"/>
          <w:color w:val="000000"/>
          <w:sz w:val="22"/>
          <w:szCs w:val="22"/>
        </w:rPr>
        <w:t>saanitários</w:t>
      </w:r>
      <w:proofErr w:type="spellEnd"/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e outras alterações na parte interna do imóvel sem descaracterizar a volumetria e elementos externos do imóvel. Por esse motivo o Conselheiro acompanha parecer favorável com recomendações, proposto pelo DPH. É dado início a votação. Por unanimidade de votos dos Conselheiros Presentes, o projeto de </w:t>
      </w:r>
      <w:r w:rsidRPr="007F7577">
        <w:rPr>
          <w:rFonts w:asciiTheme="minorHAnsi" w:hAnsiTheme="minorHAnsi" w:cs="Calibri"/>
          <w:b/>
          <w:color w:val="000000"/>
          <w:sz w:val="22"/>
          <w:szCs w:val="22"/>
        </w:rPr>
        <w:t>REFORMA INTERNA EM GALPÃO DA CPTM NO PÁTIO DA LAPA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 foi</w:t>
      </w:r>
      <w:r w:rsidRPr="007F7577">
        <w:rPr>
          <w:rFonts w:asciiTheme="minorHAnsi" w:hAnsiTheme="minorHAnsi" w:cs="Calibri"/>
          <w:b/>
          <w:color w:val="000000"/>
          <w:sz w:val="22"/>
          <w:szCs w:val="22"/>
        </w:rPr>
        <w:t xml:space="preserve"> DEFERIDO COM RECOMENDAÇÕES</w:t>
      </w:r>
      <w:r w:rsidRPr="007F7577">
        <w:rPr>
          <w:rFonts w:asciiTheme="minorHAnsi" w:hAnsiTheme="minorHAnsi" w:cs="Calibri"/>
          <w:color w:val="000000"/>
          <w:sz w:val="22"/>
          <w:szCs w:val="22"/>
        </w:rPr>
        <w:t xml:space="preserve">, a saber: </w:t>
      </w:r>
      <w:r w:rsidRPr="007F7577">
        <w:rPr>
          <w:rFonts w:ascii="Calibri" w:hAnsi="Calibri" w:cs="Tahoma"/>
          <w:b/>
          <w:bCs/>
          <w:i/>
          <w:sz w:val="22"/>
          <w:szCs w:val="22"/>
        </w:rPr>
        <w:t>1)</w:t>
      </w:r>
      <w:r w:rsidRPr="007F7577">
        <w:rPr>
          <w:rFonts w:ascii="Calibri" w:hAnsi="Calibri" w:cs="Tahoma"/>
          <w:bCs/>
          <w:i/>
          <w:sz w:val="22"/>
          <w:szCs w:val="22"/>
        </w:rPr>
        <w:t xml:space="preserve">A nova parede do sanitário de visitantes a ser construída internamente à porta de aço, deverá ter acabamento distinto das paredes externas do </w:t>
      </w:r>
      <w:proofErr w:type="gramStart"/>
      <w:r w:rsidRPr="007F7577">
        <w:rPr>
          <w:rFonts w:ascii="Calibri" w:hAnsi="Calibri" w:cs="Tahoma"/>
          <w:bCs/>
          <w:i/>
          <w:sz w:val="22"/>
          <w:szCs w:val="22"/>
        </w:rPr>
        <w:t>galpão;</w:t>
      </w:r>
      <w:proofErr w:type="gramEnd"/>
      <w:r w:rsidRPr="007F7577">
        <w:rPr>
          <w:rFonts w:ascii="Calibri" w:hAnsi="Calibri" w:cs="Tahoma"/>
          <w:b/>
          <w:bCs/>
          <w:i/>
          <w:sz w:val="22"/>
          <w:szCs w:val="22"/>
        </w:rPr>
        <w:t>2)</w:t>
      </w:r>
      <w:r w:rsidRPr="007F7577">
        <w:rPr>
          <w:rFonts w:ascii="Calibri" w:hAnsi="Calibri" w:cs="Tahoma"/>
          <w:bCs/>
          <w:i/>
          <w:sz w:val="22"/>
          <w:szCs w:val="22"/>
        </w:rPr>
        <w:t xml:space="preserve"> As esquadrias a serem utilizadas nesta parede deverão ter aparência distinta das demais existentes nas fachadas do galpão;</w:t>
      </w:r>
      <w:r w:rsidRPr="007F7577">
        <w:rPr>
          <w:rFonts w:ascii="Calibri" w:hAnsi="Calibri" w:cs="Tahoma"/>
          <w:b/>
          <w:bCs/>
          <w:i/>
          <w:sz w:val="22"/>
          <w:szCs w:val="22"/>
        </w:rPr>
        <w:t>3)</w:t>
      </w:r>
      <w:r w:rsidRPr="007F7577">
        <w:rPr>
          <w:rFonts w:ascii="Calibri" w:hAnsi="Calibri" w:cs="Tahoma"/>
          <w:bCs/>
          <w:i/>
          <w:sz w:val="22"/>
          <w:szCs w:val="22"/>
        </w:rPr>
        <w:t xml:space="preserve"> Que o projeto seja submetido à apreciação da CPA – Comissão Permanente de Acessibilidade da PMSP. </w:t>
      </w:r>
      <w:r w:rsidRPr="007F7577">
        <w:rPr>
          <w:rFonts w:ascii="Calibri" w:hAnsi="Calibri" w:cs="Tahoma"/>
          <w:bCs/>
          <w:sz w:val="22"/>
          <w:szCs w:val="22"/>
        </w:rPr>
        <w:t xml:space="preserve">- </w:t>
      </w:r>
      <w:r w:rsidRPr="007F7577">
        <w:rPr>
          <w:rFonts w:ascii="Calibri" w:hAnsi="Calibri" w:cs="Tahoma"/>
          <w:bCs/>
          <w:sz w:val="22"/>
          <w:szCs w:val="22"/>
          <w:u w:val="single"/>
        </w:rPr>
        <w:t xml:space="preserve">PROCESSOS COM PROPOSTA DE INDEFERIMENTO, POR NÃO ATENDIMENTO DE COMUNIQUE-SE: </w:t>
      </w:r>
      <w:r w:rsidRPr="007F7577">
        <w:rPr>
          <w:rFonts w:ascii="Calibri" w:hAnsi="Calibri" w:cs="Tahoma"/>
          <w:bCs/>
          <w:sz w:val="22"/>
          <w:szCs w:val="22"/>
        </w:rPr>
        <w:t xml:space="preserve">Processo: </w:t>
      </w:r>
      <w:r w:rsidRPr="007F7577">
        <w:rPr>
          <w:rFonts w:ascii="Calibri" w:hAnsi="Calibri" w:cs="Tahoma"/>
          <w:b/>
          <w:bCs/>
          <w:sz w:val="22"/>
          <w:szCs w:val="22"/>
        </w:rPr>
        <w:t>2015-0.233.095-0</w:t>
      </w:r>
      <w:r w:rsidRPr="007F7577">
        <w:rPr>
          <w:rFonts w:ascii="Calibri" w:hAnsi="Calibri" w:cs="Tahoma"/>
          <w:sz w:val="22"/>
          <w:szCs w:val="22"/>
        </w:rPr>
        <w:t xml:space="preserve"> – Ronaldo Batista Novaes de Campos – Reforma – Av. </w:t>
      </w:r>
      <w:proofErr w:type="spellStart"/>
      <w:r w:rsidRPr="007F7577">
        <w:rPr>
          <w:rFonts w:ascii="Calibri" w:hAnsi="Calibri" w:cs="Tahoma"/>
          <w:sz w:val="22"/>
          <w:szCs w:val="22"/>
        </w:rPr>
        <w:t>Corifeu</w:t>
      </w:r>
      <w:proofErr w:type="spellEnd"/>
      <w:r w:rsidRPr="007F7577">
        <w:rPr>
          <w:rFonts w:ascii="Calibri" w:hAnsi="Calibri" w:cs="Tahoma"/>
          <w:sz w:val="22"/>
          <w:szCs w:val="22"/>
        </w:rPr>
        <w:t xml:space="preserve"> de Azevedo Marques, 44 – Butantã. Relator: Marco Winther. Por unanimidade de votos dos Conselheiros Presentes, o projeto de </w:t>
      </w:r>
      <w:r w:rsidRPr="007F7577">
        <w:rPr>
          <w:rFonts w:ascii="Calibri" w:hAnsi="Calibri" w:cs="Tahoma"/>
          <w:b/>
          <w:bCs/>
          <w:sz w:val="22"/>
          <w:szCs w:val="22"/>
        </w:rPr>
        <w:t xml:space="preserve">REFORMA </w:t>
      </w:r>
      <w:r w:rsidRPr="007F7577">
        <w:rPr>
          <w:rFonts w:ascii="Calibri" w:hAnsi="Calibri" w:cs="Tahoma"/>
          <w:sz w:val="22"/>
          <w:szCs w:val="22"/>
        </w:rPr>
        <w:t xml:space="preserve">foi </w:t>
      </w:r>
      <w:r w:rsidRPr="007F7577">
        <w:rPr>
          <w:rFonts w:ascii="Calibri" w:hAnsi="Calibri" w:cs="Tahoma"/>
          <w:b/>
          <w:bCs/>
          <w:sz w:val="22"/>
          <w:szCs w:val="22"/>
        </w:rPr>
        <w:t xml:space="preserve">INDEFERIDO, </w:t>
      </w:r>
      <w:r w:rsidRPr="007F7577">
        <w:rPr>
          <w:rFonts w:ascii="Calibri" w:hAnsi="Calibri" w:cs="Tahoma"/>
          <w:sz w:val="22"/>
          <w:szCs w:val="22"/>
        </w:rPr>
        <w:t xml:space="preserve">por não atendimento de comunique-se. </w:t>
      </w:r>
      <w:r w:rsidRPr="007F7577"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proofErr w:type="gramStart"/>
      <w:r w:rsidRPr="007F7577">
        <w:rPr>
          <w:rFonts w:asciiTheme="minorHAnsi" w:hAnsiTheme="minorHAnsi" w:cs="Calibri"/>
          <w:b/>
          <w:bCs/>
          <w:sz w:val="22"/>
          <w:szCs w:val="22"/>
        </w:rPr>
        <w:t>11:35</w:t>
      </w:r>
      <w:proofErr w:type="gramEnd"/>
      <w:r w:rsidRPr="007F7577">
        <w:rPr>
          <w:rFonts w:asciiTheme="minorHAnsi" w:hAnsiTheme="minorHAnsi" w:cs="Calibri"/>
          <w:sz w:val="22"/>
          <w:szCs w:val="22"/>
        </w:rPr>
        <w:t>. A Ata será lavrada e, depois de achada conforme, será assinada pelos Conselheiros e publicada no Diário Oficial da Cidade.</w:t>
      </w:r>
    </w:p>
    <w:p w:rsidR="00600E51" w:rsidRPr="007F7577" w:rsidRDefault="00600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600E51" w:rsidRPr="007F7577" w:rsidRDefault="00600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600E51" w:rsidRPr="007F7577" w:rsidRDefault="007F7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7">
        <w:rPr>
          <w:rFonts w:asciiTheme="minorHAnsi" w:hAnsiTheme="minorHAnsi"/>
          <w:sz w:val="22"/>
          <w:szCs w:val="22"/>
        </w:rPr>
        <w:t>DOC 27/04/2016 – página 75</w:t>
      </w:r>
    </w:p>
    <w:sectPr w:rsidR="00600E51" w:rsidRPr="007F7577" w:rsidSect="00600E51">
      <w:headerReference w:type="default" r:id="rId7"/>
      <w:footerReference w:type="default" r:id="rId8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E51" w:rsidRDefault="00600E51" w:rsidP="00600E51">
      <w:r>
        <w:separator/>
      </w:r>
    </w:p>
  </w:endnote>
  <w:endnote w:type="continuationSeparator" w:id="1">
    <w:p w:rsidR="00600E51" w:rsidRDefault="00600E51" w:rsidP="0060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51" w:rsidRDefault="007561D1">
    <w:pPr>
      <w:pStyle w:val="Rodap"/>
      <w:jc w:val="right"/>
    </w:pPr>
    <w:r>
      <w:fldChar w:fldCharType="begin"/>
    </w:r>
    <w:r w:rsidR="008F5519">
      <w:instrText>PAGE</w:instrText>
    </w:r>
    <w:r>
      <w:fldChar w:fldCharType="separate"/>
    </w:r>
    <w:r w:rsidR="007F757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E51" w:rsidRDefault="00600E51" w:rsidP="00600E51">
      <w:r>
        <w:separator/>
      </w:r>
    </w:p>
  </w:footnote>
  <w:footnote w:type="continuationSeparator" w:id="1">
    <w:p w:rsidR="00600E51" w:rsidRDefault="00600E51" w:rsidP="00600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600E51">
      <w:trPr>
        <w:trHeight w:val="707"/>
      </w:trPr>
      <w:tc>
        <w:tcPr>
          <w:tcW w:w="1940" w:type="dxa"/>
          <w:shd w:val="clear" w:color="auto" w:fill="auto"/>
        </w:tcPr>
        <w:p w:rsidR="00600E51" w:rsidRDefault="008F5519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1905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600E51" w:rsidRDefault="008F5519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600E51" w:rsidRDefault="008F5519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600E51" w:rsidRDefault="00600E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0E51"/>
    <w:rsid w:val="00281B97"/>
    <w:rsid w:val="005B2D3C"/>
    <w:rsid w:val="00600E51"/>
    <w:rsid w:val="007561D1"/>
    <w:rsid w:val="007F7577"/>
    <w:rsid w:val="008F5519"/>
    <w:rsid w:val="008F7137"/>
    <w:rsid w:val="00F1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1">
    <w:name w:val="heading 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styleId="Ttulo6">
    <w:name w:val="heading 6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styleId="Ttulo8">
    <w:name w:val="heading 8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Ttulo2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Ttulo3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Ttulo4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Ttulo5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Ttulo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Ttulo7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Ttulo8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Ttulo9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rsid w:val="00200552"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b/>
      <w:bCs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Cabealh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b/>
      <w:bCs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paragraph" w:styleId="Ttulo">
    <w:name w:val="Title"/>
    <w:basedOn w:val="Normal"/>
    <w:next w:val="Corpodetexto"/>
    <w:link w:val="TtuloChar1"/>
    <w:qFormat/>
    <w:rsid w:val="00600E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600E51"/>
    <w:pPr>
      <w:spacing w:after="140" w:line="288" w:lineRule="auto"/>
    </w:pPr>
  </w:style>
  <w:style w:type="paragraph" w:styleId="Lista">
    <w:name w:val="List"/>
    <w:basedOn w:val="Corpodotexto"/>
    <w:uiPriority w:val="99"/>
    <w:rsid w:val="00200552"/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dodocumento">
    <w:name w:val="Título do documento"/>
    <w:basedOn w:val="Normal"/>
    <w:uiPriority w:val="99"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customStyle="1" w:styleId="Corpodetextorecuado">
    <w:name w:val="Corpo de texto recuado"/>
    <w:basedOn w:val="Normal"/>
    <w:uiPriority w:val="99"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2"/>
    <w:uiPriority w:val="99"/>
    <w:rsid w:val="00200552"/>
    <w:pPr>
      <w:tabs>
        <w:tab w:val="center" w:pos="4419"/>
        <w:tab w:val="right" w:pos="8838"/>
      </w:tabs>
    </w:pPr>
    <w:rPr>
      <w:rFonts w:cs="Times New Roman"/>
    </w:rPr>
  </w:style>
  <w:style w:type="paragraph" w:styleId="Rodap">
    <w:name w:val="footer"/>
    <w:basedOn w:val="Normal"/>
    <w:link w:val="RodapChar2"/>
    <w:uiPriority w:val="99"/>
    <w:rsid w:val="00200552"/>
    <w:pPr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D5574-E70D-41C0-AE5B-3FC7459F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2585</Words>
  <Characters>13965</Characters>
  <Application>Microsoft Office Word</Application>
  <DocSecurity>0</DocSecurity>
  <Lines>116</Lines>
  <Paragraphs>33</Paragraphs>
  <ScaleCrop>false</ScaleCrop>
  <Company>P.M.S.P.</Company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2016-04-26T14:01:00Z</cp:lastPrinted>
  <dcterms:created xsi:type="dcterms:W3CDTF">2016-05-25T13:27:00Z</dcterms:created>
  <dcterms:modified xsi:type="dcterms:W3CDTF">2016-05-25T13:27:00Z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