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328" w:rsidRDefault="00617328" w:rsidP="00617328">
      <w:pPr>
        <w:spacing w:after="0"/>
        <w:jc w:val="center"/>
        <w:rPr>
          <w:rFonts w:ascii="Times New Roman" w:hAnsi="Times New Roman" w:cs="Times New Roman"/>
          <w:b/>
          <w:bCs/>
          <w:color w:val="000000"/>
        </w:rPr>
      </w:pPr>
      <w:bookmarkStart w:id="0" w:name="_GoBack"/>
      <w:bookmarkEnd w:id="0"/>
      <w:r>
        <w:rPr>
          <w:rFonts w:ascii="Cambria" w:hAnsi="Cambria"/>
          <w:b/>
          <w:noProof/>
          <w:sz w:val="28"/>
          <w:szCs w:val="28"/>
          <w:lang w:eastAsia="pt-BR"/>
        </w:rPr>
        <w:drawing>
          <wp:inline distT="0" distB="0" distL="0" distR="0" wp14:anchorId="217A852E" wp14:editId="7453F52C">
            <wp:extent cx="894080" cy="894080"/>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p w:rsidR="00617328" w:rsidRDefault="00617328" w:rsidP="008747DC">
      <w:pPr>
        <w:spacing w:after="0" w:line="360" w:lineRule="auto"/>
        <w:jc w:val="both"/>
        <w:rPr>
          <w:rFonts w:ascii="Times New Roman" w:hAnsi="Times New Roman" w:cs="Times New Roman"/>
          <w:b/>
          <w:bCs/>
          <w:color w:val="000000"/>
          <w:sz w:val="24"/>
          <w:szCs w:val="24"/>
        </w:rPr>
      </w:pPr>
    </w:p>
    <w:p w:rsidR="00617328" w:rsidRDefault="00617328" w:rsidP="008747DC">
      <w:pPr>
        <w:tabs>
          <w:tab w:val="left" w:pos="3945"/>
        </w:tabs>
        <w:spacing w:after="240" w:line="360" w:lineRule="auto"/>
        <w:jc w:val="center"/>
        <w:rPr>
          <w:rFonts w:ascii="Verdana" w:hAnsi="Verdana"/>
          <w:b/>
          <w:sz w:val="24"/>
          <w:szCs w:val="24"/>
        </w:rPr>
      </w:pPr>
      <w:r w:rsidRPr="00825C59">
        <w:rPr>
          <w:rFonts w:ascii="Verdana" w:hAnsi="Verdana"/>
          <w:b/>
          <w:sz w:val="24"/>
          <w:szCs w:val="24"/>
        </w:rPr>
        <w:t xml:space="preserve">Publicado no D.O.C. São Paulo, </w:t>
      </w:r>
      <w:r w:rsidR="00A87F6A">
        <w:rPr>
          <w:rFonts w:ascii="Verdana" w:hAnsi="Verdana"/>
          <w:b/>
          <w:sz w:val="24"/>
          <w:szCs w:val="24"/>
        </w:rPr>
        <w:t>10</w:t>
      </w:r>
      <w:r w:rsidR="0041722D">
        <w:rPr>
          <w:rFonts w:ascii="Verdana" w:hAnsi="Verdana"/>
          <w:b/>
          <w:sz w:val="24"/>
          <w:szCs w:val="24"/>
        </w:rPr>
        <w:t>3</w:t>
      </w:r>
      <w:r>
        <w:rPr>
          <w:rFonts w:ascii="Verdana" w:hAnsi="Verdana"/>
          <w:b/>
          <w:sz w:val="24"/>
          <w:szCs w:val="24"/>
        </w:rPr>
        <w:t>, Ano 63.</w:t>
      </w:r>
    </w:p>
    <w:p w:rsidR="00AC6C61" w:rsidRDefault="0041722D" w:rsidP="008747DC">
      <w:pPr>
        <w:spacing w:line="360" w:lineRule="auto"/>
        <w:jc w:val="center"/>
        <w:rPr>
          <w:rFonts w:ascii="Verdana" w:hAnsi="Verdana"/>
          <w:b/>
          <w:sz w:val="24"/>
          <w:szCs w:val="24"/>
        </w:rPr>
      </w:pPr>
      <w:r>
        <w:rPr>
          <w:rFonts w:ascii="Verdana" w:hAnsi="Verdana"/>
          <w:b/>
          <w:sz w:val="24"/>
          <w:szCs w:val="24"/>
        </w:rPr>
        <w:t>Terça</w:t>
      </w:r>
      <w:r w:rsidR="009D3D9F">
        <w:rPr>
          <w:rFonts w:ascii="Verdana" w:hAnsi="Verdana"/>
          <w:b/>
          <w:sz w:val="24"/>
          <w:szCs w:val="24"/>
        </w:rPr>
        <w:t>-feira</w:t>
      </w:r>
      <w:r w:rsidR="00AB53B4">
        <w:rPr>
          <w:rFonts w:ascii="Verdana" w:hAnsi="Verdana"/>
          <w:b/>
          <w:sz w:val="24"/>
          <w:szCs w:val="24"/>
        </w:rPr>
        <w:t xml:space="preserve"> </w:t>
      </w:r>
      <w:r w:rsidR="008A23F8">
        <w:rPr>
          <w:rFonts w:ascii="Verdana" w:hAnsi="Verdana"/>
          <w:b/>
          <w:sz w:val="24"/>
          <w:szCs w:val="24"/>
        </w:rPr>
        <w:t xml:space="preserve">– </w:t>
      </w:r>
      <w:r>
        <w:rPr>
          <w:rFonts w:ascii="Verdana" w:hAnsi="Verdana"/>
          <w:b/>
          <w:sz w:val="24"/>
          <w:szCs w:val="24"/>
        </w:rPr>
        <w:t>05</w:t>
      </w:r>
      <w:r w:rsidR="00617328" w:rsidRPr="00825C59">
        <w:rPr>
          <w:rFonts w:ascii="Verdana" w:hAnsi="Verdana"/>
          <w:b/>
          <w:sz w:val="24"/>
          <w:szCs w:val="24"/>
        </w:rPr>
        <w:t xml:space="preserve"> de </w:t>
      </w:r>
      <w:r>
        <w:rPr>
          <w:rFonts w:ascii="Verdana" w:hAnsi="Verdana"/>
          <w:b/>
          <w:sz w:val="24"/>
          <w:szCs w:val="24"/>
        </w:rPr>
        <w:t>Junho</w:t>
      </w:r>
      <w:r w:rsidR="00617328" w:rsidRPr="00825C59">
        <w:rPr>
          <w:rFonts w:ascii="Verdana" w:hAnsi="Verdana"/>
          <w:b/>
          <w:sz w:val="24"/>
          <w:szCs w:val="24"/>
        </w:rPr>
        <w:t xml:space="preserve"> de 2018</w:t>
      </w:r>
      <w:r w:rsidR="00617328">
        <w:rPr>
          <w:rFonts w:ascii="Verdana" w:hAnsi="Verdana"/>
          <w:b/>
          <w:sz w:val="24"/>
          <w:szCs w:val="24"/>
        </w:rPr>
        <w:t>.</w:t>
      </w:r>
    </w:p>
    <w:p w:rsidR="003F7C00" w:rsidRDefault="003F7C00" w:rsidP="008747DC">
      <w:pPr>
        <w:spacing w:after="0" w:line="360" w:lineRule="auto"/>
        <w:jc w:val="center"/>
        <w:rPr>
          <w:rFonts w:ascii="Verdana" w:hAnsi="Verdana"/>
          <w:b/>
          <w:sz w:val="24"/>
          <w:szCs w:val="24"/>
        </w:rPr>
      </w:pPr>
      <w:r>
        <w:rPr>
          <w:rFonts w:ascii="Verdana" w:hAnsi="Verdana"/>
          <w:b/>
          <w:sz w:val="24"/>
          <w:szCs w:val="24"/>
        </w:rPr>
        <w:t>Gab</w:t>
      </w:r>
      <w:r w:rsidR="008747DC">
        <w:rPr>
          <w:rFonts w:ascii="Verdana" w:hAnsi="Verdana"/>
          <w:b/>
          <w:sz w:val="24"/>
          <w:szCs w:val="24"/>
        </w:rPr>
        <w:t>inete do Prefeito, pág</w:t>
      </w:r>
      <w:r w:rsidR="008D700A">
        <w:rPr>
          <w:rFonts w:ascii="Verdana" w:hAnsi="Verdana"/>
          <w:b/>
          <w:sz w:val="24"/>
          <w:szCs w:val="24"/>
        </w:rPr>
        <w:t xml:space="preserve">. </w:t>
      </w:r>
      <w:proofErr w:type="gramStart"/>
      <w:r w:rsidR="008D700A">
        <w:rPr>
          <w:rFonts w:ascii="Verdana" w:hAnsi="Verdana"/>
          <w:b/>
          <w:sz w:val="24"/>
          <w:szCs w:val="24"/>
        </w:rPr>
        <w:t>01</w:t>
      </w:r>
      <w:proofErr w:type="gramEnd"/>
      <w:r w:rsidR="008D700A">
        <w:rPr>
          <w:rFonts w:ascii="Verdana" w:hAnsi="Verdana"/>
          <w:b/>
          <w:sz w:val="24"/>
          <w:szCs w:val="24"/>
        </w:rPr>
        <w:t xml:space="preserve"> </w:t>
      </w:r>
    </w:p>
    <w:p w:rsidR="003F7C00" w:rsidRDefault="003F7C00" w:rsidP="003F7C00">
      <w:pPr>
        <w:spacing w:after="0" w:line="240" w:lineRule="auto"/>
        <w:jc w:val="both"/>
        <w:rPr>
          <w:rFonts w:ascii="Verdana" w:hAnsi="Verdana"/>
          <w:b/>
          <w:sz w:val="24"/>
          <w:szCs w:val="24"/>
        </w:rPr>
      </w:pPr>
    </w:p>
    <w:p w:rsidR="003F7C00" w:rsidRDefault="003F7C00" w:rsidP="003F7C00">
      <w:pPr>
        <w:spacing w:after="0" w:line="240" w:lineRule="auto"/>
        <w:jc w:val="both"/>
        <w:rPr>
          <w:rFonts w:ascii="Verdana" w:hAnsi="Verdana"/>
          <w:b/>
          <w:sz w:val="24"/>
          <w:szCs w:val="24"/>
        </w:rPr>
      </w:pPr>
      <w:r>
        <w:rPr>
          <w:rFonts w:ascii="Verdana" w:hAnsi="Verdana"/>
          <w:b/>
          <w:sz w:val="24"/>
          <w:szCs w:val="24"/>
        </w:rPr>
        <w:t>GABINETE DO PREFEITO</w:t>
      </w:r>
    </w:p>
    <w:p w:rsidR="003F7C00" w:rsidRPr="00004627" w:rsidRDefault="003F7C00" w:rsidP="003F7C00">
      <w:pPr>
        <w:spacing w:after="0" w:line="240" w:lineRule="auto"/>
        <w:jc w:val="both"/>
        <w:rPr>
          <w:rFonts w:ascii="Verdana" w:hAnsi="Verdana"/>
          <w:b/>
          <w:sz w:val="24"/>
          <w:szCs w:val="24"/>
        </w:rPr>
      </w:pPr>
      <w:r w:rsidRPr="00004627">
        <w:rPr>
          <w:rFonts w:ascii="Verdana" w:hAnsi="Verdana"/>
          <w:b/>
          <w:sz w:val="24"/>
          <w:szCs w:val="24"/>
        </w:rPr>
        <w:t>BRUNO COVAS</w:t>
      </w:r>
    </w:p>
    <w:p w:rsidR="003F7C00" w:rsidRDefault="003F7C00" w:rsidP="003F7C00">
      <w:pPr>
        <w:spacing w:after="0" w:line="240" w:lineRule="auto"/>
        <w:rPr>
          <w:rFonts w:ascii="Verdana" w:hAnsi="Verdana"/>
          <w:b/>
          <w:sz w:val="24"/>
          <w:szCs w:val="24"/>
        </w:rPr>
      </w:pPr>
    </w:p>
    <w:p w:rsidR="0041722D" w:rsidRDefault="0041722D" w:rsidP="003F7C00">
      <w:pPr>
        <w:spacing w:after="0" w:line="240" w:lineRule="auto"/>
        <w:rPr>
          <w:rFonts w:ascii="Verdana" w:hAnsi="Verdana"/>
          <w:b/>
          <w:sz w:val="24"/>
          <w:szCs w:val="24"/>
        </w:rPr>
      </w:pPr>
      <w:r w:rsidRPr="0041722D">
        <w:rPr>
          <w:rFonts w:ascii="Verdana" w:hAnsi="Verdana"/>
          <w:b/>
          <w:sz w:val="24"/>
          <w:szCs w:val="24"/>
        </w:rPr>
        <w:t>PORTARIAS</w:t>
      </w:r>
    </w:p>
    <w:p w:rsidR="0041722D" w:rsidRDefault="0041722D" w:rsidP="003F7C00">
      <w:pPr>
        <w:spacing w:after="0" w:line="240" w:lineRule="auto"/>
        <w:rPr>
          <w:rFonts w:ascii="Verdana" w:hAnsi="Verdana"/>
          <w:b/>
          <w:sz w:val="24"/>
          <w:szCs w:val="24"/>
        </w:rPr>
      </w:pPr>
    </w:p>
    <w:p w:rsidR="0041722D" w:rsidRPr="0041722D" w:rsidRDefault="0041722D" w:rsidP="0041722D">
      <w:pPr>
        <w:spacing w:after="0" w:line="240" w:lineRule="auto"/>
        <w:jc w:val="both"/>
        <w:rPr>
          <w:rFonts w:ascii="Verdana" w:hAnsi="Verdana"/>
          <w:b/>
        </w:rPr>
      </w:pPr>
      <w:r w:rsidRPr="0041722D">
        <w:rPr>
          <w:rFonts w:ascii="Verdana" w:hAnsi="Verdana"/>
          <w:b/>
        </w:rPr>
        <w:t xml:space="preserve">PORTARIA 401, DE </w:t>
      </w:r>
      <w:proofErr w:type="gramStart"/>
      <w:r w:rsidRPr="0041722D">
        <w:rPr>
          <w:rFonts w:ascii="Verdana" w:hAnsi="Verdana"/>
          <w:b/>
        </w:rPr>
        <w:t>4</w:t>
      </w:r>
      <w:proofErr w:type="gramEnd"/>
      <w:r w:rsidRPr="0041722D">
        <w:rPr>
          <w:rFonts w:ascii="Verdana" w:hAnsi="Verdana"/>
          <w:b/>
        </w:rPr>
        <w:t xml:space="preserve"> DE JUNHO DE 2018 </w:t>
      </w:r>
    </w:p>
    <w:p w:rsidR="0041722D" w:rsidRDefault="0041722D" w:rsidP="0041722D">
      <w:pPr>
        <w:spacing w:after="0" w:line="240" w:lineRule="auto"/>
        <w:jc w:val="both"/>
        <w:rPr>
          <w:rFonts w:ascii="Verdana" w:hAnsi="Verdana"/>
        </w:rPr>
      </w:pPr>
      <w:r w:rsidRPr="0041722D">
        <w:rPr>
          <w:rFonts w:ascii="Verdana" w:hAnsi="Verdana"/>
        </w:rPr>
        <w:t xml:space="preserve">ALTERA A COMPOSIÇÃO DO CONSELHO MUNICIPAL DE POLÍTICA URBANA </w:t>
      </w:r>
      <w:r>
        <w:rPr>
          <w:rFonts w:ascii="Verdana" w:hAnsi="Verdana"/>
        </w:rPr>
        <w:t>–</w:t>
      </w:r>
      <w:r w:rsidRPr="0041722D">
        <w:rPr>
          <w:rFonts w:ascii="Verdana" w:hAnsi="Verdana"/>
        </w:rPr>
        <w:t xml:space="preserve"> CMPU</w:t>
      </w:r>
    </w:p>
    <w:p w:rsidR="0041722D" w:rsidRDefault="0041722D" w:rsidP="0041722D">
      <w:pPr>
        <w:spacing w:after="0" w:line="240" w:lineRule="auto"/>
        <w:jc w:val="both"/>
        <w:rPr>
          <w:rFonts w:ascii="Verdana" w:hAnsi="Verdana"/>
        </w:rPr>
      </w:pPr>
      <w:r w:rsidRPr="0041722D">
        <w:rPr>
          <w:rFonts w:ascii="Verdana" w:hAnsi="Verdana"/>
        </w:rPr>
        <w:t>BRUNO COVAS, Prefeito do Município de São Paulo, usando das atribuições que lhe são conferidas por lei,</w:t>
      </w:r>
    </w:p>
    <w:p w:rsidR="0041722D" w:rsidRDefault="0041722D" w:rsidP="0041722D">
      <w:pPr>
        <w:spacing w:after="0" w:line="240" w:lineRule="auto"/>
        <w:jc w:val="both"/>
        <w:rPr>
          <w:rFonts w:ascii="Verdana" w:hAnsi="Verdana"/>
        </w:rPr>
      </w:pPr>
      <w:r w:rsidRPr="0041722D">
        <w:rPr>
          <w:rFonts w:ascii="Verdana" w:hAnsi="Verdana"/>
        </w:rPr>
        <w:t xml:space="preserve">RESOLVE: </w:t>
      </w:r>
    </w:p>
    <w:p w:rsidR="0041722D" w:rsidRPr="0041722D" w:rsidRDefault="0041722D" w:rsidP="0041722D">
      <w:pPr>
        <w:spacing w:after="0" w:line="240" w:lineRule="auto"/>
        <w:jc w:val="both"/>
        <w:rPr>
          <w:rFonts w:ascii="Verdana" w:hAnsi="Verdana"/>
        </w:rPr>
      </w:pPr>
    </w:p>
    <w:p w:rsidR="0041722D" w:rsidRDefault="0041722D" w:rsidP="0041722D">
      <w:pPr>
        <w:spacing w:after="0" w:line="240" w:lineRule="auto"/>
        <w:jc w:val="both"/>
        <w:rPr>
          <w:rFonts w:ascii="Verdana" w:hAnsi="Verdana"/>
        </w:rPr>
      </w:pPr>
      <w:r w:rsidRPr="0041722D">
        <w:rPr>
          <w:rFonts w:ascii="Verdana" w:hAnsi="Verdana"/>
        </w:rPr>
        <w:t>Art. 1º Designar o senhor GABRIEL ROSTEY GONÇALVES para, na qualidade de titular e como representante oriundo do Conselho Participativo Municipal – Macrorregião Centro, integrar o Conselho Municipal de Política Urbana - CMPU, de acordo com o § 1º do artigo 1º do Decreto 56.268, de 22 de julho de 2015.</w:t>
      </w:r>
    </w:p>
    <w:p w:rsidR="0041722D" w:rsidRDefault="0041722D" w:rsidP="0041722D">
      <w:pPr>
        <w:spacing w:after="0" w:line="240" w:lineRule="auto"/>
        <w:jc w:val="both"/>
        <w:rPr>
          <w:rFonts w:ascii="Verdana" w:hAnsi="Verdana"/>
        </w:rPr>
      </w:pPr>
    </w:p>
    <w:p w:rsidR="0041722D" w:rsidRDefault="0041722D" w:rsidP="0041722D">
      <w:pPr>
        <w:spacing w:after="0" w:line="240" w:lineRule="auto"/>
        <w:jc w:val="both"/>
        <w:rPr>
          <w:rFonts w:ascii="Verdana" w:hAnsi="Verdana"/>
        </w:rPr>
      </w:pPr>
      <w:r w:rsidRPr="0041722D">
        <w:rPr>
          <w:rFonts w:ascii="Verdana" w:hAnsi="Verdana"/>
        </w:rPr>
        <w:t xml:space="preserve">Art. 2º Cessar, em consequência, a designação do senhor ARTUR MONTEIRO ROÇADO (designado por meio da Portaria 169- PREF, de 27 de junho de 2017) para integrar o referido Conselho. </w:t>
      </w:r>
    </w:p>
    <w:p w:rsidR="0041722D" w:rsidRDefault="0041722D" w:rsidP="0041722D">
      <w:pPr>
        <w:spacing w:after="0" w:line="240" w:lineRule="auto"/>
        <w:jc w:val="both"/>
        <w:rPr>
          <w:rFonts w:ascii="Verdana" w:hAnsi="Verdana"/>
        </w:rPr>
      </w:pPr>
      <w:r w:rsidRPr="0041722D">
        <w:rPr>
          <w:rFonts w:ascii="Verdana" w:hAnsi="Verdana"/>
        </w:rPr>
        <w:t xml:space="preserve">PREFEITURA DO MUNICÍPIO DE SÃO PAULO, aos </w:t>
      </w:r>
      <w:proofErr w:type="gramStart"/>
      <w:r w:rsidRPr="0041722D">
        <w:rPr>
          <w:rFonts w:ascii="Verdana" w:hAnsi="Verdana"/>
        </w:rPr>
        <w:t>4</w:t>
      </w:r>
      <w:proofErr w:type="gramEnd"/>
      <w:r w:rsidRPr="0041722D">
        <w:rPr>
          <w:rFonts w:ascii="Verdana" w:hAnsi="Verdana"/>
        </w:rPr>
        <w:t xml:space="preserve"> de junho de 2018, 465º </w:t>
      </w:r>
      <w:proofErr w:type="gramStart"/>
      <w:r w:rsidRPr="0041722D">
        <w:rPr>
          <w:rFonts w:ascii="Verdana" w:hAnsi="Verdana"/>
        </w:rPr>
        <w:t>da</w:t>
      </w:r>
      <w:proofErr w:type="gramEnd"/>
      <w:r w:rsidRPr="0041722D">
        <w:rPr>
          <w:rFonts w:ascii="Verdana" w:hAnsi="Verdana"/>
        </w:rPr>
        <w:t xml:space="preserve"> fundação de São Paulo.</w:t>
      </w:r>
    </w:p>
    <w:p w:rsidR="0041722D" w:rsidRDefault="0041722D" w:rsidP="0041722D">
      <w:pPr>
        <w:spacing w:after="0" w:line="240" w:lineRule="auto"/>
        <w:jc w:val="both"/>
        <w:rPr>
          <w:rFonts w:ascii="Verdana" w:hAnsi="Verdana"/>
        </w:rPr>
      </w:pPr>
      <w:r w:rsidRPr="0041722D">
        <w:rPr>
          <w:rFonts w:ascii="Verdana" w:hAnsi="Verdana"/>
        </w:rPr>
        <w:t>BRUNO COVAS, Prefeito</w:t>
      </w:r>
      <w:r w:rsidR="000D0DE3">
        <w:rPr>
          <w:rFonts w:ascii="Verdana" w:hAnsi="Verdana"/>
        </w:rPr>
        <w:t>.</w:t>
      </w:r>
    </w:p>
    <w:p w:rsidR="000D0DE3" w:rsidRDefault="000D0DE3" w:rsidP="0041722D">
      <w:pPr>
        <w:spacing w:after="0" w:line="240" w:lineRule="auto"/>
        <w:jc w:val="both"/>
        <w:rPr>
          <w:rFonts w:ascii="Verdana" w:hAnsi="Verdana"/>
        </w:rPr>
      </w:pPr>
    </w:p>
    <w:p w:rsidR="000D0DE3" w:rsidRDefault="000D0DE3" w:rsidP="0041722D">
      <w:pPr>
        <w:spacing w:after="0" w:line="240" w:lineRule="auto"/>
        <w:jc w:val="both"/>
        <w:rPr>
          <w:rFonts w:ascii="Verdana" w:hAnsi="Verdana"/>
        </w:rPr>
      </w:pPr>
    </w:p>
    <w:p w:rsidR="007F4DEB" w:rsidRDefault="007F4DEB" w:rsidP="000D0DE3">
      <w:pPr>
        <w:spacing w:after="0" w:line="240" w:lineRule="auto"/>
        <w:jc w:val="center"/>
        <w:rPr>
          <w:rFonts w:ascii="Verdana" w:hAnsi="Verdana"/>
          <w:b/>
          <w:sz w:val="24"/>
          <w:szCs w:val="24"/>
        </w:rPr>
      </w:pPr>
    </w:p>
    <w:p w:rsidR="007F4DEB" w:rsidRDefault="007F4DEB" w:rsidP="000D0DE3">
      <w:pPr>
        <w:spacing w:after="0" w:line="240" w:lineRule="auto"/>
        <w:jc w:val="center"/>
        <w:rPr>
          <w:rFonts w:ascii="Verdana" w:hAnsi="Verdana"/>
          <w:b/>
          <w:sz w:val="24"/>
          <w:szCs w:val="24"/>
        </w:rPr>
      </w:pPr>
    </w:p>
    <w:p w:rsidR="007F4DEB" w:rsidRDefault="007F4DEB" w:rsidP="000D0DE3">
      <w:pPr>
        <w:spacing w:after="0" w:line="240" w:lineRule="auto"/>
        <w:jc w:val="center"/>
        <w:rPr>
          <w:rFonts w:ascii="Verdana" w:hAnsi="Verdana"/>
          <w:b/>
          <w:sz w:val="24"/>
          <w:szCs w:val="24"/>
        </w:rPr>
      </w:pPr>
    </w:p>
    <w:p w:rsidR="007F4DEB" w:rsidRDefault="007F4DEB" w:rsidP="000D0DE3">
      <w:pPr>
        <w:spacing w:after="0" w:line="240" w:lineRule="auto"/>
        <w:jc w:val="center"/>
        <w:rPr>
          <w:rFonts w:ascii="Verdana" w:hAnsi="Verdana"/>
          <w:b/>
          <w:sz w:val="24"/>
          <w:szCs w:val="24"/>
        </w:rPr>
      </w:pPr>
    </w:p>
    <w:p w:rsidR="007F4DEB" w:rsidRDefault="007F4DEB" w:rsidP="000D0DE3">
      <w:pPr>
        <w:spacing w:after="0" w:line="240" w:lineRule="auto"/>
        <w:jc w:val="center"/>
        <w:rPr>
          <w:rFonts w:ascii="Verdana" w:hAnsi="Verdana"/>
          <w:b/>
          <w:sz w:val="24"/>
          <w:szCs w:val="24"/>
        </w:rPr>
      </w:pPr>
    </w:p>
    <w:p w:rsidR="007F4DEB" w:rsidRDefault="007F4DEB" w:rsidP="000D0DE3">
      <w:pPr>
        <w:spacing w:after="0" w:line="240" w:lineRule="auto"/>
        <w:jc w:val="center"/>
        <w:rPr>
          <w:rFonts w:ascii="Verdana" w:hAnsi="Verdana"/>
          <w:b/>
          <w:sz w:val="24"/>
          <w:szCs w:val="24"/>
        </w:rPr>
      </w:pPr>
    </w:p>
    <w:p w:rsidR="000D0DE3" w:rsidRDefault="000D0DE3" w:rsidP="000D0DE3">
      <w:pPr>
        <w:spacing w:after="0" w:line="240" w:lineRule="auto"/>
        <w:jc w:val="center"/>
        <w:rPr>
          <w:rFonts w:ascii="Verdana" w:hAnsi="Verdana"/>
          <w:b/>
          <w:sz w:val="24"/>
          <w:szCs w:val="24"/>
        </w:rPr>
      </w:pPr>
      <w:r w:rsidRPr="000D0DE3">
        <w:rPr>
          <w:rFonts w:ascii="Verdana" w:hAnsi="Verdana"/>
          <w:b/>
          <w:sz w:val="24"/>
          <w:szCs w:val="24"/>
        </w:rPr>
        <w:lastRenderedPageBreak/>
        <w:t>SECRETARIAS</w:t>
      </w:r>
      <w:r>
        <w:rPr>
          <w:rFonts w:ascii="Verdana" w:hAnsi="Verdana"/>
          <w:b/>
          <w:sz w:val="24"/>
          <w:szCs w:val="24"/>
        </w:rPr>
        <w:t>, Pág.04</w:t>
      </w:r>
    </w:p>
    <w:p w:rsidR="000D0DE3" w:rsidRPr="000D0DE3" w:rsidRDefault="000D0DE3" w:rsidP="000D0DE3">
      <w:pPr>
        <w:spacing w:after="0" w:line="240" w:lineRule="auto"/>
        <w:rPr>
          <w:b/>
        </w:rPr>
      </w:pPr>
    </w:p>
    <w:p w:rsidR="000D0DE3" w:rsidRPr="000D0DE3" w:rsidRDefault="000D0DE3" w:rsidP="000D0DE3">
      <w:pPr>
        <w:spacing w:after="0" w:line="240" w:lineRule="auto"/>
        <w:jc w:val="both"/>
        <w:rPr>
          <w:rFonts w:ascii="Verdana" w:hAnsi="Verdana"/>
          <w:b/>
        </w:rPr>
      </w:pPr>
      <w:r w:rsidRPr="000D0DE3">
        <w:rPr>
          <w:rFonts w:ascii="Verdana" w:hAnsi="Verdana"/>
          <w:b/>
        </w:rPr>
        <w:t xml:space="preserve">TRABALHO E EMPREENDEDORISMO </w:t>
      </w:r>
    </w:p>
    <w:p w:rsidR="000D0DE3" w:rsidRDefault="000D0DE3" w:rsidP="000D0DE3">
      <w:pPr>
        <w:spacing w:after="0" w:line="240" w:lineRule="auto"/>
        <w:jc w:val="both"/>
        <w:rPr>
          <w:rFonts w:ascii="Verdana" w:hAnsi="Verdana"/>
          <w:b/>
        </w:rPr>
      </w:pPr>
      <w:r w:rsidRPr="000D0DE3">
        <w:rPr>
          <w:rFonts w:ascii="Verdana" w:hAnsi="Verdana"/>
          <w:b/>
        </w:rPr>
        <w:t>GABINETE DA SECRETÁRIA</w:t>
      </w:r>
    </w:p>
    <w:p w:rsidR="000D0DE3" w:rsidRDefault="000D0DE3" w:rsidP="000D0DE3">
      <w:pPr>
        <w:spacing w:after="0" w:line="240" w:lineRule="auto"/>
        <w:jc w:val="both"/>
        <w:rPr>
          <w:rFonts w:ascii="Verdana" w:hAnsi="Verdana"/>
          <w:b/>
        </w:rPr>
      </w:pPr>
    </w:p>
    <w:p w:rsidR="000D0DE3" w:rsidRDefault="000D0DE3" w:rsidP="000D0DE3">
      <w:pPr>
        <w:spacing w:after="0" w:line="240" w:lineRule="auto"/>
        <w:jc w:val="both"/>
        <w:rPr>
          <w:rFonts w:ascii="Verdana" w:hAnsi="Verdana"/>
          <w:b/>
        </w:rPr>
      </w:pPr>
    </w:p>
    <w:p w:rsidR="000D0DE3" w:rsidRDefault="000D0DE3" w:rsidP="000D0DE3">
      <w:pPr>
        <w:tabs>
          <w:tab w:val="right" w:pos="8504"/>
        </w:tabs>
        <w:spacing w:after="0" w:line="240" w:lineRule="auto"/>
        <w:jc w:val="both"/>
        <w:rPr>
          <w:rFonts w:ascii="Verdana" w:hAnsi="Verdana"/>
          <w:b/>
        </w:rPr>
      </w:pPr>
      <w:r w:rsidRPr="000D0DE3">
        <w:rPr>
          <w:rFonts w:ascii="Verdana" w:hAnsi="Verdana"/>
          <w:b/>
        </w:rPr>
        <w:t>COORDENADORIA DE SEGURANÇA ALIMENTAR E NUTRICIONAL</w:t>
      </w:r>
      <w:r>
        <w:rPr>
          <w:rFonts w:ascii="Verdana" w:hAnsi="Verdana"/>
          <w:b/>
        </w:rPr>
        <w:tab/>
      </w:r>
    </w:p>
    <w:p w:rsidR="000D0DE3" w:rsidRPr="000D0DE3" w:rsidRDefault="000D0DE3" w:rsidP="000D0DE3">
      <w:pPr>
        <w:tabs>
          <w:tab w:val="right" w:pos="8504"/>
        </w:tabs>
        <w:spacing w:after="0" w:line="240" w:lineRule="auto"/>
        <w:jc w:val="both"/>
        <w:rPr>
          <w:rFonts w:ascii="Verdana" w:hAnsi="Verdana"/>
        </w:rPr>
      </w:pPr>
      <w:r w:rsidRPr="000D0DE3">
        <w:rPr>
          <w:rFonts w:ascii="Verdana" w:hAnsi="Verdana"/>
        </w:rPr>
        <w:t xml:space="preserve">DESPACHO DO COORDENADOR </w:t>
      </w:r>
    </w:p>
    <w:p w:rsidR="000D0DE3" w:rsidRDefault="000D0DE3" w:rsidP="000D0DE3">
      <w:pPr>
        <w:tabs>
          <w:tab w:val="right" w:pos="8504"/>
        </w:tabs>
        <w:spacing w:after="0" w:line="240" w:lineRule="auto"/>
        <w:jc w:val="both"/>
        <w:rPr>
          <w:rFonts w:ascii="Verdana" w:hAnsi="Verdana"/>
          <w:b/>
        </w:rPr>
      </w:pPr>
    </w:p>
    <w:p w:rsidR="000D0DE3" w:rsidRDefault="000D0DE3" w:rsidP="000D0DE3">
      <w:pPr>
        <w:tabs>
          <w:tab w:val="right" w:pos="8504"/>
        </w:tabs>
        <w:spacing w:after="0" w:line="240" w:lineRule="auto"/>
        <w:jc w:val="both"/>
        <w:rPr>
          <w:rFonts w:ascii="Verdana" w:hAnsi="Verdana"/>
          <w:b/>
        </w:rPr>
      </w:pPr>
      <w:r w:rsidRPr="000D0DE3">
        <w:rPr>
          <w:rFonts w:ascii="Verdana" w:hAnsi="Verdana"/>
          <w:b/>
        </w:rPr>
        <w:t>6064.2018/0000070-2</w:t>
      </w:r>
    </w:p>
    <w:p w:rsidR="000D0DE3" w:rsidRDefault="000D0DE3" w:rsidP="000D0DE3">
      <w:pPr>
        <w:tabs>
          <w:tab w:val="right" w:pos="8504"/>
        </w:tabs>
        <w:spacing w:after="0" w:line="240" w:lineRule="auto"/>
        <w:jc w:val="both"/>
        <w:rPr>
          <w:rFonts w:ascii="Verdana" w:hAnsi="Verdana"/>
        </w:rPr>
      </w:pPr>
      <w:r w:rsidRPr="000D0DE3">
        <w:rPr>
          <w:rFonts w:ascii="Verdana" w:hAnsi="Verdana"/>
        </w:rPr>
        <w:t>1. À vista dos elementos que instruem o presente processo administrativo, notadamente da manifestação do Chefe da Assessoria Técnica (</w:t>
      </w:r>
      <w:proofErr w:type="gramStart"/>
      <w:r w:rsidRPr="000D0DE3">
        <w:rPr>
          <w:rFonts w:ascii="Verdana" w:hAnsi="Verdana"/>
        </w:rPr>
        <w:t>doc.</w:t>
      </w:r>
      <w:proofErr w:type="gramEnd"/>
      <w:r w:rsidRPr="000D0DE3">
        <w:rPr>
          <w:rFonts w:ascii="Verdana" w:hAnsi="Verdana"/>
        </w:rPr>
        <w:t xml:space="preserve">8711721), que acolho e adoto como razões de decidir, pela competência conferida pelos Decretos nº. 46.398/05 e nº 56.399/ 15, em razão da violação ao disposto no artigo 25, inciso II, do Decreto nº 41.425/01, Suspendo pelo prazo de 07 (sete) Dias, com fundamento no inciso II, parágrafo único </w:t>
      </w:r>
      <w:proofErr w:type="gramStart"/>
      <w:r w:rsidRPr="000D0DE3">
        <w:rPr>
          <w:rFonts w:ascii="Verdana" w:hAnsi="Verdana"/>
        </w:rPr>
        <w:t>do,</w:t>
      </w:r>
      <w:proofErr w:type="gramEnd"/>
      <w:r w:rsidRPr="000D0DE3">
        <w:rPr>
          <w:rFonts w:ascii="Verdana" w:hAnsi="Verdana"/>
        </w:rPr>
        <w:t xml:space="preserve"> artigo 25, do Decreto nº 41.425/01, as atividades da empresa permissionária Maria </w:t>
      </w:r>
      <w:proofErr w:type="spellStart"/>
      <w:r w:rsidRPr="000D0DE3">
        <w:rPr>
          <w:rFonts w:ascii="Verdana" w:hAnsi="Verdana"/>
        </w:rPr>
        <w:t>Tisako</w:t>
      </w:r>
      <w:proofErr w:type="spellEnd"/>
      <w:r w:rsidRPr="000D0DE3">
        <w:rPr>
          <w:rFonts w:ascii="Verdana" w:hAnsi="Verdana"/>
        </w:rPr>
        <w:t xml:space="preserve"> </w:t>
      </w:r>
      <w:proofErr w:type="spellStart"/>
      <w:r w:rsidRPr="000D0DE3">
        <w:rPr>
          <w:rFonts w:ascii="Verdana" w:hAnsi="Verdana"/>
        </w:rPr>
        <w:t>Oriute</w:t>
      </w:r>
      <w:proofErr w:type="spellEnd"/>
      <w:r w:rsidRPr="000D0DE3">
        <w:rPr>
          <w:rFonts w:ascii="Verdana" w:hAnsi="Verdana"/>
        </w:rPr>
        <w:t xml:space="preserve"> Embalagens - ME, devidamente inscrita no CNPJ/MF sob o nº 16.482.725/0001-01, permissionária do box 14/15/16 da Central de Abastecimento Pátio do Pari, localizada no Largo do Pari, s/n, São Paulo/SP. 2. </w:t>
      </w:r>
      <w:proofErr w:type="gramStart"/>
      <w:r w:rsidRPr="000D0DE3">
        <w:rPr>
          <w:rFonts w:ascii="Verdana" w:hAnsi="Verdana"/>
        </w:rPr>
        <w:t>Outrossim</w:t>
      </w:r>
      <w:proofErr w:type="gramEnd"/>
      <w:r w:rsidRPr="000D0DE3">
        <w:rPr>
          <w:rFonts w:ascii="Verdana" w:hAnsi="Verdana"/>
        </w:rPr>
        <w:t>, certifico a abertura do prazo de 15 (quinze) dias, para interposição de eventuais recursos, a teor do que prevê o art. 36 da Lei nº 14.141/2006.</w:t>
      </w:r>
    </w:p>
    <w:p w:rsidR="000D0DE3" w:rsidRDefault="000D0DE3" w:rsidP="000D0DE3">
      <w:pPr>
        <w:tabs>
          <w:tab w:val="right" w:pos="8504"/>
        </w:tabs>
        <w:spacing w:after="0" w:line="240" w:lineRule="auto"/>
        <w:jc w:val="both"/>
        <w:rPr>
          <w:rFonts w:ascii="Verdana" w:hAnsi="Verdana"/>
        </w:rPr>
      </w:pPr>
    </w:p>
    <w:p w:rsidR="000D0DE3" w:rsidRPr="000D0DE3" w:rsidRDefault="000D0DE3" w:rsidP="000D0DE3">
      <w:pPr>
        <w:tabs>
          <w:tab w:val="right" w:pos="8504"/>
        </w:tabs>
        <w:spacing w:after="0" w:line="240" w:lineRule="auto"/>
        <w:jc w:val="both"/>
        <w:rPr>
          <w:rFonts w:ascii="Verdana" w:hAnsi="Verdana"/>
          <w:b/>
        </w:rPr>
      </w:pPr>
    </w:p>
    <w:p w:rsidR="000D0DE3" w:rsidRDefault="000D0DE3" w:rsidP="000D0DE3">
      <w:pPr>
        <w:spacing w:after="0" w:line="240" w:lineRule="auto"/>
        <w:jc w:val="center"/>
        <w:rPr>
          <w:rFonts w:ascii="Verdana" w:hAnsi="Verdana"/>
          <w:b/>
          <w:sz w:val="24"/>
          <w:szCs w:val="24"/>
        </w:rPr>
      </w:pPr>
      <w:r w:rsidRPr="000D0DE3">
        <w:rPr>
          <w:rFonts w:ascii="Verdana" w:hAnsi="Verdana"/>
          <w:b/>
          <w:sz w:val="24"/>
          <w:szCs w:val="24"/>
        </w:rPr>
        <w:t>SE</w:t>
      </w:r>
      <w:r>
        <w:rPr>
          <w:rFonts w:ascii="Verdana" w:hAnsi="Verdana"/>
          <w:b/>
          <w:sz w:val="24"/>
          <w:szCs w:val="24"/>
        </w:rPr>
        <w:t>RVIDORES, Pág.29</w:t>
      </w:r>
    </w:p>
    <w:p w:rsidR="000D0DE3" w:rsidRDefault="000D0DE3" w:rsidP="000D0DE3">
      <w:pPr>
        <w:spacing w:after="0" w:line="240" w:lineRule="auto"/>
      </w:pPr>
    </w:p>
    <w:p w:rsidR="000D0DE3" w:rsidRPr="000D0DE3" w:rsidRDefault="000D0DE3" w:rsidP="000D0DE3">
      <w:pPr>
        <w:spacing w:after="0" w:line="240" w:lineRule="auto"/>
        <w:rPr>
          <w:rFonts w:ascii="Verdana" w:hAnsi="Verdana"/>
          <w:b/>
        </w:rPr>
      </w:pPr>
      <w:r w:rsidRPr="000D0DE3">
        <w:rPr>
          <w:rFonts w:ascii="Verdana" w:hAnsi="Verdana"/>
          <w:b/>
        </w:rPr>
        <w:t xml:space="preserve">TRABALHO E EMPREENDEDORISMO </w:t>
      </w:r>
    </w:p>
    <w:p w:rsidR="000D0DE3" w:rsidRPr="000D0DE3" w:rsidRDefault="000D0DE3" w:rsidP="000D0DE3">
      <w:pPr>
        <w:spacing w:after="0" w:line="240" w:lineRule="auto"/>
        <w:rPr>
          <w:rFonts w:ascii="Verdana" w:hAnsi="Verdana"/>
          <w:b/>
          <w:sz w:val="24"/>
          <w:szCs w:val="24"/>
        </w:rPr>
      </w:pPr>
      <w:r w:rsidRPr="000D0DE3">
        <w:rPr>
          <w:rFonts w:ascii="Verdana" w:hAnsi="Verdana"/>
          <w:b/>
        </w:rPr>
        <w:t>GABINETE DA SECRETÁRIA</w:t>
      </w:r>
    </w:p>
    <w:p w:rsidR="000D0DE3" w:rsidRDefault="000D0DE3" w:rsidP="000D0DE3">
      <w:pPr>
        <w:spacing w:after="0" w:line="240" w:lineRule="auto"/>
        <w:jc w:val="both"/>
        <w:rPr>
          <w:rFonts w:ascii="Verdana" w:hAnsi="Verdana"/>
          <w:b/>
          <w:sz w:val="24"/>
          <w:szCs w:val="24"/>
        </w:rPr>
      </w:pPr>
    </w:p>
    <w:p w:rsidR="000D0DE3" w:rsidRDefault="000D0DE3" w:rsidP="000D0DE3">
      <w:pPr>
        <w:spacing w:after="0" w:line="240" w:lineRule="auto"/>
        <w:jc w:val="both"/>
        <w:rPr>
          <w:rFonts w:ascii="Verdana" w:hAnsi="Verdana"/>
        </w:rPr>
      </w:pPr>
      <w:r w:rsidRPr="000D0DE3">
        <w:rPr>
          <w:rFonts w:ascii="Verdana" w:hAnsi="Verdana"/>
        </w:rPr>
        <w:t xml:space="preserve">A SECRETARIA MUNICIPAL DE TRABALHO E EMPREENDEDORISMO POR MEIO DA SUPERVISÃO DE GESTÃO DE PESSOAS/ ESTÁGIO DIVULGA OS ESTAGIÁRIOS CONTRATADOS E DESLIGADOS NO PERÍODO DE 01/05 A 31/05/2018, ATENDENDO AO ITEM </w:t>
      </w:r>
      <w:proofErr w:type="gramStart"/>
      <w:r w:rsidRPr="000D0DE3">
        <w:rPr>
          <w:rFonts w:ascii="Verdana" w:hAnsi="Verdana"/>
        </w:rPr>
        <w:t>4</w:t>
      </w:r>
      <w:proofErr w:type="gramEnd"/>
      <w:r w:rsidRPr="000D0DE3">
        <w:rPr>
          <w:rFonts w:ascii="Verdana" w:hAnsi="Verdana"/>
        </w:rPr>
        <w:t xml:space="preserve"> DA PORTARIA 210/02/SGP:</w:t>
      </w:r>
    </w:p>
    <w:p w:rsidR="000D0DE3" w:rsidRDefault="000D0DE3" w:rsidP="000D0DE3">
      <w:pPr>
        <w:spacing w:after="0" w:line="240" w:lineRule="auto"/>
        <w:jc w:val="both"/>
        <w:rPr>
          <w:rFonts w:ascii="Verdana" w:hAnsi="Verdana"/>
        </w:rPr>
      </w:pPr>
    </w:p>
    <w:p w:rsidR="007F4DEB" w:rsidRDefault="000D0DE3" w:rsidP="000D0DE3">
      <w:pPr>
        <w:spacing w:after="0" w:line="240" w:lineRule="auto"/>
        <w:jc w:val="both"/>
        <w:rPr>
          <w:rFonts w:ascii="Verdana" w:hAnsi="Verdana"/>
          <w:b/>
          <w:sz w:val="24"/>
          <w:szCs w:val="24"/>
        </w:rPr>
      </w:pPr>
      <w:r>
        <w:rPr>
          <w:rFonts w:ascii="Verdana" w:hAnsi="Verdana"/>
          <w:b/>
          <w:noProof/>
          <w:sz w:val="24"/>
          <w:szCs w:val="24"/>
          <w:lang w:eastAsia="pt-BR"/>
        </w:rPr>
        <w:drawing>
          <wp:inline distT="0" distB="0" distL="0" distR="0">
            <wp:extent cx="6358269" cy="1029468"/>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578" cy="1037937"/>
                    </a:xfrm>
                    <a:prstGeom prst="rect">
                      <a:avLst/>
                    </a:prstGeom>
                    <a:noFill/>
                    <a:ln>
                      <a:noFill/>
                    </a:ln>
                  </pic:spPr>
                </pic:pic>
              </a:graphicData>
            </a:graphic>
          </wp:inline>
        </w:drawing>
      </w:r>
    </w:p>
    <w:p w:rsidR="000D0DE3" w:rsidRPr="007F4DEB" w:rsidRDefault="007F4DEB" w:rsidP="007F4DEB">
      <w:pPr>
        <w:tabs>
          <w:tab w:val="left" w:pos="7501"/>
        </w:tabs>
        <w:spacing w:after="0" w:line="240" w:lineRule="auto"/>
        <w:jc w:val="both"/>
        <w:rPr>
          <w:rFonts w:ascii="Verdana" w:hAnsi="Verdana"/>
          <w:sz w:val="24"/>
          <w:szCs w:val="24"/>
        </w:rPr>
      </w:pPr>
      <w:r w:rsidRPr="007F4DEB">
        <w:rPr>
          <w:rFonts w:ascii="Verdana" w:hAnsi="Verdana"/>
          <w:sz w:val="24"/>
          <w:szCs w:val="24"/>
        </w:rPr>
        <w:tab/>
      </w:r>
    </w:p>
    <w:p w:rsidR="00895C35" w:rsidRDefault="00895C35" w:rsidP="007F4DEB">
      <w:pPr>
        <w:tabs>
          <w:tab w:val="left" w:pos="7501"/>
        </w:tabs>
        <w:spacing w:after="0" w:line="240" w:lineRule="auto"/>
        <w:jc w:val="both"/>
        <w:rPr>
          <w:rFonts w:ascii="Verdana" w:hAnsi="Verdana"/>
          <w:b/>
        </w:rPr>
      </w:pPr>
    </w:p>
    <w:p w:rsidR="00895C35" w:rsidRDefault="00895C35" w:rsidP="007F4DEB">
      <w:pPr>
        <w:tabs>
          <w:tab w:val="left" w:pos="7501"/>
        </w:tabs>
        <w:spacing w:after="0" w:line="240" w:lineRule="auto"/>
        <w:jc w:val="both"/>
        <w:rPr>
          <w:rFonts w:ascii="Verdana" w:hAnsi="Verdana"/>
          <w:b/>
        </w:rPr>
      </w:pPr>
    </w:p>
    <w:p w:rsidR="00895C35" w:rsidRDefault="00895C35" w:rsidP="007F4DEB">
      <w:pPr>
        <w:tabs>
          <w:tab w:val="left" w:pos="7501"/>
        </w:tabs>
        <w:spacing w:after="0" w:line="240" w:lineRule="auto"/>
        <w:jc w:val="both"/>
        <w:rPr>
          <w:rFonts w:ascii="Verdana" w:hAnsi="Verdana"/>
          <w:b/>
        </w:rPr>
      </w:pPr>
    </w:p>
    <w:p w:rsidR="00895C35" w:rsidRDefault="00895C35" w:rsidP="007F4DEB">
      <w:pPr>
        <w:tabs>
          <w:tab w:val="left" w:pos="7501"/>
        </w:tabs>
        <w:spacing w:after="0" w:line="240" w:lineRule="auto"/>
        <w:jc w:val="both"/>
        <w:rPr>
          <w:rFonts w:ascii="Verdana" w:hAnsi="Verdana"/>
          <w:b/>
        </w:rPr>
      </w:pPr>
    </w:p>
    <w:p w:rsidR="007F4DEB" w:rsidRPr="007F4DEB" w:rsidRDefault="007F4DEB" w:rsidP="007F4DEB">
      <w:pPr>
        <w:tabs>
          <w:tab w:val="left" w:pos="7501"/>
        </w:tabs>
        <w:spacing w:after="0" w:line="240" w:lineRule="auto"/>
        <w:jc w:val="both"/>
        <w:rPr>
          <w:rFonts w:ascii="Verdana" w:hAnsi="Verdana"/>
          <w:b/>
        </w:rPr>
      </w:pPr>
      <w:r w:rsidRPr="007F4DEB">
        <w:rPr>
          <w:rFonts w:ascii="Verdana" w:hAnsi="Verdana"/>
          <w:b/>
        </w:rPr>
        <w:lastRenderedPageBreak/>
        <w:t>LICENÇA MÉDICA DE CURTA DURAÇÃO - COMISSIONADO/CONTRATADO</w:t>
      </w:r>
    </w:p>
    <w:p w:rsidR="007F4DEB" w:rsidRDefault="007F4DEB" w:rsidP="007F4DEB">
      <w:pPr>
        <w:tabs>
          <w:tab w:val="left" w:pos="7501"/>
        </w:tabs>
        <w:spacing w:after="0" w:line="240" w:lineRule="auto"/>
        <w:jc w:val="both"/>
        <w:rPr>
          <w:rFonts w:ascii="Verdana" w:hAnsi="Verdana"/>
        </w:rPr>
      </w:pPr>
      <w:r w:rsidRPr="007F4DEB">
        <w:rPr>
          <w:rFonts w:ascii="Verdana" w:hAnsi="Verdana"/>
        </w:rPr>
        <w:t>Nos termos Portaria 507/SGP-2004, de 29/12/04, aos servidores filiados ao RGPS.</w:t>
      </w:r>
    </w:p>
    <w:p w:rsidR="007F4DEB" w:rsidRDefault="007F4DEB" w:rsidP="007F4DEB">
      <w:pPr>
        <w:tabs>
          <w:tab w:val="left" w:pos="7501"/>
        </w:tabs>
        <w:spacing w:after="0" w:line="240" w:lineRule="auto"/>
        <w:jc w:val="both"/>
        <w:rPr>
          <w:rFonts w:ascii="Verdana" w:hAnsi="Verdana"/>
        </w:rPr>
      </w:pPr>
    </w:p>
    <w:p w:rsidR="007F4DEB" w:rsidRDefault="007F4DEB" w:rsidP="007F4DEB">
      <w:pPr>
        <w:tabs>
          <w:tab w:val="left" w:pos="7501"/>
        </w:tabs>
        <w:spacing w:after="0" w:line="240" w:lineRule="auto"/>
        <w:jc w:val="both"/>
        <w:rPr>
          <w:rFonts w:ascii="Verdana" w:hAnsi="Verdana"/>
          <w:sz w:val="24"/>
          <w:szCs w:val="24"/>
        </w:rPr>
      </w:pPr>
      <w:r>
        <w:rPr>
          <w:rFonts w:ascii="Verdana" w:hAnsi="Verdana"/>
          <w:noProof/>
          <w:sz w:val="24"/>
          <w:szCs w:val="24"/>
          <w:lang w:eastAsia="pt-BR"/>
        </w:rPr>
        <w:drawing>
          <wp:inline distT="0" distB="0" distL="0" distR="0">
            <wp:extent cx="4986670" cy="936144"/>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7045" cy="936214"/>
                    </a:xfrm>
                    <a:prstGeom prst="rect">
                      <a:avLst/>
                    </a:prstGeom>
                    <a:noFill/>
                    <a:ln>
                      <a:noFill/>
                    </a:ln>
                  </pic:spPr>
                </pic:pic>
              </a:graphicData>
            </a:graphic>
          </wp:inline>
        </w:drawing>
      </w:r>
    </w:p>
    <w:p w:rsidR="007F4DEB" w:rsidRDefault="007F4DEB" w:rsidP="007F4DEB">
      <w:pPr>
        <w:tabs>
          <w:tab w:val="left" w:pos="7501"/>
        </w:tabs>
        <w:spacing w:after="0" w:line="240" w:lineRule="auto"/>
        <w:jc w:val="both"/>
        <w:rPr>
          <w:rFonts w:ascii="Verdana" w:hAnsi="Verdana"/>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895C35" w:rsidRDefault="00895C35" w:rsidP="007F4DEB">
      <w:pPr>
        <w:spacing w:after="0" w:line="240" w:lineRule="auto"/>
        <w:jc w:val="center"/>
        <w:rPr>
          <w:rFonts w:ascii="Verdana" w:hAnsi="Verdana"/>
          <w:b/>
          <w:sz w:val="24"/>
          <w:szCs w:val="24"/>
        </w:rPr>
      </w:pPr>
    </w:p>
    <w:p w:rsidR="007F4DEB" w:rsidRDefault="007F4DEB" w:rsidP="007F4DEB">
      <w:pPr>
        <w:spacing w:after="0" w:line="240" w:lineRule="auto"/>
        <w:jc w:val="center"/>
        <w:rPr>
          <w:rFonts w:ascii="Verdana" w:hAnsi="Verdana"/>
          <w:b/>
          <w:sz w:val="24"/>
          <w:szCs w:val="24"/>
        </w:rPr>
      </w:pPr>
      <w:r>
        <w:rPr>
          <w:rFonts w:ascii="Verdana" w:hAnsi="Verdana"/>
          <w:b/>
          <w:sz w:val="24"/>
          <w:szCs w:val="24"/>
        </w:rPr>
        <w:lastRenderedPageBreak/>
        <w:t>EDITAIS, Pág.51</w:t>
      </w:r>
      <w:r w:rsidR="004527E9">
        <w:rPr>
          <w:rFonts w:ascii="Verdana" w:hAnsi="Verdana"/>
          <w:b/>
          <w:sz w:val="24"/>
          <w:szCs w:val="24"/>
        </w:rPr>
        <w:t xml:space="preserve"> e 52.</w:t>
      </w:r>
    </w:p>
    <w:p w:rsidR="007F4DEB" w:rsidRDefault="007F4DEB" w:rsidP="007F4DEB">
      <w:pPr>
        <w:spacing w:after="0" w:line="240" w:lineRule="auto"/>
        <w:jc w:val="center"/>
        <w:rPr>
          <w:rFonts w:ascii="Verdana" w:hAnsi="Verdana"/>
          <w:b/>
          <w:sz w:val="24"/>
          <w:szCs w:val="24"/>
        </w:rPr>
      </w:pPr>
    </w:p>
    <w:p w:rsidR="007F4DEB" w:rsidRPr="007F4DEB" w:rsidRDefault="007F4DEB" w:rsidP="007F4DEB">
      <w:pPr>
        <w:spacing w:after="0" w:line="240" w:lineRule="auto"/>
        <w:jc w:val="both"/>
        <w:rPr>
          <w:rFonts w:ascii="Verdana" w:hAnsi="Verdana"/>
          <w:b/>
        </w:rPr>
      </w:pPr>
      <w:r w:rsidRPr="007F4DEB">
        <w:rPr>
          <w:rFonts w:ascii="Verdana" w:hAnsi="Verdana"/>
          <w:b/>
        </w:rPr>
        <w:t xml:space="preserve">TRABALHO E EMPREENDEDORISMO </w:t>
      </w:r>
    </w:p>
    <w:p w:rsidR="007F4DEB" w:rsidRPr="007F4DEB" w:rsidRDefault="007F4DEB" w:rsidP="007F4DEB">
      <w:pPr>
        <w:spacing w:after="0" w:line="240" w:lineRule="auto"/>
        <w:jc w:val="both"/>
        <w:rPr>
          <w:rFonts w:ascii="Verdana" w:hAnsi="Verdana"/>
          <w:b/>
        </w:rPr>
      </w:pPr>
      <w:r w:rsidRPr="007F4DEB">
        <w:rPr>
          <w:rFonts w:ascii="Verdana" w:hAnsi="Verdana"/>
          <w:b/>
        </w:rPr>
        <w:t xml:space="preserve">GABINETE DA SECRETÁRIA </w:t>
      </w:r>
    </w:p>
    <w:p w:rsidR="007F4DEB" w:rsidRDefault="007F4DEB" w:rsidP="007F4DEB">
      <w:pPr>
        <w:spacing w:after="0" w:line="240" w:lineRule="auto"/>
        <w:jc w:val="both"/>
        <w:rPr>
          <w:rFonts w:ascii="Verdana" w:hAnsi="Verdana"/>
          <w:b/>
        </w:rPr>
      </w:pPr>
    </w:p>
    <w:p w:rsidR="007F4DEB" w:rsidRDefault="007F4DEB" w:rsidP="007F4DEB">
      <w:pPr>
        <w:spacing w:after="0" w:line="240" w:lineRule="auto"/>
        <w:jc w:val="both"/>
        <w:rPr>
          <w:rFonts w:ascii="Verdana" w:hAnsi="Verdana"/>
          <w:b/>
        </w:rPr>
      </w:pPr>
      <w:r w:rsidRPr="007F4DEB">
        <w:rPr>
          <w:rFonts w:ascii="Verdana" w:hAnsi="Verdana"/>
          <w:b/>
        </w:rPr>
        <w:t>DEMONSTRATIVO DE COMPRAS EFETUADAS E DOS SERVIÇOS CONTRATADOS PELA ADMINISTRAÇÃO DO GABINETE DA SECRETARIA MUNICIPAL DE TRABALHO E EMPREENDEDORISMO, RELATIVO AO MÊS DE MAIO DE 2.018, DE ACORDO COM ARTIGO 16 DA LEI FEDERAL Nº. 8.666/93 E ARTIGO 116 DA LOMSP.</w:t>
      </w:r>
    </w:p>
    <w:p w:rsidR="00895C35" w:rsidRDefault="00895C35" w:rsidP="007F4DEB">
      <w:pPr>
        <w:spacing w:after="0" w:line="240" w:lineRule="auto"/>
        <w:jc w:val="both"/>
        <w:rPr>
          <w:rFonts w:ascii="Verdana" w:hAnsi="Verdana"/>
          <w:b/>
        </w:rPr>
      </w:pPr>
    </w:p>
    <w:p w:rsidR="00895C35" w:rsidRPr="007F4DEB" w:rsidRDefault="00895C35" w:rsidP="007F4DEB">
      <w:pPr>
        <w:spacing w:after="0" w:line="240" w:lineRule="auto"/>
        <w:jc w:val="both"/>
        <w:rPr>
          <w:rFonts w:ascii="Verdana" w:hAnsi="Verdana"/>
          <w:b/>
          <w:sz w:val="24"/>
          <w:szCs w:val="24"/>
        </w:rPr>
      </w:pPr>
      <w:r>
        <w:rPr>
          <w:rFonts w:ascii="Verdana" w:hAnsi="Verdana"/>
          <w:b/>
          <w:noProof/>
          <w:sz w:val="24"/>
          <w:szCs w:val="24"/>
          <w:lang w:eastAsia="pt-BR"/>
        </w:rPr>
        <w:drawing>
          <wp:inline distT="0" distB="0" distL="0" distR="0">
            <wp:extent cx="6425007" cy="5710862"/>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431" cy="5722794"/>
                    </a:xfrm>
                    <a:prstGeom prst="rect">
                      <a:avLst/>
                    </a:prstGeom>
                    <a:noFill/>
                    <a:ln>
                      <a:noFill/>
                    </a:ln>
                  </pic:spPr>
                </pic:pic>
              </a:graphicData>
            </a:graphic>
          </wp:inline>
        </w:drawing>
      </w:r>
    </w:p>
    <w:p w:rsidR="00895C35" w:rsidRDefault="00895C35" w:rsidP="007F4DEB">
      <w:pPr>
        <w:tabs>
          <w:tab w:val="left" w:pos="7501"/>
        </w:tabs>
        <w:spacing w:after="0" w:line="240" w:lineRule="auto"/>
        <w:jc w:val="both"/>
        <w:rPr>
          <w:rFonts w:ascii="Verdana" w:hAnsi="Verdana"/>
          <w:sz w:val="24"/>
          <w:szCs w:val="24"/>
        </w:rPr>
      </w:pPr>
      <w:r>
        <w:rPr>
          <w:rFonts w:ascii="Verdana" w:hAnsi="Verdana"/>
          <w:noProof/>
          <w:sz w:val="24"/>
          <w:szCs w:val="24"/>
          <w:lang w:eastAsia="pt-BR"/>
        </w:rPr>
        <w:lastRenderedPageBreak/>
        <w:drawing>
          <wp:inline distT="0" distB="0" distL="0" distR="0">
            <wp:extent cx="6235588" cy="584791"/>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203" cy="592633"/>
                    </a:xfrm>
                    <a:prstGeom prst="rect">
                      <a:avLst/>
                    </a:prstGeom>
                    <a:noFill/>
                    <a:ln>
                      <a:noFill/>
                    </a:ln>
                  </pic:spPr>
                </pic:pic>
              </a:graphicData>
            </a:graphic>
          </wp:inline>
        </w:drawing>
      </w:r>
    </w:p>
    <w:p w:rsidR="00895C35" w:rsidRDefault="00895C35" w:rsidP="00895C35">
      <w:pPr>
        <w:rPr>
          <w:rFonts w:ascii="Verdana" w:hAnsi="Verdana"/>
          <w:sz w:val="24"/>
          <w:szCs w:val="24"/>
        </w:rPr>
      </w:pPr>
    </w:p>
    <w:p w:rsidR="00BA3DD9" w:rsidRDefault="00895C35" w:rsidP="00895C35">
      <w:pPr>
        <w:tabs>
          <w:tab w:val="left" w:pos="1323"/>
        </w:tabs>
        <w:jc w:val="both"/>
        <w:rPr>
          <w:rFonts w:ascii="Verdana" w:hAnsi="Verdana"/>
          <w:b/>
          <w:sz w:val="24"/>
          <w:szCs w:val="24"/>
        </w:rPr>
      </w:pPr>
      <w:r w:rsidRPr="00895C35">
        <w:rPr>
          <w:rFonts w:ascii="Verdana" w:hAnsi="Verdana"/>
          <w:b/>
          <w:sz w:val="24"/>
          <w:szCs w:val="24"/>
        </w:rPr>
        <w:tab/>
      </w: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b/>
          <w:sz w:val="24"/>
          <w:szCs w:val="24"/>
        </w:rPr>
      </w:pPr>
    </w:p>
    <w:p w:rsidR="00BA3DD9" w:rsidRDefault="00BA3DD9" w:rsidP="00895C35">
      <w:pPr>
        <w:tabs>
          <w:tab w:val="left" w:pos="1323"/>
        </w:tabs>
        <w:jc w:val="both"/>
        <w:rPr>
          <w:rFonts w:ascii="Verdana" w:hAnsi="Verdana" w:cs="Frutiger-BoldCn"/>
          <w:b/>
          <w:bCs/>
          <w:color w:val="727272"/>
          <w:sz w:val="24"/>
          <w:szCs w:val="24"/>
        </w:rPr>
        <w:sectPr w:rsidR="00BA3DD9" w:rsidSect="00707DC8">
          <w:footerReference w:type="default" r:id="rId14"/>
          <w:pgSz w:w="11906" w:h="16838"/>
          <w:pgMar w:top="1418" w:right="1701" w:bottom="1418" w:left="1701" w:header="709" w:footer="709" w:gutter="0"/>
          <w:cols w:space="708"/>
          <w:docGrid w:linePitch="360"/>
        </w:sectPr>
      </w:pPr>
    </w:p>
    <w:p w:rsidR="00895C35" w:rsidRDefault="00895C35" w:rsidP="00895C35">
      <w:pPr>
        <w:tabs>
          <w:tab w:val="left" w:pos="1323"/>
        </w:tabs>
        <w:jc w:val="both"/>
        <w:rPr>
          <w:rFonts w:ascii="Verdana" w:hAnsi="Verdana" w:cs="Frutiger-BoldCn"/>
          <w:b/>
          <w:bCs/>
          <w:color w:val="727272"/>
          <w:sz w:val="24"/>
          <w:szCs w:val="24"/>
        </w:rPr>
      </w:pPr>
      <w:r w:rsidRPr="00895C35">
        <w:rPr>
          <w:rFonts w:ascii="Verdana" w:hAnsi="Verdana" w:cs="Frutiger-BoldCn"/>
          <w:b/>
          <w:bCs/>
          <w:color w:val="727272"/>
          <w:sz w:val="24"/>
          <w:szCs w:val="24"/>
        </w:rPr>
        <w:lastRenderedPageBreak/>
        <w:t>FUNDAÇÃO PAULISTANA DE EDUCAÇÃO E TECNOLOGIA</w:t>
      </w:r>
      <w:r>
        <w:rPr>
          <w:rFonts w:ascii="Verdana" w:hAnsi="Verdana" w:cs="Frutiger-BoldCn"/>
          <w:b/>
          <w:bCs/>
          <w:color w:val="727272"/>
          <w:sz w:val="24"/>
          <w:szCs w:val="24"/>
        </w:rPr>
        <w:t>.</w:t>
      </w:r>
    </w:p>
    <w:p w:rsidR="00895C35" w:rsidRPr="00895C35" w:rsidRDefault="00895C35" w:rsidP="00895C35">
      <w:pPr>
        <w:tabs>
          <w:tab w:val="left" w:pos="1323"/>
        </w:tabs>
        <w:spacing w:after="0" w:line="240" w:lineRule="auto"/>
        <w:jc w:val="both"/>
        <w:rPr>
          <w:rFonts w:ascii="Verdana" w:hAnsi="Verdana"/>
          <w:b/>
        </w:rPr>
      </w:pPr>
      <w:r w:rsidRPr="00895C35">
        <w:rPr>
          <w:rFonts w:ascii="Verdana" w:hAnsi="Verdana"/>
          <w:b/>
        </w:rPr>
        <w:t xml:space="preserve">Relatório de Compras Efetuadas e Serviços Contratados </w:t>
      </w:r>
    </w:p>
    <w:p w:rsidR="00895C35" w:rsidRDefault="00895C35" w:rsidP="00895C35">
      <w:pPr>
        <w:tabs>
          <w:tab w:val="left" w:pos="1323"/>
        </w:tabs>
        <w:spacing w:after="0" w:line="240" w:lineRule="auto"/>
        <w:jc w:val="both"/>
        <w:rPr>
          <w:rFonts w:ascii="Verdana" w:hAnsi="Verdana"/>
          <w:b/>
        </w:rPr>
      </w:pPr>
      <w:r w:rsidRPr="00895C35">
        <w:rPr>
          <w:rFonts w:ascii="Verdana" w:hAnsi="Verdana"/>
          <w:b/>
        </w:rPr>
        <w:t>FUNDAÇÃO PAULISTANA DE EDUC. TECNOLOGIA E CULTURA</w:t>
      </w:r>
      <w:r>
        <w:rPr>
          <w:rFonts w:ascii="Verdana" w:hAnsi="Verdana"/>
          <w:b/>
        </w:rPr>
        <w:t>.</w:t>
      </w: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r>
        <w:rPr>
          <w:rFonts w:ascii="Verdana" w:hAnsi="Verdana"/>
          <w:b/>
        </w:rPr>
        <w:t>Exercício de 2018.</w:t>
      </w:r>
    </w:p>
    <w:p w:rsidR="00E656D8" w:rsidRDefault="00E656D8" w:rsidP="00895C35">
      <w:pPr>
        <w:tabs>
          <w:tab w:val="left" w:pos="1323"/>
        </w:tabs>
        <w:spacing w:after="0" w:line="240" w:lineRule="auto"/>
        <w:jc w:val="both"/>
        <w:rPr>
          <w:rFonts w:ascii="Verdana" w:hAnsi="Verdana"/>
          <w:b/>
        </w:rPr>
      </w:pPr>
    </w:p>
    <w:p w:rsidR="00E656D8" w:rsidRDefault="00E656D8" w:rsidP="00895C35">
      <w:pPr>
        <w:tabs>
          <w:tab w:val="left" w:pos="1323"/>
        </w:tabs>
        <w:spacing w:after="0" w:line="240" w:lineRule="auto"/>
        <w:jc w:val="both"/>
        <w:rPr>
          <w:rFonts w:ascii="Verdana" w:hAnsi="Verdana"/>
          <w:b/>
        </w:rPr>
      </w:pPr>
      <w:r>
        <w:rPr>
          <w:rFonts w:ascii="Verdana" w:hAnsi="Verdana"/>
          <w:b/>
          <w:noProof/>
          <w:lang w:eastAsia="pt-BR"/>
        </w:rPr>
        <w:drawing>
          <wp:inline distT="0" distB="0" distL="0" distR="0">
            <wp:extent cx="9335386" cy="451885"/>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6586" cy="453879"/>
                    </a:xfrm>
                    <a:prstGeom prst="rect">
                      <a:avLst/>
                    </a:prstGeom>
                    <a:noFill/>
                    <a:ln>
                      <a:noFill/>
                    </a:ln>
                  </pic:spPr>
                </pic:pic>
              </a:graphicData>
            </a:graphic>
          </wp:inline>
        </w:drawing>
      </w:r>
    </w:p>
    <w:p w:rsidR="00E656D8" w:rsidRDefault="00E656D8" w:rsidP="00895C35">
      <w:pPr>
        <w:tabs>
          <w:tab w:val="left" w:pos="1323"/>
        </w:tabs>
        <w:spacing w:after="0" w:line="240" w:lineRule="auto"/>
        <w:jc w:val="both"/>
        <w:rPr>
          <w:rFonts w:ascii="Verdana" w:hAnsi="Verdana"/>
          <w:b/>
        </w:rPr>
      </w:pPr>
    </w:p>
    <w:p w:rsidR="00E656D8" w:rsidRDefault="00E656D8" w:rsidP="00895C35">
      <w:pPr>
        <w:tabs>
          <w:tab w:val="left" w:pos="1323"/>
        </w:tabs>
        <w:spacing w:after="0" w:line="240" w:lineRule="auto"/>
        <w:jc w:val="both"/>
        <w:rPr>
          <w:rFonts w:ascii="Verdana" w:hAnsi="Verdana"/>
          <w:b/>
        </w:rPr>
      </w:pPr>
      <w:r>
        <w:rPr>
          <w:rFonts w:ascii="Verdana" w:hAnsi="Verdana"/>
          <w:b/>
          <w:noProof/>
          <w:lang w:eastAsia="pt-BR"/>
        </w:rPr>
        <w:drawing>
          <wp:inline distT="0" distB="0" distL="0" distR="0">
            <wp:extent cx="9898912" cy="1103888"/>
            <wp:effectExtent l="0" t="0" r="762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50885" cy="1109684"/>
                    </a:xfrm>
                    <a:prstGeom prst="rect">
                      <a:avLst/>
                    </a:prstGeom>
                    <a:noFill/>
                    <a:ln>
                      <a:noFill/>
                    </a:ln>
                  </pic:spPr>
                </pic:pic>
              </a:graphicData>
            </a:graphic>
          </wp:inline>
        </w:drawing>
      </w:r>
    </w:p>
    <w:p w:rsidR="00BA3DD9" w:rsidRDefault="00BA3DD9" w:rsidP="00895C35">
      <w:pPr>
        <w:tabs>
          <w:tab w:val="left" w:pos="1323"/>
        </w:tabs>
        <w:spacing w:after="0" w:line="240" w:lineRule="auto"/>
        <w:jc w:val="both"/>
        <w:rPr>
          <w:rFonts w:ascii="Verdana" w:hAnsi="Verdana"/>
          <w:b/>
        </w:rPr>
      </w:pPr>
    </w:p>
    <w:p w:rsidR="00E656D8" w:rsidRDefault="00E656D8" w:rsidP="00895C35">
      <w:pPr>
        <w:tabs>
          <w:tab w:val="left" w:pos="1323"/>
        </w:tabs>
        <w:spacing w:after="0" w:line="240" w:lineRule="auto"/>
        <w:jc w:val="both"/>
        <w:rPr>
          <w:rFonts w:ascii="Verdana" w:hAnsi="Verdana"/>
          <w:b/>
        </w:rPr>
      </w:pPr>
    </w:p>
    <w:p w:rsidR="00E656D8" w:rsidRDefault="00E656D8" w:rsidP="00895C35">
      <w:pPr>
        <w:tabs>
          <w:tab w:val="left" w:pos="1323"/>
        </w:tabs>
        <w:spacing w:after="0" w:line="240" w:lineRule="auto"/>
        <w:jc w:val="both"/>
        <w:rPr>
          <w:rFonts w:ascii="Verdana" w:hAnsi="Verdana"/>
          <w:b/>
        </w:rPr>
      </w:pPr>
      <w:r>
        <w:rPr>
          <w:rFonts w:ascii="Verdana" w:hAnsi="Verdana"/>
          <w:b/>
          <w:noProof/>
          <w:lang w:eastAsia="pt-BR"/>
        </w:rPr>
        <w:lastRenderedPageBreak/>
        <w:drawing>
          <wp:inline distT="0" distB="0" distL="0" distR="0">
            <wp:extent cx="9835116" cy="335988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46042" cy="3363621"/>
                    </a:xfrm>
                    <a:prstGeom prst="rect">
                      <a:avLst/>
                    </a:prstGeom>
                    <a:noFill/>
                    <a:ln>
                      <a:noFill/>
                    </a:ln>
                  </pic:spPr>
                </pic:pic>
              </a:graphicData>
            </a:graphic>
          </wp:inline>
        </w:drawing>
      </w:r>
    </w:p>
    <w:p w:rsidR="00E656D8" w:rsidRDefault="00E656D8" w:rsidP="00E656D8">
      <w:pPr>
        <w:rPr>
          <w:rFonts w:ascii="Verdana" w:hAnsi="Verdana"/>
        </w:rPr>
      </w:pPr>
    </w:p>
    <w:p w:rsidR="00E656D8" w:rsidRDefault="00E656D8" w:rsidP="00E656D8">
      <w:pPr>
        <w:jc w:val="center"/>
        <w:rPr>
          <w:rFonts w:ascii="Verdana" w:hAnsi="Verdana"/>
        </w:rPr>
      </w:pPr>
      <w:r>
        <w:rPr>
          <w:rFonts w:ascii="Verdana" w:hAnsi="Verdana"/>
          <w:noProof/>
          <w:lang w:eastAsia="pt-BR"/>
        </w:rPr>
        <w:lastRenderedPageBreak/>
        <w:drawing>
          <wp:inline distT="0" distB="0" distL="0" distR="0">
            <wp:extent cx="9686260" cy="460688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86096" cy="4606802"/>
                    </a:xfrm>
                    <a:prstGeom prst="rect">
                      <a:avLst/>
                    </a:prstGeom>
                    <a:noFill/>
                    <a:ln>
                      <a:noFill/>
                    </a:ln>
                  </pic:spPr>
                </pic:pic>
              </a:graphicData>
            </a:graphic>
          </wp:inline>
        </w:drawing>
      </w:r>
    </w:p>
    <w:p w:rsidR="00E656D8" w:rsidRDefault="00E656D8" w:rsidP="00E656D8">
      <w:pPr>
        <w:rPr>
          <w:rFonts w:ascii="Verdana" w:hAnsi="Verdana"/>
        </w:rPr>
      </w:pPr>
    </w:p>
    <w:p w:rsidR="00E656D8" w:rsidRDefault="00E656D8" w:rsidP="00E656D8">
      <w:pPr>
        <w:rPr>
          <w:rFonts w:ascii="Verdana" w:hAnsi="Verdana"/>
        </w:rPr>
      </w:pPr>
      <w:r>
        <w:rPr>
          <w:rFonts w:ascii="Verdana" w:hAnsi="Verdana"/>
          <w:noProof/>
          <w:lang w:eastAsia="pt-BR"/>
        </w:rPr>
        <w:lastRenderedPageBreak/>
        <w:drawing>
          <wp:inline distT="0" distB="0" distL="0" distR="0">
            <wp:extent cx="9881184" cy="2317898"/>
            <wp:effectExtent l="0" t="0" r="635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8374" cy="2319585"/>
                    </a:xfrm>
                    <a:prstGeom prst="rect">
                      <a:avLst/>
                    </a:prstGeom>
                    <a:noFill/>
                    <a:ln>
                      <a:noFill/>
                    </a:ln>
                  </pic:spPr>
                </pic:pic>
              </a:graphicData>
            </a:graphic>
          </wp:inline>
        </w:drawing>
      </w:r>
    </w:p>
    <w:p w:rsidR="00E656D8" w:rsidRDefault="00E656D8" w:rsidP="00E656D8">
      <w:pPr>
        <w:rPr>
          <w:rFonts w:ascii="Verdana" w:hAnsi="Verdana"/>
        </w:rPr>
      </w:pPr>
    </w:p>
    <w:p w:rsidR="00E656D8" w:rsidRDefault="00E656D8" w:rsidP="00E656D8">
      <w:pPr>
        <w:tabs>
          <w:tab w:val="left" w:pos="8171"/>
        </w:tabs>
        <w:rPr>
          <w:rFonts w:ascii="Verdana" w:hAnsi="Verdana"/>
        </w:rPr>
      </w:pPr>
      <w:r>
        <w:rPr>
          <w:rFonts w:ascii="Verdana" w:hAnsi="Verdana"/>
        </w:rPr>
        <w:tab/>
      </w:r>
      <w:r>
        <w:rPr>
          <w:rFonts w:ascii="Verdana" w:hAnsi="Verdana"/>
          <w:noProof/>
          <w:lang w:eastAsia="pt-BR"/>
        </w:rPr>
        <w:drawing>
          <wp:inline distT="0" distB="0" distL="0" distR="0">
            <wp:extent cx="9771321" cy="2347755"/>
            <wp:effectExtent l="0" t="0" r="190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1321" cy="2347755"/>
                    </a:xfrm>
                    <a:prstGeom prst="rect">
                      <a:avLst/>
                    </a:prstGeom>
                    <a:noFill/>
                    <a:ln>
                      <a:noFill/>
                    </a:ln>
                  </pic:spPr>
                </pic:pic>
              </a:graphicData>
            </a:graphic>
          </wp:inline>
        </w:drawing>
      </w:r>
    </w:p>
    <w:p w:rsidR="00E656D8" w:rsidRDefault="00E656D8" w:rsidP="00E656D8">
      <w:pPr>
        <w:rPr>
          <w:rFonts w:ascii="Verdana" w:hAnsi="Verdana"/>
        </w:rPr>
      </w:pPr>
    </w:p>
    <w:p w:rsidR="00E656D8" w:rsidRDefault="00E656D8" w:rsidP="00E656D8">
      <w:pPr>
        <w:rPr>
          <w:rFonts w:ascii="Verdana" w:hAnsi="Verdana"/>
        </w:rPr>
      </w:pPr>
      <w:r>
        <w:rPr>
          <w:rFonts w:ascii="Verdana" w:hAnsi="Verdana"/>
          <w:noProof/>
          <w:lang w:eastAsia="pt-BR"/>
        </w:rPr>
        <w:drawing>
          <wp:inline distT="0" distB="0" distL="0" distR="0">
            <wp:extent cx="9771321" cy="1956414"/>
            <wp:effectExtent l="0" t="0" r="190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2781" cy="1956706"/>
                    </a:xfrm>
                    <a:prstGeom prst="rect">
                      <a:avLst/>
                    </a:prstGeom>
                    <a:noFill/>
                    <a:ln>
                      <a:noFill/>
                    </a:ln>
                  </pic:spPr>
                </pic:pic>
              </a:graphicData>
            </a:graphic>
          </wp:inline>
        </w:drawing>
      </w:r>
    </w:p>
    <w:p w:rsidR="00E656D8" w:rsidRDefault="00E656D8" w:rsidP="00E656D8">
      <w:pPr>
        <w:rPr>
          <w:rFonts w:ascii="Verdana" w:hAnsi="Verdana"/>
        </w:rPr>
      </w:pPr>
    </w:p>
    <w:p w:rsidR="00E656D8" w:rsidRDefault="00E656D8" w:rsidP="00E656D8">
      <w:pPr>
        <w:jc w:val="center"/>
        <w:rPr>
          <w:rFonts w:ascii="Verdana" w:hAnsi="Verdana"/>
        </w:rPr>
      </w:pPr>
      <w:r>
        <w:rPr>
          <w:rFonts w:ascii="Verdana" w:hAnsi="Verdana"/>
          <w:noProof/>
          <w:lang w:eastAsia="pt-BR"/>
        </w:rPr>
        <w:drawing>
          <wp:inline distT="0" distB="0" distL="0" distR="0">
            <wp:extent cx="9739050" cy="240295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38737" cy="2402881"/>
                    </a:xfrm>
                    <a:prstGeom prst="rect">
                      <a:avLst/>
                    </a:prstGeom>
                    <a:noFill/>
                    <a:ln>
                      <a:noFill/>
                    </a:ln>
                  </pic:spPr>
                </pic:pic>
              </a:graphicData>
            </a:graphic>
          </wp:inline>
        </w:drawing>
      </w:r>
    </w:p>
    <w:p w:rsidR="00E656D8" w:rsidRDefault="00E656D8" w:rsidP="00E656D8">
      <w:pPr>
        <w:rPr>
          <w:rFonts w:ascii="Verdana" w:hAnsi="Verdana"/>
        </w:rPr>
      </w:pPr>
    </w:p>
    <w:p w:rsidR="004527E9" w:rsidRDefault="004527E9" w:rsidP="00E656D8">
      <w:pPr>
        <w:rPr>
          <w:rFonts w:ascii="Verdana" w:hAnsi="Verdana"/>
        </w:rPr>
      </w:pPr>
      <w:r>
        <w:rPr>
          <w:rFonts w:ascii="Verdana" w:hAnsi="Verdana"/>
          <w:noProof/>
          <w:lang w:eastAsia="pt-BR"/>
        </w:rPr>
        <w:drawing>
          <wp:inline distT="0" distB="0" distL="0" distR="0">
            <wp:extent cx="9887563" cy="2817628"/>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87795" cy="2817694"/>
                    </a:xfrm>
                    <a:prstGeom prst="rect">
                      <a:avLst/>
                    </a:prstGeom>
                    <a:noFill/>
                    <a:ln>
                      <a:noFill/>
                    </a:ln>
                  </pic:spPr>
                </pic:pic>
              </a:graphicData>
            </a:graphic>
          </wp:inline>
        </w:drawing>
      </w:r>
    </w:p>
    <w:p w:rsidR="004527E9" w:rsidRDefault="004527E9" w:rsidP="004527E9">
      <w:pPr>
        <w:jc w:val="center"/>
        <w:rPr>
          <w:rFonts w:ascii="Verdana" w:hAnsi="Verdana"/>
        </w:rPr>
      </w:pPr>
      <w:r>
        <w:rPr>
          <w:rFonts w:ascii="Verdana" w:hAnsi="Verdana"/>
          <w:noProof/>
          <w:lang w:eastAsia="pt-BR"/>
        </w:rPr>
        <w:lastRenderedPageBreak/>
        <w:drawing>
          <wp:inline distT="0" distB="0" distL="0" distR="0">
            <wp:extent cx="9813851" cy="5156791"/>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4318" cy="5162291"/>
                    </a:xfrm>
                    <a:prstGeom prst="rect">
                      <a:avLst/>
                    </a:prstGeom>
                    <a:noFill/>
                    <a:ln>
                      <a:noFill/>
                    </a:ln>
                  </pic:spPr>
                </pic:pic>
              </a:graphicData>
            </a:graphic>
          </wp:inline>
        </w:drawing>
      </w:r>
    </w:p>
    <w:p w:rsidR="004527E9" w:rsidRDefault="004527E9" w:rsidP="004527E9">
      <w:pPr>
        <w:rPr>
          <w:rFonts w:ascii="Verdana" w:hAnsi="Verdana"/>
        </w:rPr>
        <w:sectPr w:rsidR="004527E9" w:rsidSect="00E656D8">
          <w:pgSz w:w="16838" w:h="11906" w:orient="landscape"/>
          <w:pgMar w:top="720" w:right="720" w:bottom="720" w:left="720" w:header="709" w:footer="709" w:gutter="0"/>
          <w:cols w:space="708"/>
          <w:docGrid w:linePitch="360"/>
        </w:sectPr>
      </w:pPr>
    </w:p>
    <w:p w:rsidR="004527E9" w:rsidRDefault="004527E9" w:rsidP="004527E9">
      <w:pPr>
        <w:rPr>
          <w:rFonts w:ascii="Verdana" w:hAnsi="Verdana"/>
        </w:rPr>
      </w:pPr>
    </w:p>
    <w:p w:rsidR="00E656D8" w:rsidRPr="004527E9" w:rsidRDefault="00E656D8" w:rsidP="004527E9">
      <w:pPr>
        <w:rPr>
          <w:rFonts w:ascii="Verdana" w:hAnsi="Verdana"/>
        </w:rPr>
        <w:sectPr w:rsidR="00E656D8" w:rsidRPr="004527E9" w:rsidSect="004527E9">
          <w:pgSz w:w="11906" w:h="16838"/>
          <w:pgMar w:top="720" w:right="720" w:bottom="720" w:left="720" w:header="709" w:footer="709" w:gutter="0"/>
          <w:cols w:space="708"/>
          <w:docGrid w:linePitch="360"/>
        </w:sectPr>
      </w:pPr>
    </w:p>
    <w:p w:rsidR="00BA3DD9" w:rsidRDefault="00BA3DD9" w:rsidP="00895C35">
      <w:pPr>
        <w:tabs>
          <w:tab w:val="left" w:pos="1323"/>
        </w:tabs>
        <w:spacing w:after="0" w:line="240" w:lineRule="auto"/>
        <w:jc w:val="both"/>
        <w:rPr>
          <w:rFonts w:ascii="Verdana" w:hAnsi="Verdana"/>
          <w:b/>
        </w:rPr>
      </w:pPr>
    </w:p>
    <w:p w:rsidR="00BA3DD9" w:rsidRDefault="00BA3DD9"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895C35" w:rsidRDefault="00895C35" w:rsidP="00895C35">
      <w:pPr>
        <w:tabs>
          <w:tab w:val="left" w:pos="1323"/>
        </w:tabs>
        <w:spacing w:after="0" w:line="240" w:lineRule="auto"/>
        <w:jc w:val="both"/>
        <w:rPr>
          <w:rFonts w:ascii="Verdana" w:hAnsi="Verdana"/>
          <w:b/>
        </w:rPr>
      </w:pPr>
    </w:p>
    <w:p w:rsidR="00BA3DD9" w:rsidRDefault="00BA3DD9" w:rsidP="00895C35">
      <w:pPr>
        <w:tabs>
          <w:tab w:val="left" w:pos="1323"/>
        </w:tabs>
        <w:spacing w:after="0" w:line="240" w:lineRule="auto"/>
        <w:rPr>
          <w:rFonts w:ascii="Verdana" w:hAnsi="Verdana"/>
          <w:b/>
        </w:rPr>
        <w:sectPr w:rsidR="00BA3DD9" w:rsidSect="00707DC8">
          <w:pgSz w:w="11906" w:h="16838"/>
          <w:pgMar w:top="1418" w:right="1701" w:bottom="1418" w:left="1701" w:header="709" w:footer="709" w:gutter="0"/>
          <w:cols w:space="708"/>
          <w:docGrid w:linePitch="360"/>
        </w:sectPr>
      </w:pPr>
    </w:p>
    <w:p w:rsidR="00BA3DD9" w:rsidRDefault="00895C35" w:rsidP="00895C35">
      <w:pPr>
        <w:tabs>
          <w:tab w:val="left" w:pos="1323"/>
        </w:tabs>
        <w:spacing w:after="0" w:line="240" w:lineRule="auto"/>
        <w:rPr>
          <w:rFonts w:ascii="Verdana" w:hAnsi="Verdana"/>
          <w:b/>
        </w:rPr>
        <w:sectPr w:rsidR="00BA3DD9" w:rsidSect="00BA3DD9">
          <w:pgSz w:w="16838" w:h="11906" w:orient="landscape"/>
          <w:pgMar w:top="1701" w:right="1418" w:bottom="1701" w:left="1418" w:header="709" w:footer="709" w:gutter="0"/>
          <w:cols w:space="708"/>
          <w:docGrid w:linePitch="360"/>
        </w:sectPr>
      </w:pPr>
      <w:r>
        <w:rPr>
          <w:rFonts w:ascii="Verdana" w:hAnsi="Verdana"/>
          <w:b/>
          <w:noProof/>
          <w:lang w:eastAsia="pt-BR"/>
        </w:rPr>
        <w:lastRenderedPageBreak/>
        <w:drawing>
          <wp:inline distT="0" distB="0" distL="0" distR="0" wp14:anchorId="5CAE742A" wp14:editId="2BAB5FA7">
            <wp:extent cx="6198781" cy="383835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8781" cy="3838353"/>
                    </a:xfrm>
                    <a:prstGeom prst="rect">
                      <a:avLst/>
                    </a:prstGeom>
                    <a:noFill/>
                    <a:ln>
                      <a:noFill/>
                    </a:ln>
                  </pic:spPr>
                </pic:pic>
              </a:graphicData>
            </a:graphic>
          </wp:inline>
        </w:drawing>
      </w:r>
    </w:p>
    <w:p w:rsidR="004527E9" w:rsidRDefault="004527E9" w:rsidP="004527E9">
      <w:pPr>
        <w:spacing w:after="0" w:line="240" w:lineRule="auto"/>
        <w:jc w:val="center"/>
        <w:rPr>
          <w:rFonts w:ascii="Verdana" w:hAnsi="Verdana"/>
          <w:b/>
          <w:sz w:val="24"/>
          <w:szCs w:val="24"/>
        </w:rPr>
      </w:pPr>
      <w:r>
        <w:rPr>
          <w:rFonts w:ascii="Verdana" w:hAnsi="Verdana"/>
          <w:b/>
          <w:sz w:val="24"/>
          <w:szCs w:val="24"/>
        </w:rPr>
        <w:lastRenderedPageBreak/>
        <w:t xml:space="preserve">TRIBUNAL DE CONTAS, Pág.121 </w:t>
      </w:r>
      <w:r w:rsidR="000428C0">
        <w:rPr>
          <w:rFonts w:ascii="Verdana" w:hAnsi="Verdana"/>
          <w:b/>
          <w:sz w:val="24"/>
          <w:szCs w:val="24"/>
        </w:rPr>
        <w:t xml:space="preserve">a </w:t>
      </w:r>
      <w:r>
        <w:rPr>
          <w:rFonts w:ascii="Verdana" w:hAnsi="Verdana"/>
          <w:b/>
          <w:sz w:val="24"/>
          <w:szCs w:val="24"/>
        </w:rPr>
        <w:t>122</w:t>
      </w:r>
      <w:r w:rsidR="000428C0">
        <w:rPr>
          <w:rFonts w:ascii="Verdana" w:hAnsi="Verdana"/>
          <w:b/>
          <w:sz w:val="24"/>
          <w:szCs w:val="24"/>
        </w:rPr>
        <w:t xml:space="preserve">; </w:t>
      </w:r>
      <w:r w:rsidR="004863B6">
        <w:rPr>
          <w:rFonts w:ascii="Verdana" w:hAnsi="Verdana"/>
          <w:b/>
          <w:sz w:val="24"/>
          <w:szCs w:val="24"/>
        </w:rPr>
        <w:t xml:space="preserve">124 a </w:t>
      </w:r>
      <w:proofErr w:type="gramStart"/>
      <w:r w:rsidR="004863B6">
        <w:rPr>
          <w:rFonts w:ascii="Verdana" w:hAnsi="Verdana"/>
          <w:b/>
          <w:sz w:val="24"/>
          <w:szCs w:val="24"/>
        </w:rPr>
        <w:t>126</w:t>
      </w:r>
      <w:proofErr w:type="gramEnd"/>
    </w:p>
    <w:p w:rsidR="004863B6" w:rsidRDefault="004863B6" w:rsidP="004527E9">
      <w:pPr>
        <w:spacing w:after="0" w:line="240" w:lineRule="auto"/>
        <w:jc w:val="both"/>
        <w:rPr>
          <w:rFonts w:ascii="Verdana" w:hAnsi="Verdana"/>
          <w:b/>
        </w:rPr>
      </w:pPr>
    </w:p>
    <w:p w:rsidR="004863B6" w:rsidRDefault="004863B6" w:rsidP="004527E9">
      <w:pPr>
        <w:spacing w:after="0" w:line="240" w:lineRule="auto"/>
        <w:jc w:val="both"/>
        <w:rPr>
          <w:rFonts w:ascii="Verdana" w:hAnsi="Verdana"/>
          <w:b/>
        </w:rPr>
      </w:pPr>
    </w:p>
    <w:p w:rsidR="004527E9" w:rsidRDefault="004527E9" w:rsidP="004527E9">
      <w:pPr>
        <w:spacing w:after="0" w:line="240" w:lineRule="auto"/>
        <w:jc w:val="both"/>
        <w:rPr>
          <w:rFonts w:ascii="Verdana" w:hAnsi="Verdana"/>
          <w:b/>
        </w:rPr>
      </w:pPr>
      <w:r w:rsidRPr="004527E9">
        <w:rPr>
          <w:rFonts w:ascii="Verdana" w:hAnsi="Verdana"/>
          <w:b/>
        </w:rPr>
        <w:t>GABINETE DO PRESIDENTE</w:t>
      </w:r>
    </w:p>
    <w:p w:rsidR="004527E9" w:rsidRDefault="004527E9" w:rsidP="004527E9">
      <w:pPr>
        <w:spacing w:after="0" w:line="240" w:lineRule="auto"/>
        <w:jc w:val="both"/>
        <w:rPr>
          <w:rFonts w:ascii="Verdana" w:hAnsi="Verdana"/>
          <w:b/>
        </w:rPr>
      </w:pPr>
    </w:p>
    <w:p w:rsidR="004527E9" w:rsidRDefault="004527E9" w:rsidP="004527E9">
      <w:pPr>
        <w:spacing w:after="0" w:line="240" w:lineRule="auto"/>
        <w:jc w:val="both"/>
        <w:rPr>
          <w:rFonts w:ascii="Verdana" w:hAnsi="Verdana"/>
          <w:b/>
        </w:rPr>
      </w:pPr>
      <w:proofErr w:type="gramStart"/>
      <w:r w:rsidRPr="004527E9">
        <w:rPr>
          <w:rFonts w:ascii="Verdana" w:hAnsi="Verdana"/>
          <w:b/>
        </w:rPr>
        <w:t>PROCESSOS RELATADOS PELO CONSELHEIRO VICE-PRESIDENTE DOMINGOS DISSEI – 1)</w:t>
      </w:r>
      <w:proofErr w:type="gramEnd"/>
      <w:r w:rsidRPr="004527E9">
        <w:rPr>
          <w:rFonts w:ascii="Verdana" w:hAnsi="Verdana"/>
          <w:b/>
        </w:rPr>
        <w:t xml:space="preserve"> TC 1.954/04-64</w:t>
      </w:r>
      <w:r>
        <w:rPr>
          <w:rFonts w:ascii="Verdana" w:hAnsi="Verdana"/>
          <w:b/>
        </w:rPr>
        <w:t>.</w:t>
      </w:r>
    </w:p>
    <w:p w:rsidR="004527E9" w:rsidRDefault="004527E9" w:rsidP="004527E9">
      <w:pPr>
        <w:spacing w:after="0" w:line="240" w:lineRule="auto"/>
        <w:jc w:val="both"/>
        <w:rPr>
          <w:rFonts w:ascii="Verdana" w:hAnsi="Verdana"/>
          <w:b/>
        </w:rPr>
      </w:pPr>
    </w:p>
    <w:p w:rsidR="004527E9" w:rsidRPr="004527E9" w:rsidRDefault="004527E9" w:rsidP="004527E9">
      <w:pPr>
        <w:spacing w:after="0" w:line="240" w:lineRule="auto"/>
        <w:jc w:val="both"/>
        <w:rPr>
          <w:rFonts w:ascii="Verdana" w:hAnsi="Verdana"/>
          <w:b/>
        </w:rPr>
      </w:pPr>
      <w:r w:rsidRPr="004527E9">
        <w:rPr>
          <w:rFonts w:ascii="Verdana" w:hAnsi="Verdana"/>
        </w:rPr>
        <w:t>Requerimento de Rosana de Freitas interposto em face do V. Acórdão de 14/5/2014 – Relator Conselheiro Maurício Faria – Recursos "</w:t>
      </w:r>
      <w:proofErr w:type="spellStart"/>
      <w:r w:rsidRPr="004527E9">
        <w:rPr>
          <w:rFonts w:ascii="Verdana" w:hAnsi="Verdana"/>
        </w:rPr>
        <w:t>ex</w:t>
      </w:r>
      <w:proofErr w:type="spellEnd"/>
      <w:r w:rsidRPr="004527E9">
        <w:rPr>
          <w:rFonts w:ascii="Verdana" w:hAnsi="Verdana"/>
        </w:rPr>
        <w:t xml:space="preserve"> </w:t>
      </w:r>
      <w:proofErr w:type="spellStart"/>
      <w:r w:rsidRPr="004527E9">
        <w:rPr>
          <w:rFonts w:ascii="Verdana" w:hAnsi="Verdana"/>
        </w:rPr>
        <w:t>officio</w:t>
      </w:r>
      <w:proofErr w:type="spellEnd"/>
      <w:r w:rsidRPr="004527E9">
        <w:rPr>
          <w:rFonts w:ascii="Verdana" w:hAnsi="Verdana"/>
        </w:rPr>
        <w:t xml:space="preserve">", da Procuradoria da Fazenda Municipal e de Rosana de Freitas em face da R. Decisão de Juízo Singular de 26/4/2012 – Julgador Conselheiro Roberto </w:t>
      </w:r>
      <w:proofErr w:type="spellStart"/>
      <w:r w:rsidRPr="004527E9">
        <w:rPr>
          <w:rFonts w:ascii="Verdana" w:hAnsi="Verdana"/>
        </w:rPr>
        <w:t>Braguim</w:t>
      </w:r>
      <w:proofErr w:type="spellEnd"/>
      <w:r w:rsidRPr="004527E9">
        <w:rPr>
          <w:rFonts w:ascii="Verdana" w:hAnsi="Verdana"/>
        </w:rPr>
        <w:t xml:space="preserve"> – Secretaria Municipal de Desenvolvimento, Trabalho e Empreendedorismo (atual Secretaria Municipal de Trabalho e Empreendedorismo) e BKS Center Brás Ltda. – ME – Aquisição de 22 unidades de cartuchos de Toner L para impressora HP 1200 C7115A ACÓRDÃO: "Vistos, relatados e discutidos estes autos, dos quais é Relator o Conselheiro Domingos </w:t>
      </w:r>
      <w:proofErr w:type="spellStart"/>
      <w:r w:rsidRPr="004527E9">
        <w:rPr>
          <w:rFonts w:ascii="Verdana" w:hAnsi="Verdana"/>
        </w:rPr>
        <w:t>Dissei</w:t>
      </w:r>
      <w:proofErr w:type="spellEnd"/>
      <w:r w:rsidRPr="004527E9">
        <w:rPr>
          <w:rFonts w:ascii="Verdana" w:hAnsi="Verdana"/>
        </w:rPr>
        <w:t xml:space="preserve">. Acordam os Conselheiros do Tribunal de Contas do Município de São Paulo, por maioria, pelos votos dos Conselheiros Domingos </w:t>
      </w:r>
      <w:proofErr w:type="spellStart"/>
      <w:r w:rsidRPr="004527E9">
        <w:rPr>
          <w:rFonts w:ascii="Verdana" w:hAnsi="Verdana"/>
        </w:rPr>
        <w:t>Dissei</w:t>
      </w:r>
      <w:proofErr w:type="spellEnd"/>
      <w:r w:rsidRPr="004527E9">
        <w:rPr>
          <w:rFonts w:ascii="Verdana" w:hAnsi="Verdana"/>
        </w:rPr>
        <w:t xml:space="preserve"> – Relator, com relatório e voto, Edson Simões – Revisor e Roberto </w:t>
      </w:r>
      <w:proofErr w:type="spellStart"/>
      <w:r w:rsidRPr="004527E9">
        <w:rPr>
          <w:rFonts w:ascii="Verdana" w:hAnsi="Verdana"/>
        </w:rPr>
        <w:t>Braguim</w:t>
      </w:r>
      <w:proofErr w:type="spellEnd"/>
      <w:r w:rsidRPr="004527E9">
        <w:rPr>
          <w:rFonts w:ascii="Verdana" w:hAnsi="Verdana"/>
        </w:rPr>
        <w:t xml:space="preserve">, em não conhecer do pedido como recurso de revisão, por não atender aos requisitos de admissibilidade regimentais, quais sejam: erro de cálculo ou documentos falsos, fatos novos capazes de afetar a prova produzida ou violação de disposição literal de lei. Vencido o Conselheiro Maurício Faria que </w:t>
      </w:r>
      <w:proofErr w:type="gramStart"/>
      <w:r w:rsidRPr="004527E9">
        <w:rPr>
          <w:rFonts w:ascii="Verdana" w:hAnsi="Verdana"/>
        </w:rPr>
        <w:t>conheceu</w:t>
      </w:r>
      <w:proofErr w:type="gramEnd"/>
      <w:r w:rsidRPr="004527E9">
        <w:rPr>
          <w:rFonts w:ascii="Verdana" w:hAnsi="Verdana"/>
        </w:rPr>
        <w:t xml:space="preserve"> do requerimento como manifestação do direito de petição, assegurado pela Constituição Federal em seu artigo 5°, inciso XXXIV, alínea “a” e, no mérito, negou provimento ao pedido formulado pela interessada. Acordam, ademais, à unanimidade, em determinar, após as medidas regimentais, o arquivamento dos autos. Relatório: Trata-se da análise da documentação protocolizada pela Sra. Rosana de Freitas, solicitando que seja determinada a correição da intimação 1892/2015, que lhe foi remetida para conhecer do quanto deliberado no v. Acórdão do Plenário deste Egrégio Tribunal de Contas, em 14 de maio de 2014, para recolhimento do valor da multa que lhe foi aplicada, com o consequente encaminhamento de cópia da respectiva Guia de Arrecadação a esta Corte. Em 26 de abril de 2012, ocorreu a decisão de Juízo Singular, proferida pelo Conselheiro Roberto </w:t>
      </w:r>
      <w:proofErr w:type="spellStart"/>
      <w:r w:rsidRPr="004527E9">
        <w:rPr>
          <w:rFonts w:ascii="Verdana" w:hAnsi="Verdana"/>
        </w:rPr>
        <w:t>Braguim</w:t>
      </w:r>
      <w:proofErr w:type="spellEnd"/>
      <w:r w:rsidRPr="004527E9">
        <w:rPr>
          <w:rFonts w:ascii="Verdana" w:hAnsi="Verdana"/>
        </w:rPr>
        <w:t xml:space="preserve">, que julgou irregular o Ato Determinativo da Despesa no valor de R$ 5.940,00, com imputação de multa a Servidora </w:t>
      </w:r>
      <w:proofErr w:type="spellStart"/>
      <w:r w:rsidRPr="004527E9">
        <w:rPr>
          <w:rFonts w:ascii="Verdana" w:hAnsi="Verdana"/>
        </w:rPr>
        <w:t>responsá</w:t>
      </w:r>
      <w:proofErr w:type="spellEnd"/>
      <w:r w:rsidRPr="004527E9">
        <w:rPr>
          <w:rFonts w:ascii="Verdana" w:hAnsi="Verdana"/>
        </w:rPr>
        <w:t xml:space="preserve">- </w:t>
      </w:r>
      <w:proofErr w:type="spellStart"/>
      <w:r w:rsidRPr="004527E9">
        <w:rPr>
          <w:rFonts w:ascii="Verdana" w:hAnsi="Verdana"/>
        </w:rPr>
        <w:t>vel</w:t>
      </w:r>
      <w:proofErr w:type="spellEnd"/>
      <w:r w:rsidRPr="004527E9">
        <w:rPr>
          <w:rFonts w:ascii="Verdana" w:hAnsi="Verdana"/>
        </w:rPr>
        <w:t xml:space="preserve">, Sra. Rosana de Freitas no valor de R$ 512,00. Em 14 de maio ocorreu o julgamento pelo Pleno desta Corte de Contas, que à unanimidade julgou pelo provimento parcial do Recurso, para reconhecer os efeitos financeiros do ajuste. Diante disso, a Servidora responsável, Sra. Rosana de Freitas, solicitou que seja determinada a correição da intimação em referência, com a consequente expedição de outra em que não seja determinado o recolhimento da multa, já que este tribunal decidiu pelo acolhimento dos efeitos financeiros. A Assessoria Jurídica de Controle Externo, em sua manifestação, entendeu </w:t>
      </w:r>
      <w:r w:rsidRPr="004527E9">
        <w:rPr>
          <w:rFonts w:ascii="Verdana" w:hAnsi="Verdana"/>
        </w:rPr>
        <w:lastRenderedPageBreak/>
        <w:t xml:space="preserve">que, em sede de juízo de admissibilidade, o pedido não está fundamentado em nenhum dos recursos previstos no Regimento Interno deste Egrégio Tribunal. Ressaltou, entretanto, que, pelo princípio da fungibilidade recursal, o pedido de correição poderia ser aceito como recurso de revisão, desde que preenchidos os requisitos de admissibilidade previstos no artigo 148 do citado Regimento. Quanto ao mérito, opinou pelo não provimento do pedido, com relação à multa imposta, tendo em vista a possibilidade da aplicação da multa mesmo na hipótese da aceitação dos efeitos financeiros do ajuste. A Procuradoria da Fazenda Municipal entendeu que, como aquele v. Decisório não havia sido reformado no que tange à sua aplicação, só restaria ao petitório ser recebido como recurso de rescisão pelo princípio da fungibilidade dos recursos. Assim, requereu para que seja o pedido recebido como recurso de revisão, e quanto ao mérito, argumentou coerência com sua posição quando da análise dos autos em sede de Juízo “a quo”, requerendo seu integral provimento. A Secretaria Geral ressaltou, preliminarmente, que o requerimento apresentado não poderia ser conhecido pela falta de previsão legal no Regimento Interno, bem como na Lei Orgânica, ambos deste Tribunal de Contas. Entretanto, pelo princípio da fungibilidade recursal, o pedido de correição poderia ser aceito como Recurso de Revisão, nos termos estabelecidos no artigo 148 do Regimento Interno desta Casa. Alertou, entretanto, não se verificar nos autos qualquer das possibilidades previstas no supramencionado dispositivo Regimental, a amparar o pedido em exame. No entanto, caso superada a questão do conhecimento do pedido, no tocante ao mérito, entendeu que seu requerimento não mereceria ser provido, haja vista que os Recursos então apresentados foram providos exclusivamente para aceitação dos efeitos financeiros produzidos pelo ajuste. No entanto, a irregularidade do ajuste foi mantida, bem como a multa aplicada à Ordenadora da Despesa. Assim opinou pelo não conhecimento do pedido da Sra. Rosana de Freitas, nos termos acima analisado, mas, caso superada a questão, no mérito, concluiu pelo não provimento do mesmo. É o relatório. Voto: 1 - Acompanho o entendimento da Assessoria Jurídica de Controle Externo e da Secretaria Geral, quanto à possibilidade, pelo princípio da fungibilidade recursal, de recebimento do pedido formulado pela interessada como recurso de revisão, caso estivessem preenchidos os requisitos de admissibilidade regimentais, quais sejam: erro de cálculo ou documentos falsos; fatos novos capazes de afetar a prova produzida; ou violação de disposição literal de lei. 2 - Todavia, como o pedido da interessada não versa sobre qualquer dessas hipóteses, DEIXO DE CONHECÊ-LO como Recurso de Revisão. 3 - Após as medidas regimentais, arquivem-se os autos. É como voto. Participaram do julgamento os Conselheiros Edson Simões – </w:t>
      </w:r>
      <w:proofErr w:type="gramStart"/>
      <w:r w:rsidRPr="004527E9">
        <w:rPr>
          <w:rFonts w:ascii="Verdana" w:hAnsi="Verdana"/>
        </w:rPr>
        <w:t xml:space="preserve">Revisor, Roberto </w:t>
      </w:r>
      <w:proofErr w:type="spellStart"/>
      <w:r w:rsidRPr="004527E9">
        <w:rPr>
          <w:rFonts w:ascii="Verdana" w:hAnsi="Verdana"/>
        </w:rPr>
        <w:t>Braguim</w:t>
      </w:r>
      <w:proofErr w:type="spellEnd"/>
      <w:r w:rsidRPr="004527E9">
        <w:rPr>
          <w:rFonts w:ascii="Verdana" w:hAnsi="Verdana"/>
        </w:rPr>
        <w:t xml:space="preserve"> e Maurício Faria</w:t>
      </w:r>
      <w:proofErr w:type="gramEnd"/>
      <w:r w:rsidRPr="004527E9">
        <w:rPr>
          <w:rFonts w:ascii="Verdana" w:hAnsi="Verdana"/>
        </w:rPr>
        <w:t xml:space="preserve">. Presente o Procurador Chefe da Fazenda Carlos José Galvão. Plenário Conselheiro Paulo Planet Buarque, </w:t>
      </w:r>
      <w:proofErr w:type="gramStart"/>
      <w:r w:rsidRPr="004527E9">
        <w:rPr>
          <w:rFonts w:ascii="Verdana" w:hAnsi="Verdana"/>
        </w:rPr>
        <w:t>9</w:t>
      </w:r>
      <w:proofErr w:type="gramEnd"/>
      <w:r w:rsidRPr="004527E9">
        <w:rPr>
          <w:rFonts w:ascii="Verdana" w:hAnsi="Verdana"/>
        </w:rPr>
        <w:t xml:space="preserve"> de maio de 2018. a) </w:t>
      </w:r>
      <w:proofErr w:type="gramStart"/>
      <w:r w:rsidRPr="004527E9">
        <w:rPr>
          <w:rFonts w:ascii="Verdana" w:hAnsi="Verdana"/>
        </w:rPr>
        <w:t xml:space="preserve">João Antonio – Presidente; a) Domingos </w:t>
      </w:r>
      <w:proofErr w:type="spellStart"/>
      <w:r w:rsidRPr="004527E9">
        <w:rPr>
          <w:rFonts w:ascii="Verdana" w:hAnsi="Verdana"/>
        </w:rPr>
        <w:t>Dissei</w:t>
      </w:r>
      <w:proofErr w:type="spellEnd"/>
      <w:r w:rsidRPr="004527E9">
        <w:rPr>
          <w:rFonts w:ascii="Verdana" w:hAnsi="Verdana"/>
        </w:rPr>
        <w:t xml:space="preserve"> – Relator."</w:t>
      </w:r>
      <w:proofErr w:type="gramEnd"/>
    </w:p>
    <w:p w:rsidR="00895C35" w:rsidRDefault="00895C35" w:rsidP="004527E9">
      <w:pPr>
        <w:tabs>
          <w:tab w:val="left" w:pos="1323"/>
        </w:tabs>
        <w:spacing w:after="0" w:line="240" w:lineRule="auto"/>
        <w:jc w:val="both"/>
        <w:rPr>
          <w:rFonts w:ascii="Verdana" w:hAnsi="Verdana"/>
          <w:b/>
        </w:rPr>
      </w:pPr>
    </w:p>
    <w:p w:rsidR="000428C0" w:rsidRDefault="000428C0" w:rsidP="004527E9">
      <w:pPr>
        <w:tabs>
          <w:tab w:val="left" w:pos="1323"/>
        </w:tabs>
        <w:spacing w:after="0" w:line="240" w:lineRule="auto"/>
        <w:jc w:val="both"/>
        <w:rPr>
          <w:rFonts w:ascii="Verdana" w:hAnsi="Verdana"/>
          <w:b/>
        </w:rPr>
      </w:pPr>
    </w:p>
    <w:p w:rsidR="000428C0" w:rsidRDefault="000428C0" w:rsidP="004527E9">
      <w:pPr>
        <w:tabs>
          <w:tab w:val="left" w:pos="1323"/>
        </w:tabs>
        <w:spacing w:after="0" w:line="240" w:lineRule="auto"/>
        <w:jc w:val="both"/>
      </w:pPr>
    </w:p>
    <w:p w:rsidR="000428C0" w:rsidRDefault="000428C0" w:rsidP="004527E9">
      <w:pPr>
        <w:tabs>
          <w:tab w:val="left" w:pos="1323"/>
        </w:tabs>
        <w:spacing w:after="0" w:line="240" w:lineRule="auto"/>
        <w:jc w:val="both"/>
      </w:pPr>
    </w:p>
    <w:p w:rsidR="004527E9" w:rsidRDefault="004527E9" w:rsidP="004527E9">
      <w:pPr>
        <w:tabs>
          <w:tab w:val="left" w:pos="1323"/>
        </w:tabs>
        <w:spacing w:after="0" w:line="240" w:lineRule="auto"/>
        <w:jc w:val="both"/>
        <w:rPr>
          <w:rFonts w:ascii="Verdana" w:hAnsi="Verdana"/>
          <w:b/>
        </w:rPr>
      </w:pPr>
      <w:proofErr w:type="gramStart"/>
      <w:r w:rsidRPr="000428C0">
        <w:rPr>
          <w:rFonts w:ascii="Verdana" w:hAnsi="Verdana"/>
          <w:b/>
        </w:rPr>
        <w:t>PROCESSOS RELATADOS PELO CONSELHEIRO MAURÍCIO FARIA</w:t>
      </w:r>
      <w:proofErr w:type="gramEnd"/>
      <w:r w:rsidRPr="000428C0">
        <w:rPr>
          <w:rFonts w:ascii="Verdana" w:hAnsi="Verdana"/>
          <w:b/>
        </w:rPr>
        <w:t xml:space="preserve"> – 1) TC 106/06-81</w:t>
      </w:r>
      <w:r w:rsidR="000428C0">
        <w:rPr>
          <w:rFonts w:ascii="Verdana" w:hAnsi="Verdana"/>
          <w:b/>
        </w:rPr>
        <w:t>.</w:t>
      </w:r>
    </w:p>
    <w:p w:rsidR="000428C0" w:rsidRDefault="000428C0" w:rsidP="004527E9">
      <w:pPr>
        <w:tabs>
          <w:tab w:val="left" w:pos="1323"/>
        </w:tabs>
        <w:spacing w:after="0" w:line="240" w:lineRule="auto"/>
        <w:jc w:val="both"/>
        <w:rPr>
          <w:rFonts w:ascii="Verdana" w:hAnsi="Verdana"/>
          <w:b/>
        </w:rPr>
      </w:pPr>
    </w:p>
    <w:p w:rsidR="000428C0" w:rsidRDefault="000428C0" w:rsidP="004527E9">
      <w:pPr>
        <w:tabs>
          <w:tab w:val="left" w:pos="1323"/>
        </w:tabs>
        <w:spacing w:after="0" w:line="240" w:lineRule="auto"/>
        <w:jc w:val="both"/>
        <w:rPr>
          <w:rFonts w:ascii="Verdana" w:hAnsi="Verdana"/>
        </w:rPr>
      </w:pPr>
      <w:r w:rsidRPr="000428C0">
        <w:rPr>
          <w:rFonts w:ascii="Verdana" w:hAnsi="Verdana"/>
        </w:rPr>
        <w:t xml:space="preserve">Secretaria Municipal do Desenvolvimento, Trabalho e Empreendedorismo (atual Secretaria Municipal de Trabalho e Empreendedorismo) e Associação para Valorização e Promoção de Excepcionais – </w:t>
      </w:r>
      <w:proofErr w:type="spellStart"/>
      <w:r w:rsidRPr="000428C0">
        <w:rPr>
          <w:rFonts w:ascii="Verdana" w:hAnsi="Verdana"/>
        </w:rPr>
        <w:t>Avape</w:t>
      </w:r>
      <w:proofErr w:type="spellEnd"/>
      <w:r w:rsidRPr="000428C0">
        <w:rPr>
          <w:rFonts w:ascii="Verdana" w:hAnsi="Verdana"/>
        </w:rPr>
        <w:t xml:space="preserve"> – Contrato 05/2005 R$ 273.306,28 – </w:t>
      </w:r>
      <w:proofErr w:type="spellStart"/>
      <w:proofErr w:type="gramStart"/>
      <w:r w:rsidRPr="000428C0">
        <w:rPr>
          <w:rFonts w:ascii="Verdana" w:hAnsi="Verdana"/>
        </w:rPr>
        <w:t>TAs</w:t>
      </w:r>
      <w:proofErr w:type="spellEnd"/>
      <w:proofErr w:type="gramEnd"/>
      <w:r w:rsidRPr="000428C0">
        <w:rPr>
          <w:rFonts w:ascii="Verdana" w:hAnsi="Verdana"/>
        </w:rPr>
        <w:t xml:space="preserve"> 01/2005 R$ 157.676,70 (prorrogação do prazo contratual), 02/2005 R$ 115.629,58 (prorrogação do prazo contratual), 003/2005 R$ 52.558,90 (prorrogação do prazo contratual), 004/2005 R$ 36.791,23 (prorrogação do prazo contratual), 005/2005 R$ 394.191,75 (prorrogação do prazo contratual), 006/2005 R$ 354.772,57 (prorrogação do prazo contratual) – Prestação de serviços específicos para funcionamento dos postos do Centro de Atendimento Solidário, nas Unidades de Interlagos e Itaquera, e nas dependências da Secretaria e em locais que esta venha a ocupar 2) TC 1.811/06-79 – Secretaria Municipal do Desenvolvimento, Trabalho e Empreendedorismo (atual Secretaria Municipal de Trabalho e Empreendedorismo) e Associação para Valorização e Promoção de Excepcionais – </w:t>
      </w:r>
      <w:proofErr w:type="spellStart"/>
      <w:r w:rsidRPr="000428C0">
        <w:rPr>
          <w:rFonts w:ascii="Verdana" w:hAnsi="Verdana"/>
        </w:rPr>
        <w:t>Avape</w:t>
      </w:r>
      <w:proofErr w:type="spellEnd"/>
      <w:r w:rsidRPr="000428C0">
        <w:rPr>
          <w:rFonts w:ascii="Verdana" w:hAnsi="Verdana"/>
        </w:rPr>
        <w:t xml:space="preserve"> – Contrato 28/2005/SMTRAB R$ 5.171.564,04 – Contratação de serviços específicos para funcionamento dos postos do Centro de Apoio ao Trabalho – CAT, nas unidades Interlagos, Itaquera, Santana, Lapa e nas dependências da Secretaria e em locais que esta venha a ocupar 3) TC 2.257/06-38 – Secretaria Municipal do Desenvolvimento, Trabalho e Empreendedorismo (atual Secretaria Municipal de Trabalho e Empreendedorismo) e Associação para Valorização e Promoção de Excepcionais – </w:t>
      </w:r>
      <w:proofErr w:type="spellStart"/>
      <w:r w:rsidRPr="000428C0">
        <w:rPr>
          <w:rFonts w:ascii="Verdana" w:hAnsi="Verdana"/>
        </w:rPr>
        <w:t>Avape</w:t>
      </w:r>
      <w:proofErr w:type="spellEnd"/>
      <w:r w:rsidRPr="000428C0">
        <w:rPr>
          <w:rFonts w:ascii="Verdana" w:hAnsi="Verdana"/>
        </w:rPr>
        <w:t xml:space="preserve"> – Acompanhamento – Execução contratual – Verificar se o Contrato 28/2005/SMTRAB, cujo objeto é a contratação de serviços específicos para funcionamento dos postos do Centro de Apoio ao Trabalho – CAT, nas unidades Interlagos, Itaquera, Santana, Lapa e nas dependências da Secretaria e em locais que esta venha a ocupar, está sendo executado conforme o pactuado 4) TC 2.529/11-01 – Secretaria Municipal do Desenvolvimento, Trabalho e Empreendedorismo (atual Secretaria Municipal de Trabalho e Empreendedorismo) e Associação para Valorização e Promoção de Excepcionais – </w:t>
      </w:r>
      <w:proofErr w:type="spellStart"/>
      <w:r w:rsidRPr="000428C0">
        <w:rPr>
          <w:rFonts w:ascii="Verdana" w:hAnsi="Verdana"/>
        </w:rPr>
        <w:t>Avape</w:t>
      </w:r>
      <w:proofErr w:type="spellEnd"/>
      <w:r w:rsidRPr="000428C0">
        <w:rPr>
          <w:rFonts w:ascii="Verdana" w:hAnsi="Verdana"/>
        </w:rPr>
        <w:t xml:space="preserve"> – Contrato 007/2009/PMSP/ SMTRAB R$ 12.665.418,48 – </w:t>
      </w:r>
      <w:proofErr w:type="spellStart"/>
      <w:proofErr w:type="gramStart"/>
      <w:r w:rsidRPr="000428C0">
        <w:rPr>
          <w:rFonts w:ascii="Verdana" w:hAnsi="Verdana"/>
        </w:rPr>
        <w:t>TAs</w:t>
      </w:r>
      <w:proofErr w:type="spellEnd"/>
      <w:proofErr w:type="gramEnd"/>
      <w:r w:rsidRPr="000428C0">
        <w:rPr>
          <w:rFonts w:ascii="Verdana" w:hAnsi="Verdana"/>
        </w:rPr>
        <w:t xml:space="preserve"> 002/2009/PMSP/SMTRAB (substituição de garantia contratual de depósito em espécie para Carta de Fiança), 002/2009/PMSP/SMTRAB (alteração da razão social da contratada), 003/2010/SEMDET R$ 15.700.932,00 (prorrogação por mais doze meses e acréscimo contratual), 004/2020/SEMDET (concessão de reajuste contratual) e 05/2011/SEMDET (prorrogação contratual por mais de 12 meses) – Execução de serviços de apoio administrativo, técnico e operacional para atendimento ao público que procura as Unidades dos </w:t>
      </w:r>
      <w:proofErr w:type="spellStart"/>
      <w:r w:rsidRPr="000428C0">
        <w:rPr>
          <w:rFonts w:ascii="Verdana" w:hAnsi="Verdana"/>
        </w:rPr>
        <w:t>CATs</w:t>
      </w:r>
      <w:proofErr w:type="spellEnd"/>
      <w:r w:rsidRPr="000428C0">
        <w:rPr>
          <w:rFonts w:ascii="Verdana" w:hAnsi="Verdana"/>
        </w:rPr>
        <w:t xml:space="preserve"> Interlagos, Itaquera, Lapa, Luz, Santana, Lapa e nas dependências da Secretaria e em locais que esta venha a ocupar 5) TC 2.528/11-30 – Secretaria Municipal do Desenvolvimento, Trabalho e Empreendedorismo (atual Secretaria Municipal de Trabalho e Empreendedorismo) e Associação para Valorização e Promoção de </w:t>
      </w:r>
      <w:r w:rsidRPr="000428C0">
        <w:rPr>
          <w:rFonts w:ascii="Verdana" w:hAnsi="Verdana"/>
        </w:rPr>
        <w:lastRenderedPageBreak/>
        <w:t xml:space="preserve">Excepcionais – </w:t>
      </w:r>
      <w:proofErr w:type="spellStart"/>
      <w:r w:rsidRPr="000428C0">
        <w:rPr>
          <w:rFonts w:ascii="Verdana" w:hAnsi="Verdana"/>
        </w:rPr>
        <w:t>Avape</w:t>
      </w:r>
      <w:proofErr w:type="spellEnd"/>
      <w:r w:rsidRPr="000428C0">
        <w:rPr>
          <w:rFonts w:ascii="Verdana" w:hAnsi="Verdana"/>
        </w:rPr>
        <w:t xml:space="preserve"> – Acompanhamento – Execução contratual – Verificar se o Contrato 007/2009/PMSP/ SMTRAB (</w:t>
      </w:r>
      <w:proofErr w:type="spellStart"/>
      <w:r w:rsidRPr="000428C0">
        <w:rPr>
          <w:rFonts w:ascii="Verdana" w:hAnsi="Verdana"/>
        </w:rPr>
        <w:t>TAs</w:t>
      </w:r>
      <w:proofErr w:type="spellEnd"/>
      <w:r w:rsidRPr="000428C0">
        <w:rPr>
          <w:rFonts w:ascii="Verdana" w:hAnsi="Verdana"/>
        </w:rPr>
        <w:t xml:space="preserve"> 002/20090/PMSP/SMTRAB, 002/2009/PMSP/ SMTRAB, 003/2010/SEMDET, 004/2020/SEMDET e 05/2011/SEMDET), cujo objeto é a contratação de serviços de apoio administrativo, técnico e operacional para atendimento ao público nas Unidades dos </w:t>
      </w:r>
      <w:proofErr w:type="spellStart"/>
      <w:r w:rsidRPr="000428C0">
        <w:rPr>
          <w:rFonts w:ascii="Verdana" w:hAnsi="Verdana"/>
        </w:rPr>
        <w:t>CATs</w:t>
      </w:r>
      <w:proofErr w:type="spellEnd"/>
      <w:r w:rsidRPr="000428C0">
        <w:rPr>
          <w:rFonts w:ascii="Verdana" w:hAnsi="Verdana"/>
        </w:rPr>
        <w:t xml:space="preserve"> Interlagos, Itaquera, Lapa, Luz, Santana, Lapa e nas dependências da Secretaria e em locais que esta venha a ocupar, está sendo executado de acordo com as normas legais pertinentes e em conformidade com as cláusulas estabelecidas no ajuste. "O Conselheiro Maurício Faria – Relator requereu ao Egrégio Plenário, nos termos do artigo 172, inciso IV, do Regimento Interno desta Corte, a retirada de pauta dos citados processos, para melhores estudos, o que foi deferido." </w:t>
      </w: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pPr>
      <w:r w:rsidRPr="004863B6">
        <w:rPr>
          <w:rFonts w:ascii="Verdana" w:hAnsi="Verdana"/>
          <w:b/>
        </w:rPr>
        <w:t>TC 2.627/16-27 –</w:t>
      </w:r>
    </w:p>
    <w:p w:rsidR="004863B6" w:rsidRDefault="004863B6" w:rsidP="004527E9">
      <w:pPr>
        <w:tabs>
          <w:tab w:val="left" w:pos="1323"/>
        </w:tabs>
        <w:spacing w:after="0" w:line="240" w:lineRule="auto"/>
        <w:jc w:val="both"/>
        <w:rPr>
          <w:rFonts w:ascii="Verdana" w:hAnsi="Verdana"/>
        </w:rPr>
      </w:pPr>
      <w:r>
        <w:t xml:space="preserve"> </w:t>
      </w:r>
      <w:r w:rsidRPr="004863B6">
        <w:rPr>
          <w:rFonts w:ascii="Verdana" w:hAnsi="Verdana"/>
        </w:rPr>
        <w:t>Agência São Paulo de Desenvolvimento – Balanço referente ao exercício de 2014 (</w:t>
      </w:r>
      <w:proofErr w:type="spellStart"/>
      <w:r w:rsidRPr="004863B6">
        <w:rPr>
          <w:rFonts w:ascii="Verdana" w:hAnsi="Verdana"/>
        </w:rPr>
        <w:t>Acomp</w:t>
      </w:r>
      <w:proofErr w:type="spellEnd"/>
      <w:r w:rsidRPr="004863B6">
        <w:rPr>
          <w:rFonts w:ascii="Verdana" w:hAnsi="Verdana"/>
        </w:rPr>
        <w:t xml:space="preserve">. TC 2.831/15-02) ACÓRDÃO: "Vistos, relatados </w:t>
      </w:r>
      <w:proofErr w:type="spellStart"/>
      <w:r w:rsidRPr="004863B6">
        <w:rPr>
          <w:rFonts w:ascii="Verdana" w:hAnsi="Verdana"/>
        </w:rPr>
        <w:t>englobadamente</w:t>
      </w:r>
      <w:proofErr w:type="spellEnd"/>
      <w:r w:rsidRPr="004863B6">
        <w:rPr>
          <w:rFonts w:ascii="Verdana" w:hAnsi="Verdana"/>
        </w:rPr>
        <w:t xml:space="preserve"> os </w:t>
      </w:r>
      <w:proofErr w:type="spellStart"/>
      <w:r w:rsidRPr="004863B6">
        <w:rPr>
          <w:rFonts w:ascii="Verdana" w:hAnsi="Verdana"/>
        </w:rPr>
        <w:t>TCs</w:t>
      </w:r>
      <w:proofErr w:type="spellEnd"/>
      <w:r w:rsidRPr="004863B6">
        <w:rPr>
          <w:rFonts w:ascii="Verdana" w:hAnsi="Verdana"/>
        </w:rPr>
        <w:t xml:space="preserve"> 2.627/16-27 e 2.346/16-38 e discutidos estes autos, que tratam do exame das Contas da Agência São Paulo de Desenvolvimento – ADE SAMPA, relativas ao exercício de 2014, dos quais é Relator o Conselheiro Maurício Faria. Considerando que as demonstrações contábeis do exercício de 2014 foram elaboradas de acordo com a legislação pertinente, refletindo as transações ocorridas no respectivo exercício, apesar das ressalvas relativas a incoerências pontuais no Balanço Patrimonial e nas notas explicativas, conforme demonstrado no Relatório Anual de Fiscaliza- </w:t>
      </w:r>
      <w:proofErr w:type="spellStart"/>
      <w:r w:rsidRPr="004863B6">
        <w:rPr>
          <w:rFonts w:ascii="Verdana" w:hAnsi="Verdana"/>
        </w:rPr>
        <w:t>ção</w:t>
      </w:r>
      <w:proofErr w:type="spellEnd"/>
      <w:r w:rsidRPr="004863B6">
        <w:rPr>
          <w:rFonts w:ascii="Verdana" w:hAnsi="Verdana"/>
        </w:rPr>
        <w:t xml:space="preserve"> da ADE SAMPA, exercício de 2014, emitido pela Subsecretaria de Fiscalização e Controle; considerando, ainda, que os demais apontamentos realizados pela Auditoria, relativos a atos de gestão, foram reconhecidos pela Origem, tendo a mesma se manifestado pela adoção de medidas corretivas; considerando que os apontamentos realizados pela Auditoria não são suficientes para comprometer a regularidade das Contas analisadas, acordam os Conselheiros do Tribunal de Contas do Município de São Paulo, à unanimidade, de conformidade com o relatório e voto do Relator, em acolher as Contas da Agência São Paulo de Desenvolvimento – ADE SAMPA, relativas ao exercício de 2014, ressalvados os atos não apreciados e pendentes de julgamento. Acordam, ainda, à unanimidade, em ratificar as propostas de determinações do exercício de 2014, constantes do item 6.2 do relatório e voto do Relator, quais sejam: 6.2. Propostas de determinações do exercício de 2014 (conforme numeração original do RAF 2014). 6.2.1. Apresentar Demonstrações Contábeis sem incorreções (itens 4.1.3, 4.1.4, 4.2.1). 6.2.2. Elaborar e publicar, nas próximas demonstrações, notas explicativas contendo esclarecimentos acerca das gratuidades recebidas (item 4.4). 6.2.3. Seus órgãos superiores realizem reuniões na </w:t>
      </w:r>
      <w:proofErr w:type="gramStart"/>
      <w:r w:rsidRPr="004863B6">
        <w:rPr>
          <w:rFonts w:ascii="Verdana" w:hAnsi="Verdana"/>
        </w:rPr>
        <w:t>periodicidade</w:t>
      </w:r>
      <w:proofErr w:type="gramEnd"/>
      <w:r w:rsidRPr="004863B6">
        <w:rPr>
          <w:rFonts w:ascii="Verdana" w:hAnsi="Verdana"/>
        </w:rPr>
        <w:t xml:space="preserve"> </w:t>
      </w:r>
      <w:proofErr w:type="gramStart"/>
      <w:r w:rsidRPr="004863B6">
        <w:rPr>
          <w:rFonts w:ascii="Verdana" w:hAnsi="Verdana"/>
        </w:rPr>
        <w:t>definida</w:t>
      </w:r>
      <w:proofErr w:type="gramEnd"/>
      <w:r w:rsidRPr="004863B6">
        <w:rPr>
          <w:rFonts w:ascii="Verdana" w:hAnsi="Verdana"/>
        </w:rPr>
        <w:t xml:space="preserve"> no Estatuto e deem publicidade aos seus atos (itens 5.1.1 e 5.1.2). 6.2.4. Disponibilize </w:t>
      </w:r>
      <w:r w:rsidRPr="004863B6">
        <w:rPr>
          <w:rFonts w:ascii="Verdana" w:hAnsi="Verdana"/>
        </w:rPr>
        <w:lastRenderedPageBreak/>
        <w:t xml:space="preserve">em seu endereço eletrônico informa- </w:t>
      </w:r>
      <w:proofErr w:type="spellStart"/>
      <w:r w:rsidRPr="004863B6">
        <w:rPr>
          <w:rFonts w:ascii="Verdana" w:hAnsi="Verdana"/>
        </w:rPr>
        <w:t>ção</w:t>
      </w:r>
      <w:proofErr w:type="spellEnd"/>
      <w:r w:rsidRPr="004863B6">
        <w:rPr>
          <w:rFonts w:ascii="Verdana" w:hAnsi="Verdana"/>
        </w:rPr>
        <w:t xml:space="preserve"> dispondo cargos, atribuições e respectivas remunerações (item 5.2). 6.2.5. Realize contratações conforme disposto no manual próprio de licitações e de contratos (item 5.3). Acordam, afinal, à unanimidade, em determinar o envio de cópia deste Acórdão aos responsáveis e à Secretaria Municipal do Desenvolvimento, Trabalho e Empreendedorismo. Presente o Procurador Chefe da Fazenda Carlos José Galvão. Plenário Conselheiro Paulo Planet Buarque, </w:t>
      </w:r>
      <w:proofErr w:type="gramStart"/>
      <w:r w:rsidRPr="004863B6">
        <w:rPr>
          <w:rFonts w:ascii="Verdana" w:hAnsi="Verdana"/>
        </w:rPr>
        <w:t>9</w:t>
      </w:r>
      <w:proofErr w:type="gramEnd"/>
      <w:r w:rsidRPr="004863B6">
        <w:rPr>
          <w:rFonts w:ascii="Verdana" w:hAnsi="Verdana"/>
        </w:rPr>
        <w:t xml:space="preserve"> de maio de 2018. a) </w:t>
      </w:r>
      <w:proofErr w:type="gramStart"/>
      <w:r w:rsidRPr="004863B6">
        <w:rPr>
          <w:rFonts w:ascii="Verdana" w:hAnsi="Verdana"/>
        </w:rPr>
        <w:t xml:space="preserve">João Antonio – Presidente; a) Maurício Faria – Relator; a) Domingos </w:t>
      </w:r>
      <w:proofErr w:type="spellStart"/>
      <w:r w:rsidRPr="004863B6">
        <w:rPr>
          <w:rFonts w:ascii="Verdana" w:hAnsi="Verdana"/>
        </w:rPr>
        <w:t>Dissei</w:t>
      </w:r>
      <w:proofErr w:type="spellEnd"/>
      <w:r w:rsidRPr="004863B6">
        <w:rPr>
          <w:rFonts w:ascii="Verdana" w:hAnsi="Verdana"/>
        </w:rPr>
        <w:t xml:space="preserve"> – Revisor; a) Edson Simões – Conselheiro; a) Roberto </w:t>
      </w:r>
      <w:proofErr w:type="spellStart"/>
      <w:r w:rsidRPr="004863B6">
        <w:rPr>
          <w:rFonts w:ascii="Verdana" w:hAnsi="Verdana"/>
        </w:rPr>
        <w:t>Braguim</w:t>
      </w:r>
      <w:proofErr w:type="spellEnd"/>
      <w:r w:rsidRPr="004863B6">
        <w:rPr>
          <w:rFonts w:ascii="Verdana" w:hAnsi="Verdana"/>
        </w:rPr>
        <w:t xml:space="preserve"> – Conselheiro."</w:t>
      </w:r>
      <w:proofErr w:type="gramEnd"/>
      <w:r w:rsidRPr="004863B6">
        <w:rPr>
          <w:rFonts w:ascii="Verdana" w:hAnsi="Verdana"/>
        </w:rPr>
        <w:t xml:space="preserve"> 2) TC 2.346/16-38 – Agência São Paulo de Desenvolvimento – Balanço referente ao exercício de 2015 ACÓRDÃO: "Vistos, relatados </w:t>
      </w:r>
      <w:proofErr w:type="spellStart"/>
      <w:r w:rsidRPr="004863B6">
        <w:rPr>
          <w:rFonts w:ascii="Verdana" w:hAnsi="Verdana"/>
        </w:rPr>
        <w:t>englobadamente</w:t>
      </w:r>
      <w:proofErr w:type="spellEnd"/>
      <w:r w:rsidRPr="004863B6">
        <w:rPr>
          <w:rFonts w:ascii="Verdana" w:hAnsi="Verdana"/>
        </w:rPr>
        <w:t xml:space="preserve"> os </w:t>
      </w:r>
      <w:proofErr w:type="spellStart"/>
      <w:r w:rsidRPr="004863B6">
        <w:rPr>
          <w:rFonts w:ascii="Verdana" w:hAnsi="Verdana"/>
        </w:rPr>
        <w:t>TCs</w:t>
      </w:r>
      <w:proofErr w:type="spellEnd"/>
      <w:r w:rsidRPr="004863B6">
        <w:rPr>
          <w:rFonts w:ascii="Verdana" w:hAnsi="Verdana"/>
        </w:rPr>
        <w:t xml:space="preserve"> 2.627/16-27 e 2.346/16-38 e discutidos estes autos, que tratam do exame das Contas da Agência São Paulo de Desenvolvimento – ADE SAMPA, relativas ao exercício de 2015, dos quais é Relator o Conselheiro Maurício Faria. Considerando que as demonstrações contábeis dos </w:t>
      </w:r>
      <w:proofErr w:type="spellStart"/>
      <w:r w:rsidRPr="004863B6">
        <w:rPr>
          <w:rFonts w:ascii="Verdana" w:hAnsi="Verdana"/>
        </w:rPr>
        <w:t>exercí</w:t>
      </w:r>
      <w:proofErr w:type="spellEnd"/>
      <w:r w:rsidRPr="004863B6">
        <w:rPr>
          <w:rFonts w:ascii="Verdana" w:hAnsi="Verdana"/>
        </w:rPr>
        <w:t xml:space="preserve">- cios de 2015 foram </w:t>
      </w:r>
      <w:proofErr w:type="gramStart"/>
      <w:r w:rsidRPr="004863B6">
        <w:rPr>
          <w:rFonts w:ascii="Verdana" w:hAnsi="Verdana"/>
        </w:rPr>
        <w:t>elaboradas</w:t>
      </w:r>
      <w:proofErr w:type="gramEnd"/>
      <w:r w:rsidRPr="004863B6">
        <w:rPr>
          <w:rFonts w:ascii="Verdana" w:hAnsi="Verdana"/>
        </w:rPr>
        <w:t xml:space="preserve"> de acordo com a legislação pertinente, refletindo as transações ocorridas no respectivo exercício, apesar das ressalvas relativas a incoerências pontuais no </w:t>
      </w:r>
      <w:proofErr w:type="spellStart"/>
      <w:r w:rsidRPr="004863B6">
        <w:rPr>
          <w:rFonts w:ascii="Verdana" w:hAnsi="Verdana"/>
        </w:rPr>
        <w:t>Balan</w:t>
      </w:r>
      <w:proofErr w:type="spellEnd"/>
      <w:r w:rsidRPr="004863B6">
        <w:rPr>
          <w:rFonts w:ascii="Verdana" w:hAnsi="Verdana"/>
        </w:rPr>
        <w:t xml:space="preserve">- </w:t>
      </w:r>
      <w:proofErr w:type="spellStart"/>
      <w:r w:rsidRPr="004863B6">
        <w:rPr>
          <w:rFonts w:ascii="Verdana" w:hAnsi="Verdana"/>
        </w:rPr>
        <w:t>ço</w:t>
      </w:r>
      <w:proofErr w:type="spellEnd"/>
      <w:r w:rsidRPr="004863B6">
        <w:rPr>
          <w:rFonts w:ascii="Verdana" w:hAnsi="Verdana"/>
        </w:rPr>
        <w:t xml:space="preserve"> Patrimonial e nas notas explicativas, conforme demonstrado nos Relatórios Anuais de Fiscalização da ADE SAMPA, exercício de 2015, emitido pela Subsecretaria de Fiscalização e Controle; considerando, ainda, que os demais apontamentos realizados pela Auditoria, relativos a atos de gestão, foram reconhecidos pela Origem, tendo a mesma se manifestado pela adoção de medidas corretivas; considerando que os apontamentos realizados pela Auditoria não são suficientes para comprometer a regularidade das Contas analisadas, acordam os Conselheiros do Tribunal de Contas do Município de São Paulo, à unanimidade, de conformidade com o relatório e voto do Relator, em acolher as Contas da Agência São Paulo de Desenvolvimento – ADE SAMPA, relativas ao exercício de 2015, ressalvados os atos não apreciados e pendentes de julgamento. Acordam, ainda, à unanimidade, em ratificar as propostas de determinações do exercício de 2015, constante do item 7.2 do relatório e voto do Relator, quais sejam: 7.2 - Propostas de determinações do exercício de 2015 (conforme numeração original do RAF 2015). 7.2.1 - Elaborar e publicar, nas próximas demonstrações, notas explicativas contendo esclarecimentos acerca das gratuidades recebidas (item 4.4) e esclarecimentos sobre os valores envolvidos na discussão acerca do pró-labore da diretoria prévios à assinatura do contrato de gestão, com a explicitação integral de todos os valores envolvidos (item 6.1). 7.2.2 - Seus órgãos superiores realizem reuniões na periodicidade definida no Estatuto e promovam publicidade aos seus atos (itens 5.1.1 e 5.1.2). 7.2.3 - Disponibilize em seu endereço eletrônico informação dispondo sobre cargos, atribui- </w:t>
      </w:r>
      <w:proofErr w:type="spellStart"/>
      <w:r w:rsidRPr="004863B6">
        <w:rPr>
          <w:rFonts w:ascii="Verdana" w:hAnsi="Verdana"/>
        </w:rPr>
        <w:t>ções</w:t>
      </w:r>
      <w:proofErr w:type="spellEnd"/>
      <w:r w:rsidRPr="004863B6">
        <w:rPr>
          <w:rFonts w:ascii="Verdana" w:hAnsi="Verdana"/>
        </w:rPr>
        <w:t xml:space="preserve"> e respectivas remunerações, de outra parte, adeque e mantenha o Quadro de Pessoal e a relação de cargos disposta no “Plano de cargos e salários institucional” (item 5.2); 7.2.4 - Avaliar a necessidade de provisionamento contábil para a eventual rescisão coletiva do quadro de pessoal da ADE SAMPA, no exercício de 2016 (item 6.2). Acordam, também, à unanimidade, nos </w:t>
      </w:r>
      <w:r w:rsidRPr="004863B6">
        <w:rPr>
          <w:rFonts w:ascii="Verdana" w:hAnsi="Verdana"/>
        </w:rPr>
        <w:lastRenderedPageBreak/>
        <w:t xml:space="preserve">termos da proposta formulada pelo Conselheiro Edson Simões, em determinar à ADE SAMPA que as próximas Contas anuais sejam acompanhadas do relatório de gestão, com o intuito de que as ações realizadas sejam analisadas detalhadamente pela Auditoria desta Corte, comprovando o atendimento ou não de seu objeto. Acordam, afinal, à unanimidade, em determinar o envio de cópia deste Acórdão aos responsáveis e à Secretaria Municipal do Desenvolvimento, Trabalho e Empreendedorismo. Presente o Procurador Chefe da Fazenda Carlos José Galvão. Plenário Conselheiro Paulo Planet Buarque, </w:t>
      </w:r>
      <w:proofErr w:type="gramStart"/>
      <w:r w:rsidRPr="004863B6">
        <w:rPr>
          <w:rFonts w:ascii="Verdana" w:hAnsi="Verdana"/>
        </w:rPr>
        <w:t>9</w:t>
      </w:r>
      <w:proofErr w:type="gramEnd"/>
      <w:r w:rsidRPr="004863B6">
        <w:rPr>
          <w:rFonts w:ascii="Verdana" w:hAnsi="Verdana"/>
        </w:rPr>
        <w:t xml:space="preserve"> de maio de 2018. a) </w:t>
      </w:r>
      <w:proofErr w:type="gramStart"/>
      <w:r w:rsidRPr="004863B6">
        <w:rPr>
          <w:rFonts w:ascii="Verdana" w:hAnsi="Verdana"/>
        </w:rPr>
        <w:t xml:space="preserve">João Antonio – Presidente; a) Maurício Faria – Relator; a) Domingos </w:t>
      </w:r>
      <w:proofErr w:type="spellStart"/>
      <w:r w:rsidRPr="004863B6">
        <w:rPr>
          <w:rFonts w:ascii="Verdana" w:hAnsi="Verdana"/>
        </w:rPr>
        <w:t>Dissei</w:t>
      </w:r>
      <w:proofErr w:type="spellEnd"/>
      <w:r w:rsidRPr="004863B6">
        <w:rPr>
          <w:rFonts w:ascii="Verdana" w:hAnsi="Verdana"/>
        </w:rPr>
        <w:t xml:space="preserve"> – Revisor; a) Edson Simões – Conselheiro; a) Roberto </w:t>
      </w:r>
      <w:proofErr w:type="spellStart"/>
      <w:r w:rsidRPr="004863B6">
        <w:rPr>
          <w:rFonts w:ascii="Verdana" w:hAnsi="Verdana"/>
        </w:rPr>
        <w:t>Braguim</w:t>
      </w:r>
      <w:proofErr w:type="spellEnd"/>
      <w:r w:rsidRPr="004863B6">
        <w:rPr>
          <w:rFonts w:ascii="Verdana" w:hAnsi="Verdana"/>
        </w:rPr>
        <w:t xml:space="preserve"> – Conselheiro."</w:t>
      </w:r>
      <w:proofErr w:type="gramEnd"/>
      <w:r w:rsidRPr="004863B6">
        <w:rPr>
          <w:rFonts w:ascii="Verdana" w:hAnsi="Verdana"/>
        </w:rPr>
        <w:t xml:space="preserve"> Prosseguindo, o Conselheiro Presidente João Antonio concedeu a palavra aos Senhores Conselheiros e à Procuradoria da Fazenda Municipal, para as considerações finais. Nada mais havendo a tratar, às 12h55min, o Presidente encerrou a sessão, da qual foi lavrada a presente ata, que vai subscrita por mim, Ricardo E. L. O. </w:t>
      </w:r>
      <w:proofErr w:type="spellStart"/>
      <w:r w:rsidRPr="004863B6">
        <w:rPr>
          <w:rFonts w:ascii="Verdana" w:hAnsi="Verdana"/>
        </w:rPr>
        <w:t>Panato</w:t>
      </w:r>
      <w:proofErr w:type="spellEnd"/>
      <w:r w:rsidRPr="004863B6">
        <w:rPr>
          <w:rFonts w:ascii="Verdana" w:hAnsi="Verdana"/>
        </w:rPr>
        <w:t xml:space="preserve">, </w:t>
      </w:r>
      <w:proofErr w:type="spellStart"/>
      <w:r w:rsidRPr="004863B6">
        <w:rPr>
          <w:rFonts w:ascii="Verdana" w:hAnsi="Verdana"/>
        </w:rPr>
        <w:t>Secretá</w:t>
      </w:r>
      <w:proofErr w:type="spellEnd"/>
      <w:r w:rsidRPr="004863B6">
        <w:rPr>
          <w:rFonts w:ascii="Verdana" w:hAnsi="Verdana"/>
        </w:rPr>
        <w:t>- rio-Geral, e assinada pelo Presidente, pelos Conselheiros, pelo Procurador Chefe da Fazenda e pelo Procurador</w:t>
      </w: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rPr>
          <w:rFonts w:ascii="Verdana" w:hAnsi="Verdana"/>
          <w:b/>
        </w:rPr>
      </w:pPr>
      <w:r w:rsidRPr="004863B6">
        <w:rPr>
          <w:rFonts w:ascii="Verdana" w:hAnsi="Verdana"/>
          <w:b/>
        </w:rPr>
        <w:t>PROCESSOS TC 72.002.627/16-27 (EXERCÍCIO 2014), 72.002.831/15-02 (ACOMPANHANTE) E 72.002.346/16-38 (EXERCÍCIO 2015)</w:t>
      </w:r>
      <w:r>
        <w:rPr>
          <w:rFonts w:ascii="Verdana" w:hAnsi="Verdana"/>
          <w:b/>
        </w:rPr>
        <w:t>.</w:t>
      </w:r>
    </w:p>
    <w:p w:rsidR="004863B6" w:rsidRDefault="004863B6" w:rsidP="004527E9">
      <w:pPr>
        <w:tabs>
          <w:tab w:val="left" w:pos="1323"/>
        </w:tabs>
        <w:spacing w:after="0" w:line="240" w:lineRule="auto"/>
        <w:jc w:val="both"/>
        <w:rPr>
          <w:rFonts w:ascii="Verdana" w:hAnsi="Verdana"/>
          <w:b/>
        </w:rPr>
      </w:pPr>
    </w:p>
    <w:p w:rsidR="004863B6" w:rsidRDefault="004863B6" w:rsidP="004527E9">
      <w:pPr>
        <w:tabs>
          <w:tab w:val="left" w:pos="1323"/>
        </w:tabs>
        <w:spacing w:after="0" w:line="240" w:lineRule="auto"/>
        <w:jc w:val="both"/>
        <w:rPr>
          <w:rFonts w:ascii="Verdana" w:hAnsi="Verdana"/>
        </w:rPr>
      </w:pPr>
      <w:r w:rsidRPr="004863B6">
        <w:rPr>
          <w:rFonts w:ascii="Verdana" w:hAnsi="Verdana"/>
        </w:rPr>
        <w:t>ADE SAMPA - AGÊNCIA SÃO PAULO DE DESENVOLVIMENTO EXERCÍCIOS 2014 e 2015</w:t>
      </w:r>
      <w:r>
        <w:rPr>
          <w:rFonts w:ascii="Verdana" w:hAnsi="Verdana"/>
        </w:rPr>
        <w:t>.</w:t>
      </w:r>
    </w:p>
    <w:p w:rsidR="004863B6" w:rsidRDefault="004863B6" w:rsidP="004527E9">
      <w:pPr>
        <w:tabs>
          <w:tab w:val="left" w:pos="1323"/>
        </w:tabs>
        <w:spacing w:after="0" w:line="240" w:lineRule="auto"/>
        <w:jc w:val="both"/>
        <w:rPr>
          <w:rFonts w:ascii="Verdana" w:hAnsi="Verdana"/>
        </w:rPr>
      </w:pPr>
    </w:p>
    <w:p w:rsidR="004863B6" w:rsidRDefault="004863B6" w:rsidP="004527E9">
      <w:pPr>
        <w:tabs>
          <w:tab w:val="left" w:pos="1323"/>
        </w:tabs>
        <w:spacing w:after="0" w:line="240" w:lineRule="auto"/>
        <w:jc w:val="both"/>
        <w:rPr>
          <w:rFonts w:ascii="Verdana" w:hAnsi="Verdana"/>
          <w:b/>
        </w:rPr>
      </w:pPr>
      <w:r w:rsidRPr="004863B6">
        <w:rPr>
          <w:rFonts w:ascii="Verdana" w:hAnsi="Verdana"/>
          <w:b/>
        </w:rPr>
        <w:t>INTRODUÇÃO</w:t>
      </w:r>
    </w:p>
    <w:p w:rsidR="004863B6" w:rsidRPr="004863B6" w:rsidRDefault="004863B6" w:rsidP="004527E9">
      <w:pPr>
        <w:tabs>
          <w:tab w:val="left" w:pos="1323"/>
        </w:tabs>
        <w:spacing w:after="0" w:line="240" w:lineRule="auto"/>
        <w:jc w:val="both"/>
        <w:rPr>
          <w:rFonts w:ascii="Verdana" w:hAnsi="Verdana"/>
          <w:b/>
        </w:rPr>
      </w:pPr>
    </w:p>
    <w:p w:rsidR="004863B6" w:rsidRDefault="004863B6" w:rsidP="004527E9">
      <w:pPr>
        <w:tabs>
          <w:tab w:val="left" w:pos="1323"/>
        </w:tabs>
        <w:spacing w:after="0" w:line="240" w:lineRule="auto"/>
        <w:jc w:val="both"/>
        <w:rPr>
          <w:rFonts w:ascii="Verdana" w:hAnsi="Verdana"/>
        </w:rPr>
      </w:pPr>
      <w:r w:rsidRPr="004863B6">
        <w:rPr>
          <w:rFonts w:ascii="Verdana" w:hAnsi="Verdana"/>
        </w:rPr>
        <w:t xml:space="preserve"> </w:t>
      </w:r>
      <w:r w:rsidR="001532D2">
        <w:rPr>
          <w:rFonts w:ascii="Verdana" w:hAnsi="Verdana"/>
        </w:rPr>
        <w:t xml:space="preserve">  </w:t>
      </w:r>
      <w:r w:rsidRPr="004863B6">
        <w:rPr>
          <w:rFonts w:ascii="Verdana" w:hAnsi="Verdana"/>
        </w:rPr>
        <w:t xml:space="preserve">A Agência São Paulo de Desenvolvimento (Ade Sampa) é pessoa jurídica de direito privado sem fins lucrativos, de interesse coletivo e de utilidade pública, qualificada como Serviço Social Autônomo, vinculada à Secretaria Municipal do Desenvolvimento, Trabalho e Empreendedorismo (SDTE), cujo objeto é promoção do crescimento econômico e a geração de empregos no Município de São Paulo, por meio do fortalecimento </w:t>
      </w:r>
      <w:proofErr w:type="gramStart"/>
      <w:r w:rsidRPr="004863B6">
        <w:rPr>
          <w:rFonts w:ascii="Verdana" w:hAnsi="Verdana"/>
        </w:rPr>
        <w:t>das micro</w:t>
      </w:r>
      <w:proofErr w:type="gramEnd"/>
      <w:r w:rsidRPr="004863B6">
        <w:rPr>
          <w:rFonts w:ascii="Verdana" w:hAnsi="Verdana"/>
        </w:rPr>
        <w:t>, pequenas e médias empresas e cooperativas.</w:t>
      </w:r>
    </w:p>
    <w:p w:rsidR="001532D2" w:rsidRPr="001532D2" w:rsidRDefault="001532D2" w:rsidP="004527E9">
      <w:pPr>
        <w:tabs>
          <w:tab w:val="left" w:pos="1323"/>
        </w:tabs>
        <w:spacing w:after="0" w:line="240" w:lineRule="auto"/>
        <w:jc w:val="both"/>
        <w:rPr>
          <w:rFonts w:ascii="Verdana" w:hAnsi="Verdana"/>
        </w:rPr>
      </w:pPr>
      <w:r w:rsidRPr="001532D2">
        <w:rPr>
          <w:rFonts w:ascii="Verdana" w:hAnsi="Verdana"/>
        </w:rPr>
        <w:t xml:space="preserve">  </w:t>
      </w:r>
      <w:r>
        <w:rPr>
          <w:rFonts w:ascii="Verdana" w:hAnsi="Verdana"/>
        </w:rPr>
        <w:t xml:space="preserve"> </w:t>
      </w:r>
      <w:r w:rsidRPr="001532D2">
        <w:rPr>
          <w:rFonts w:ascii="Verdana" w:hAnsi="Verdana"/>
        </w:rPr>
        <w:t>A referida agência foi instituída pela Prefeitura do Município de São Paulo (PMSP), por autorização da Lei Municipal n° 15.838/2013, regulamentada pelo Decreto nº 54.569/2013, com Estatuto Social ratificado pelo Decreto nº 54.661/2013.</w:t>
      </w:r>
    </w:p>
    <w:p w:rsidR="001532D2" w:rsidRDefault="001532D2" w:rsidP="004527E9">
      <w:pPr>
        <w:tabs>
          <w:tab w:val="left" w:pos="1323"/>
        </w:tabs>
        <w:spacing w:after="0" w:line="240" w:lineRule="auto"/>
        <w:jc w:val="both"/>
        <w:rPr>
          <w:rFonts w:ascii="Verdana" w:hAnsi="Verdana"/>
        </w:rPr>
      </w:pPr>
      <w:r w:rsidRPr="001532D2">
        <w:rPr>
          <w:rFonts w:ascii="Verdana" w:hAnsi="Verdana"/>
        </w:rPr>
        <w:t xml:space="preserve">  Nesse sentido, a Ade Sampa teve a inscrição de seu Estatuto Social no Cartório de Registro Civil de Pessoas Jurídicas em 24.09.2014, o que corresponde à data do seu efetivo funcionamento, nos termos do art. 2º da Lei nº 15.838/2013 e do art. 10º do Decreto nº 54.569/2013.</w:t>
      </w:r>
    </w:p>
    <w:p w:rsidR="001532D2" w:rsidRDefault="001532D2" w:rsidP="004527E9">
      <w:pPr>
        <w:tabs>
          <w:tab w:val="left" w:pos="1323"/>
        </w:tabs>
        <w:spacing w:after="0" w:line="240" w:lineRule="auto"/>
        <w:jc w:val="both"/>
        <w:rPr>
          <w:rFonts w:ascii="Verdana" w:hAnsi="Verdana"/>
        </w:rPr>
      </w:pPr>
      <w:r>
        <w:rPr>
          <w:rFonts w:ascii="Verdana" w:hAnsi="Verdana"/>
          <w:b/>
        </w:rPr>
        <w:t xml:space="preserve">   </w:t>
      </w:r>
      <w:r w:rsidRPr="001532D2">
        <w:rPr>
          <w:rFonts w:ascii="Verdana" w:hAnsi="Verdana"/>
        </w:rPr>
        <w:t xml:space="preserve">Aos 19.11.2014, foi celebrado o Contrato de Gestão nº 11/2014 entre a Ade Sampa e a PMSP, através da SDTE. Cabe destacar, ainda, o conteúdo do Decreto nº 55.462/2013, de 29.08.2014, que regulamenta o Programa </w:t>
      </w:r>
      <w:r w:rsidRPr="001532D2">
        <w:rPr>
          <w:rFonts w:ascii="Verdana" w:hAnsi="Verdana"/>
        </w:rPr>
        <w:lastRenderedPageBreak/>
        <w:t xml:space="preserve">para Valorização de Iniciativas Tecnológicas (Vai </w:t>
      </w:r>
      <w:proofErr w:type="spellStart"/>
      <w:r w:rsidRPr="001532D2">
        <w:rPr>
          <w:rFonts w:ascii="Verdana" w:hAnsi="Verdana"/>
        </w:rPr>
        <w:t>Tec</w:t>
      </w:r>
      <w:proofErr w:type="spellEnd"/>
      <w:r w:rsidRPr="001532D2">
        <w:rPr>
          <w:rFonts w:ascii="Verdana" w:hAnsi="Verdana"/>
        </w:rPr>
        <w:t>), instituído no âmbito da Ade Sampa, com a finalidade prevista no inc. VI, do parágrafo único, do art. 3º da Lei nº 15.838/2013, qual seja, apoiar financeiramente, por meio de subsídios, atividades inovadoras e, em especial, as ligadas à Tecnologia da Informação e Comunicação – TIC bem como objetivos definidos no art. 23 do diploma citado. Em 2015, foram selecionados 67 projetos e, com uma desistência, totalizaram R$ 1.589.932,47 em subsídios</w:t>
      </w:r>
      <w:r>
        <w:rPr>
          <w:rFonts w:ascii="Verdana" w:hAnsi="Verdana"/>
        </w:rPr>
        <w:t>.</w:t>
      </w:r>
    </w:p>
    <w:p w:rsidR="001532D2" w:rsidRDefault="001532D2" w:rsidP="004527E9">
      <w:pPr>
        <w:tabs>
          <w:tab w:val="left" w:pos="1323"/>
        </w:tabs>
        <w:spacing w:after="0" w:line="240" w:lineRule="auto"/>
        <w:jc w:val="both"/>
        <w:rPr>
          <w:rFonts w:ascii="Verdana" w:hAnsi="Verdana"/>
        </w:rPr>
      </w:pPr>
    </w:p>
    <w:p w:rsidR="001532D2" w:rsidRPr="001532D2" w:rsidRDefault="001532D2" w:rsidP="004527E9">
      <w:pPr>
        <w:tabs>
          <w:tab w:val="left" w:pos="1323"/>
        </w:tabs>
        <w:spacing w:after="0" w:line="240" w:lineRule="auto"/>
        <w:jc w:val="both"/>
        <w:rPr>
          <w:rFonts w:ascii="Verdana" w:hAnsi="Verdana"/>
          <w:b/>
        </w:rPr>
      </w:pPr>
      <w:r w:rsidRPr="001532D2">
        <w:rPr>
          <w:rFonts w:ascii="Verdana" w:hAnsi="Verdana"/>
          <w:b/>
        </w:rPr>
        <w:t xml:space="preserve">PRESTAÇÃO DE CONTAS </w:t>
      </w:r>
    </w:p>
    <w:p w:rsidR="001532D2" w:rsidRDefault="001532D2" w:rsidP="004527E9">
      <w:pPr>
        <w:tabs>
          <w:tab w:val="left" w:pos="1323"/>
        </w:tabs>
        <w:spacing w:after="0" w:line="240" w:lineRule="auto"/>
        <w:jc w:val="both"/>
        <w:rPr>
          <w:rFonts w:ascii="Verdana" w:hAnsi="Verdana"/>
        </w:rPr>
      </w:pPr>
      <w:r>
        <w:rPr>
          <w:rFonts w:ascii="Verdana" w:hAnsi="Verdana"/>
        </w:rPr>
        <w:t xml:space="preserve">   </w:t>
      </w:r>
      <w:r w:rsidRPr="001532D2">
        <w:rPr>
          <w:rFonts w:ascii="Verdana" w:hAnsi="Verdana"/>
        </w:rPr>
        <w:t xml:space="preserve">A Ade Sampa encaminhou a documentação que compõe a Prestação de Contas relativas aos exercícios de 2014 e 2015, para apreciação e julgamento do TCMSP, conforme petições protocoladas, respectivamente, em 31.03.2015 e 31/03/2016. </w:t>
      </w:r>
    </w:p>
    <w:p w:rsidR="001532D2" w:rsidRDefault="001532D2" w:rsidP="004527E9">
      <w:pPr>
        <w:tabs>
          <w:tab w:val="left" w:pos="1323"/>
        </w:tabs>
        <w:spacing w:after="0" w:line="240" w:lineRule="auto"/>
        <w:jc w:val="both"/>
        <w:rPr>
          <w:rFonts w:ascii="Verdana" w:hAnsi="Verdana"/>
        </w:rPr>
      </w:pPr>
      <w:r>
        <w:rPr>
          <w:rFonts w:ascii="Verdana" w:hAnsi="Verdana"/>
        </w:rPr>
        <w:t xml:space="preserve">   </w:t>
      </w:r>
      <w:r w:rsidRPr="001532D2">
        <w:rPr>
          <w:rFonts w:ascii="Verdana" w:hAnsi="Verdana"/>
        </w:rPr>
        <w:t>O encaminhamento das contas das gestões anuais foi realizado em cumprimento ao disposto nos artigos 18, § 2º e 20, II, da Lei Municipal n.º 15.838/2013, no artigo 35 do Decreto nº 54.661/13, no item 2.1.14 do Contrato de Gestão nº 11/2014 e no artigo 74 do Regimento Interno do TCMSP.</w:t>
      </w:r>
    </w:p>
    <w:p w:rsidR="001532D2" w:rsidRDefault="001532D2" w:rsidP="004527E9">
      <w:pPr>
        <w:tabs>
          <w:tab w:val="left" w:pos="1323"/>
        </w:tabs>
        <w:spacing w:after="0" w:line="240" w:lineRule="auto"/>
        <w:jc w:val="both"/>
        <w:rPr>
          <w:rFonts w:ascii="Verdana" w:hAnsi="Verdana"/>
        </w:rPr>
      </w:pPr>
    </w:p>
    <w:p w:rsidR="001532D2" w:rsidRPr="001532D2" w:rsidRDefault="001532D2" w:rsidP="004527E9">
      <w:pPr>
        <w:tabs>
          <w:tab w:val="left" w:pos="1323"/>
        </w:tabs>
        <w:spacing w:after="0" w:line="240" w:lineRule="auto"/>
        <w:jc w:val="both"/>
        <w:rPr>
          <w:rFonts w:ascii="Verdana" w:hAnsi="Verdana"/>
          <w:b/>
        </w:rPr>
      </w:pPr>
      <w:r w:rsidRPr="001532D2">
        <w:rPr>
          <w:rFonts w:ascii="Verdana" w:hAnsi="Verdana"/>
          <w:b/>
        </w:rPr>
        <w:t>Demonstrações Contábeis</w:t>
      </w:r>
    </w:p>
    <w:p w:rsidR="001532D2" w:rsidRDefault="001532D2" w:rsidP="004527E9">
      <w:pPr>
        <w:tabs>
          <w:tab w:val="left" w:pos="1323"/>
        </w:tabs>
        <w:spacing w:after="0" w:line="240" w:lineRule="auto"/>
        <w:jc w:val="both"/>
        <w:rPr>
          <w:rFonts w:ascii="Verdana" w:hAnsi="Verdana"/>
        </w:rPr>
      </w:pPr>
      <w:r w:rsidRPr="001532D2">
        <w:rPr>
          <w:rFonts w:ascii="Verdana" w:hAnsi="Verdana"/>
        </w:rPr>
        <w:t xml:space="preserve"> </w:t>
      </w:r>
      <w:r>
        <w:rPr>
          <w:rFonts w:ascii="Verdana" w:hAnsi="Verdana"/>
        </w:rPr>
        <w:t xml:space="preserve">  </w:t>
      </w:r>
      <w:r w:rsidRPr="001532D2">
        <w:rPr>
          <w:rFonts w:ascii="Verdana" w:hAnsi="Verdana"/>
        </w:rPr>
        <w:t xml:space="preserve">As Demonstrações Contábeis foram elaboradas de acordo com as Normas Brasileiras de Contabilidade (NBC), em especial na NBC TG 1000 e a ITG 2002 (R1), tendo sido apresentados para apreciação o Balanço Patrimonial, Demonstração dos Resultados, Demonstração das Mutações do Patrimônio Líquido, Demonstração do Fluxo de Caixa e Notas </w:t>
      </w:r>
      <w:proofErr w:type="gramStart"/>
      <w:r w:rsidRPr="001532D2">
        <w:rPr>
          <w:rFonts w:ascii="Verdana" w:hAnsi="Verdana"/>
        </w:rPr>
        <w:t>Explicativas</w:t>
      </w:r>
      <w:proofErr w:type="gramEnd"/>
    </w:p>
    <w:p w:rsidR="001532D2" w:rsidRDefault="001532D2" w:rsidP="004527E9">
      <w:pPr>
        <w:tabs>
          <w:tab w:val="left" w:pos="1323"/>
        </w:tabs>
        <w:spacing w:after="0" w:line="240" w:lineRule="auto"/>
        <w:jc w:val="both"/>
        <w:rPr>
          <w:rFonts w:ascii="Verdana" w:hAnsi="Verdana"/>
        </w:rPr>
      </w:pPr>
    </w:p>
    <w:p w:rsidR="001532D2" w:rsidRPr="001532D2" w:rsidRDefault="001532D2" w:rsidP="004527E9">
      <w:pPr>
        <w:tabs>
          <w:tab w:val="left" w:pos="1323"/>
        </w:tabs>
        <w:spacing w:after="0" w:line="240" w:lineRule="auto"/>
        <w:jc w:val="both"/>
        <w:rPr>
          <w:rFonts w:ascii="Verdana" w:hAnsi="Verdana"/>
          <w:b/>
        </w:rPr>
      </w:pPr>
      <w:r w:rsidRPr="001532D2">
        <w:rPr>
          <w:rFonts w:ascii="Verdana" w:hAnsi="Verdana"/>
          <w:b/>
        </w:rPr>
        <w:t xml:space="preserve">Parecer de Auditoria Independente/Parecer do Conselho Fiscal e Conselho Deliberativo </w:t>
      </w:r>
    </w:p>
    <w:p w:rsidR="001532D2" w:rsidRDefault="001532D2" w:rsidP="004527E9">
      <w:pPr>
        <w:tabs>
          <w:tab w:val="left" w:pos="1323"/>
        </w:tabs>
        <w:spacing w:after="0" w:line="240" w:lineRule="auto"/>
        <w:jc w:val="both"/>
        <w:rPr>
          <w:rFonts w:ascii="Verdana" w:hAnsi="Verdana"/>
        </w:rPr>
      </w:pPr>
      <w:r>
        <w:t xml:space="preserve">    </w:t>
      </w:r>
      <w:r w:rsidRPr="001532D2">
        <w:rPr>
          <w:rFonts w:ascii="Verdana" w:hAnsi="Verdana"/>
        </w:rPr>
        <w:t xml:space="preserve">As demonstrações contábeis do exercício de 2014 receberam parecer </w:t>
      </w:r>
      <w:proofErr w:type="gramStart"/>
      <w:r w:rsidRPr="001532D2">
        <w:rPr>
          <w:rFonts w:ascii="Verdana" w:hAnsi="Verdana"/>
        </w:rPr>
        <w:t>favorável</w:t>
      </w:r>
      <w:proofErr w:type="gramEnd"/>
      <w:r w:rsidRPr="001532D2">
        <w:rPr>
          <w:rFonts w:ascii="Verdana" w:hAnsi="Verdana"/>
        </w:rPr>
        <w:t xml:space="preserve"> da empresa de auditoria independente </w:t>
      </w:r>
      <w:proofErr w:type="spellStart"/>
      <w:r w:rsidRPr="001532D2">
        <w:rPr>
          <w:rFonts w:ascii="Verdana" w:hAnsi="Verdana"/>
        </w:rPr>
        <w:t>Peppe</w:t>
      </w:r>
      <w:proofErr w:type="spellEnd"/>
      <w:r w:rsidRPr="001532D2">
        <w:rPr>
          <w:rFonts w:ascii="Verdana" w:hAnsi="Verdana"/>
        </w:rPr>
        <w:t xml:space="preserve"> Associados Consultores &amp; Auditores Independentes, tendo sido aprovadas com ressalva pelo Conselho Fiscal, em relação às despesas com pagamento de pessoal anteriores à assinatura do contrato de gestão, as quais determinou serem representadas na contabilidade do exercício de 2015 em rubrica própria e de fácil identificação, em razão da análise de sua regularidade mostrar-se pendente. O Conselho Deliberativo também se manifestou pela aprovação com a mesma ressalva, além de outras despesas de pequena monta contraídas sem a observância de formalidades legais, deliberando pela glosa dos valores até o deslinde definitivo da questão</w:t>
      </w:r>
      <w:r>
        <w:rPr>
          <w:rFonts w:ascii="Verdana" w:hAnsi="Verdana"/>
        </w:rPr>
        <w:t>.</w:t>
      </w:r>
    </w:p>
    <w:p w:rsidR="001532D2" w:rsidRDefault="001532D2" w:rsidP="004527E9">
      <w:pPr>
        <w:tabs>
          <w:tab w:val="left" w:pos="1323"/>
        </w:tabs>
        <w:spacing w:after="0" w:line="240" w:lineRule="auto"/>
        <w:jc w:val="both"/>
        <w:rPr>
          <w:rFonts w:ascii="Verdana" w:hAnsi="Verdana"/>
        </w:rPr>
      </w:pPr>
      <w:r>
        <w:rPr>
          <w:rFonts w:ascii="Verdana" w:hAnsi="Verdana"/>
        </w:rPr>
        <w:t xml:space="preserve">  </w:t>
      </w:r>
      <w:r w:rsidRPr="001532D2">
        <w:rPr>
          <w:rFonts w:ascii="Verdana" w:hAnsi="Verdana"/>
        </w:rPr>
        <w:t xml:space="preserve">As demonstrações contábeis do exercício de 2015 receberam parecer </w:t>
      </w:r>
      <w:proofErr w:type="gramStart"/>
      <w:r w:rsidRPr="001532D2">
        <w:rPr>
          <w:rFonts w:ascii="Verdana" w:hAnsi="Verdana"/>
        </w:rPr>
        <w:t>favorável</w:t>
      </w:r>
      <w:proofErr w:type="gramEnd"/>
      <w:r w:rsidRPr="001532D2">
        <w:rPr>
          <w:rFonts w:ascii="Verdana" w:hAnsi="Verdana"/>
        </w:rPr>
        <w:t xml:space="preserve"> da empresa de auditoria independente </w:t>
      </w:r>
      <w:proofErr w:type="spellStart"/>
      <w:r w:rsidRPr="001532D2">
        <w:rPr>
          <w:rFonts w:ascii="Verdana" w:hAnsi="Verdana"/>
        </w:rPr>
        <w:t>Galloro</w:t>
      </w:r>
      <w:proofErr w:type="spellEnd"/>
      <w:r w:rsidRPr="001532D2">
        <w:rPr>
          <w:rFonts w:ascii="Verdana" w:hAnsi="Verdana"/>
        </w:rPr>
        <w:t xml:space="preserve"> &amp; Associados Auditores Independentes, tendo sido aprovadas pelo Conselho Fiscal e pelo Conselho Deliberativo.</w:t>
      </w:r>
    </w:p>
    <w:p w:rsidR="001532D2" w:rsidRDefault="001532D2" w:rsidP="004527E9">
      <w:pPr>
        <w:tabs>
          <w:tab w:val="left" w:pos="1323"/>
        </w:tabs>
        <w:spacing w:after="0" w:line="240" w:lineRule="auto"/>
        <w:jc w:val="both"/>
        <w:rPr>
          <w:rFonts w:ascii="Verdana" w:hAnsi="Verdana"/>
        </w:rPr>
      </w:pPr>
    </w:p>
    <w:p w:rsidR="001532D2" w:rsidRDefault="001532D2" w:rsidP="004527E9">
      <w:pPr>
        <w:tabs>
          <w:tab w:val="left" w:pos="1323"/>
        </w:tabs>
        <w:spacing w:after="0" w:line="240" w:lineRule="auto"/>
        <w:jc w:val="both"/>
        <w:rPr>
          <w:rFonts w:ascii="Verdana" w:hAnsi="Verdana"/>
          <w:b/>
        </w:rPr>
      </w:pPr>
      <w:r>
        <w:rPr>
          <w:rFonts w:ascii="Verdana" w:hAnsi="Verdana"/>
          <w:b/>
          <w:noProof/>
          <w:lang w:eastAsia="pt-BR"/>
        </w:rPr>
        <w:lastRenderedPageBreak/>
        <w:drawing>
          <wp:inline distT="0" distB="0" distL="0" distR="0">
            <wp:extent cx="6039293" cy="3268968"/>
            <wp:effectExtent l="0" t="0" r="0" b="825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7842" cy="3268182"/>
                    </a:xfrm>
                    <a:prstGeom prst="rect">
                      <a:avLst/>
                    </a:prstGeom>
                    <a:noFill/>
                    <a:ln>
                      <a:noFill/>
                    </a:ln>
                  </pic:spPr>
                </pic:pic>
              </a:graphicData>
            </a:graphic>
          </wp:inline>
        </w:drawing>
      </w:r>
    </w:p>
    <w:p w:rsidR="001532D2" w:rsidRDefault="001532D2" w:rsidP="004527E9">
      <w:pPr>
        <w:tabs>
          <w:tab w:val="left" w:pos="1323"/>
        </w:tabs>
        <w:spacing w:after="0" w:line="240" w:lineRule="auto"/>
        <w:jc w:val="both"/>
        <w:rPr>
          <w:rFonts w:ascii="Verdana" w:hAnsi="Verdana"/>
          <w:b/>
        </w:rPr>
      </w:pPr>
    </w:p>
    <w:p w:rsidR="001532D2" w:rsidRDefault="001532D2" w:rsidP="004527E9">
      <w:pPr>
        <w:tabs>
          <w:tab w:val="left" w:pos="1323"/>
        </w:tabs>
        <w:spacing w:after="0" w:line="240" w:lineRule="auto"/>
        <w:jc w:val="both"/>
        <w:rPr>
          <w:rFonts w:ascii="Verdana" w:hAnsi="Verdana"/>
        </w:rPr>
      </w:pPr>
    </w:p>
    <w:p w:rsidR="001532D2" w:rsidRPr="001532D2" w:rsidRDefault="001532D2" w:rsidP="004527E9">
      <w:pPr>
        <w:tabs>
          <w:tab w:val="left" w:pos="1323"/>
        </w:tabs>
        <w:spacing w:after="0" w:line="240" w:lineRule="auto"/>
        <w:jc w:val="both"/>
        <w:rPr>
          <w:rFonts w:ascii="Verdana" w:hAnsi="Verdana"/>
        </w:rPr>
      </w:pPr>
      <w:r w:rsidRPr="001532D2">
        <w:rPr>
          <w:rFonts w:ascii="Verdana" w:hAnsi="Verdana"/>
        </w:rPr>
        <w:t xml:space="preserve">Demonstração de Fluxo de Caixa (Método Indireto). </w:t>
      </w:r>
    </w:p>
    <w:p w:rsidR="001532D2" w:rsidRPr="001532D2" w:rsidRDefault="001532D2" w:rsidP="004527E9">
      <w:pPr>
        <w:tabs>
          <w:tab w:val="left" w:pos="1323"/>
        </w:tabs>
        <w:spacing w:after="0" w:line="240" w:lineRule="auto"/>
        <w:jc w:val="both"/>
        <w:rPr>
          <w:rFonts w:ascii="Verdana" w:hAnsi="Verdana"/>
        </w:rPr>
      </w:pPr>
      <w:r w:rsidRPr="001532D2">
        <w:rPr>
          <w:rFonts w:ascii="Verdana" w:hAnsi="Verdana"/>
        </w:rPr>
        <w:t xml:space="preserve">No exercício de 2014 e 2015 houve aumento líquido, respectivamente, de R$ 2.970.010,59 e R$ 4.541.258,38, no saldo de caixa e equivalentes de caixa. Os valores registrados na Demonstração do Fluxo de Caixa (DFC) mostraram-se coerentes com os contabilizados no Balanço Patrimonial e na Demonstração de Resultado de cada exercício, embora tenham sido identificadas divergências em algumas rubricas no exercício de 2014. </w:t>
      </w:r>
    </w:p>
    <w:p w:rsidR="001532D2" w:rsidRDefault="001532D2" w:rsidP="004527E9">
      <w:pPr>
        <w:tabs>
          <w:tab w:val="left" w:pos="1323"/>
        </w:tabs>
        <w:spacing w:after="0" w:line="240" w:lineRule="auto"/>
        <w:jc w:val="both"/>
        <w:rPr>
          <w:rFonts w:ascii="Verdana" w:hAnsi="Verdana"/>
        </w:rPr>
      </w:pPr>
      <w:r w:rsidRPr="001532D2">
        <w:rPr>
          <w:rFonts w:ascii="Verdana" w:hAnsi="Verdana"/>
        </w:rPr>
        <w:t>O resultado de superávit do exercício de 2015 foi resultado do investimento dos recursos oriundos do Contrato de Gestão nº 11/2014.</w:t>
      </w:r>
    </w:p>
    <w:p w:rsidR="001532D2" w:rsidRDefault="001532D2" w:rsidP="004527E9">
      <w:pPr>
        <w:tabs>
          <w:tab w:val="left" w:pos="1323"/>
        </w:tabs>
        <w:spacing w:after="0" w:line="240" w:lineRule="auto"/>
        <w:jc w:val="both"/>
        <w:rPr>
          <w:rFonts w:ascii="Verdana" w:hAnsi="Verdana"/>
        </w:rPr>
      </w:pPr>
    </w:p>
    <w:p w:rsidR="00B1145C" w:rsidRDefault="001532D2" w:rsidP="004527E9">
      <w:pPr>
        <w:tabs>
          <w:tab w:val="left" w:pos="1323"/>
        </w:tabs>
        <w:spacing w:after="0" w:line="240" w:lineRule="auto"/>
        <w:jc w:val="both"/>
        <w:rPr>
          <w:rFonts w:ascii="Verdana" w:hAnsi="Verdana"/>
          <w:b/>
        </w:rPr>
      </w:pPr>
      <w:r>
        <w:rPr>
          <w:rFonts w:ascii="Verdana" w:hAnsi="Verdana"/>
          <w:b/>
          <w:noProof/>
          <w:lang w:eastAsia="pt-BR"/>
        </w:rPr>
        <w:lastRenderedPageBreak/>
        <w:drawing>
          <wp:inline distT="0" distB="0" distL="0" distR="0">
            <wp:extent cx="6092456" cy="3794029"/>
            <wp:effectExtent l="0" t="0" r="381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7795" cy="3797354"/>
                    </a:xfrm>
                    <a:prstGeom prst="rect">
                      <a:avLst/>
                    </a:prstGeom>
                    <a:noFill/>
                    <a:ln>
                      <a:noFill/>
                    </a:ln>
                  </pic:spPr>
                </pic:pic>
              </a:graphicData>
            </a:graphic>
          </wp:inline>
        </w:drawing>
      </w:r>
    </w:p>
    <w:p w:rsidR="00B1145C" w:rsidRDefault="00B1145C" w:rsidP="00B1145C">
      <w:pPr>
        <w:tabs>
          <w:tab w:val="left" w:pos="4873"/>
        </w:tabs>
        <w:jc w:val="both"/>
      </w:pPr>
    </w:p>
    <w:p w:rsidR="00B1145C" w:rsidRPr="00B1145C" w:rsidRDefault="00B1145C" w:rsidP="00B1145C">
      <w:pPr>
        <w:tabs>
          <w:tab w:val="left" w:pos="4873"/>
        </w:tabs>
        <w:spacing w:after="0" w:line="240" w:lineRule="auto"/>
        <w:jc w:val="both"/>
        <w:rPr>
          <w:rFonts w:ascii="Verdana" w:hAnsi="Verdana"/>
        </w:rPr>
      </w:pPr>
      <w:r>
        <w:t xml:space="preserve">      </w:t>
      </w:r>
      <w:r w:rsidRPr="00B1145C">
        <w:rPr>
          <w:rFonts w:ascii="Verdana" w:hAnsi="Verdana"/>
        </w:rPr>
        <w:t xml:space="preserve">A maior variação no saldo das contas entre os anos de 2015 e 2014 foi nas “Aplicações Financeiras – Ade Sampa” refletindo o montante de recursos repassados pela PMSP à Ade Sampa, conforme pactuado no Contrato de Gestão nº 11/2014. </w:t>
      </w:r>
    </w:p>
    <w:p w:rsidR="001532D2" w:rsidRDefault="00B1145C" w:rsidP="00B1145C">
      <w:pPr>
        <w:tabs>
          <w:tab w:val="left" w:pos="4873"/>
        </w:tabs>
        <w:spacing w:after="0" w:line="240" w:lineRule="auto"/>
        <w:jc w:val="both"/>
        <w:rPr>
          <w:rFonts w:ascii="Verdana" w:hAnsi="Verdana"/>
        </w:rPr>
      </w:pPr>
      <w:r w:rsidRPr="00B1145C">
        <w:rPr>
          <w:rFonts w:ascii="Verdana" w:hAnsi="Verdana"/>
        </w:rPr>
        <w:t xml:space="preserve">      O saldo das Aplicações Financeiras corresponde aos valores apresentados nos extratos bancários, computados os rendimentos auferidos.</w:t>
      </w:r>
    </w:p>
    <w:p w:rsidR="00B1145C" w:rsidRDefault="00B1145C" w:rsidP="00B1145C">
      <w:pPr>
        <w:tabs>
          <w:tab w:val="left" w:pos="4873"/>
        </w:tabs>
        <w:jc w:val="both"/>
        <w:rPr>
          <w:rFonts w:ascii="Verdana" w:hAnsi="Verdana"/>
        </w:rPr>
      </w:pPr>
    </w:p>
    <w:p w:rsidR="00B1145C" w:rsidRPr="00B1145C" w:rsidRDefault="00B1145C" w:rsidP="00B1145C">
      <w:pPr>
        <w:tabs>
          <w:tab w:val="left" w:pos="4873"/>
        </w:tabs>
        <w:spacing w:after="0" w:line="240" w:lineRule="auto"/>
        <w:jc w:val="both"/>
        <w:rPr>
          <w:rFonts w:ascii="Verdana" w:hAnsi="Verdana"/>
          <w:b/>
        </w:rPr>
      </w:pPr>
      <w:r w:rsidRPr="00B1145C">
        <w:rPr>
          <w:rFonts w:ascii="Verdana" w:hAnsi="Verdana"/>
          <w:b/>
        </w:rPr>
        <w:t xml:space="preserve">Contas a Receber </w:t>
      </w:r>
    </w:p>
    <w:p w:rsidR="00B1145C" w:rsidRPr="00B1145C" w:rsidRDefault="00B1145C" w:rsidP="00B1145C">
      <w:pPr>
        <w:tabs>
          <w:tab w:val="left" w:pos="4873"/>
        </w:tabs>
        <w:spacing w:after="0" w:line="240" w:lineRule="auto"/>
        <w:jc w:val="both"/>
        <w:rPr>
          <w:rFonts w:ascii="Verdana" w:hAnsi="Verdana"/>
        </w:rPr>
      </w:pPr>
      <w:r>
        <w:rPr>
          <w:rFonts w:ascii="Verdana" w:hAnsi="Verdana"/>
        </w:rPr>
        <w:t xml:space="preserve">    </w:t>
      </w:r>
      <w:r w:rsidRPr="00B1145C">
        <w:rPr>
          <w:rFonts w:ascii="Verdana" w:hAnsi="Verdana"/>
        </w:rPr>
        <w:t xml:space="preserve">Em 2014, o balanço da Ade Sampa não demonstrava saldo na rubrica “Contas a receber”. O valor de R$ 361.959,00 do saldo apresentado no balanço de 2015 corresponde à diferença do aporte previsto no Cronograma de Desembolso da 10ª parcela do Contrato de Gestão nº 011/2014, o qual teve que ser readequado, devido à necessidade de revisão do calendário da 2ª edição do Vai Tec. </w:t>
      </w:r>
    </w:p>
    <w:p w:rsidR="00B1145C" w:rsidRDefault="00B1145C" w:rsidP="00B1145C">
      <w:pPr>
        <w:tabs>
          <w:tab w:val="left" w:pos="4873"/>
        </w:tabs>
        <w:jc w:val="both"/>
        <w:rPr>
          <w:rFonts w:ascii="Verdana" w:hAnsi="Verdana"/>
          <w:b/>
        </w:rPr>
      </w:pPr>
    </w:p>
    <w:p w:rsidR="00B1145C" w:rsidRDefault="00B1145C" w:rsidP="00B1145C">
      <w:pPr>
        <w:tabs>
          <w:tab w:val="left" w:pos="4873"/>
        </w:tabs>
        <w:spacing w:after="0" w:line="240" w:lineRule="auto"/>
        <w:jc w:val="both"/>
      </w:pPr>
      <w:r w:rsidRPr="00B1145C">
        <w:rPr>
          <w:rFonts w:ascii="Verdana" w:hAnsi="Verdana"/>
          <w:b/>
        </w:rPr>
        <w:t>Reembolso a receber</w:t>
      </w:r>
      <w:r>
        <w:t xml:space="preserve"> </w:t>
      </w:r>
    </w:p>
    <w:p w:rsidR="00B1145C" w:rsidRDefault="00B1145C" w:rsidP="00B1145C">
      <w:pPr>
        <w:tabs>
          <w:tab w:val="left" w:pos="4873"/>
        </w:tabs>
        <w:spacing w:after="0" w:line="240" w:lineRule="auto"/>
        <w:jc w:val="both"/>
        <w:rPr>
          <w:rFonts w:ascii="Verdana" w:hAnsi="Verdana"/>
        </w:rPr>
      </w:pPr>
      <w:r>
        <w:rPr>
          <w:rFonts w:ascii="Verdana" w:hAnsi="Verdana"/>
        </w:rPr>
        <w:t xml:space="preserve">   </w:t>
      </w:r>
      <w:r w:rsidRPr="00B1145C">
        <w:rPr>
          <w:rFonts w:ascii="Verdana" w:hAnsi="Verdana"/>
        </w:rPr>
        <w:t xml:space="preserve">O valor do saldo de reembolso a receber (R$ 128.040,00) refere-se à glosa de parcelas de despesas do ano de 2014, referentes ao pagamento de pró-labore de diretores relativos a períodos anteriores à data de assinatura do contrato de gestão e despesas de pequena monta contraídas antes da </w:t>
      </w:r>
      <w:r w:rsidRPr="00B1145C">
        <w:rPr>
          <w:rFonts w:ascii="Verdana" w:hAnsi="Verdana"/>
        </w:rPr>
        <w:lastRenderedPageBreak/>
        <w:t>assinatura do contrato ou sem comprovação de realização de pesquisa de preços, conforme ressalvas apresentadas pelo Conselho Fiscal e pelo Conselho Deliberativo na prestação das contas desse exercício.</w:t>
      </w:r>
    </w:p>
    <w:p w:rsidR="00B1145C" w:rsidRDefault="00B1145C" w:rsidP="00B1145C">
      <w:pPr>
        <w:tabs>
          <w:tab w:val="left" w:pos="4873"/>
        </w:tabs>
        <w:spacing w:after="0" w:line="240" w:lineRule="auto"/>
        <w:jc w:val="both"/>
        <w:rPr>
          <w:rFonts w:ascii="Verdana" w:hAnsi="Verdana"/>
        </w:rPr>
      </w:pPr>
    </w:p>
    <w:p w:rsidR="00B1145C" w:rsidRPr="00B1145C" w:rsidRDefault="00B1145C" w:rsidP="00B1145C">
      <w:pPr>
        <w:tabs>
          <w:tab w:val="left" w:pos="4873"/>
        </w:tabs>
        <w:spacing w:after="0" w:line="240" w:lineRule="auto"/>
        <w:jc w:val="both"/>
        <w:rPr>
          <w:rFonts w:ascii="Verdana" w:hAnsi="Verdana"/>
          <w:b/>
        </w:rPr>
      </w:pPr>
      <w:r w:rsidRPr="00B1145C">
        <w:rPr>
          <w:rFonts w:ascii="Verdana" w:hAnsi="Verdana"/>
          <w:b/>
        </w:rPr>
        <w:t>Retenções na fonte</w:t>
      </w:r>
    </w:p>
    <w:p w:rsidR="00B1145C" w:rsidRDefault="00B1145C" w:rsidP="00B1145C">
      <w:pPr>
        <w:tabs>
          <w:tab w:val="left" w:pos="4873"/>
        </w:tabs>
        <w:spacing w:after="0" w:line="240" w:lineRule="auto"/>
        <w:jc w:val="both"/>
        <w:rPr>
          <w:rFonts w:ascii="Verdana" w:hAnsi="Verdana"/>
        </w:rPr>
      </w:pPr>
      <w:r>
        <w:t xml:space="preserve">    </w:t>
      </w:r>
      <w:r w:rsidRPr="00B1145C">
        <w:rPr>
          <w:rFonts w:ascii="Verdana" w:hAnsi="Verdana"/>
        </w:rPr>
        <w:t>Referem-se a valores de recolhimentos efetuados em duplicidade na contribuição patronal previdenciária de dezembro de 2014 e Imposto de Renda Retido na Fonte sobre os salários dezembro de 2014, no montante de R$ 8.671,34.</w:t>
      </w:r>
    </w:p>
    <w:p w:rsidR="00B1145C" w:rsidRDefault="00B1145C" w:rsidP="00B1145C">
      <w:pPr>
        <w:tabs>
          <w:tab w:val="left" w:pos="4873"/>
        </w:tabs>
        <w:spacing w:after="0" w:line="240" w:lineRule="auto"/>
        <w:jc w:val="both"/>
        <w:rPr>
          <w:rFonts w:ascii="Verdana" w:hAnsi="Verdana"/>
        </w:rPr>
      </w:pPr>
    </w:p>
    <w:p w:rsidR="00B1145C" w:rsidRPr="00B1145C" w:rsidRDefault="00B1145C" w:rsidP="00B1145C">
      <w:pPr>
        <w:tabs>
          <w:tab w:val="left" w:pos="4873"/>
        </w:tabs>
        <w:spacing w:after="0" w:line="240" w:lineRule="auto"/>
        <w:jc w:val="both"/>
        <w:rPr>
          <w:rFonts w:ascii="Verdana" w:hAnsi="Verdana"/>
          <w:b/>
        </w:rPr>
      </w:pPr>
      <w:r w:rsidRPr="00B1145C">
        <w:rPr>
          <w:rFonts w:ascii="Verdana" w:hAnsi="Verdana"/>
          <w:b/>
        </w:rPr>
        <w:t xml:space="preserve">Imobilizado e depreciação </w:t>
      </w:r>
    </w:p>
    <w:p w:rsidR="00B1145C" w:rsidRDefault="00B1145C" w:rsidP="00B1145C">
      <w:pPr>
        <w:tabs>
          <w:tab w:val="left" w:pos="4873"/>
        </w:tabs>
        <w:spacing w:after="0" w:line="240" w:lineRule="auto"/>
        <w:jc w:val="both"/>
        <w:rPr>
          <w:rFonts w:ascii="Verdana" w:hAnsi="Verdana"/>
        </w:rPr>
      </w:pPr>
      <w:r>
        <w:rPr>
          <w:rFonts w:ascii="Verdana" w:hAnsi="Verdana"/>
        </w:rPr>
        <w:t xml:space="preserve">   </w:t>
      </w:r>
      <w:proofErr w:type="gramStart"/>
      <w:r w:rsidRPr="00B1145C">
        <w:rPr>
          <w:rFonts w:ascii="Verdana" w:hAnsi="Verdana"/>
        </w:rPr>
        <w:t>A conta imobilizado, no valor</w:t>
      </w:r>
      <w:proofErr w:type="gramEnd"/>
      <w:r w:rsidRPr="00B1145C">
        <w:rPr>
          <w:rFonts w:ascii="Verdana" w:hAnsi="Verdana"/>
        </w:rPr>
        <w:t xml:space="preserve"> de R$ 25.736,80, refere-se a aquisições de imobilizado realizadas em 2015, consistentes em mó- </w:t>
      </w:r>
      <w:proofErr w:type="spellStart"/>
      <w:r w:rsidRPr="00B1145C">
        <w:rPr>
          <w:rFonts w:ascii="Verdana" w:hAnsi="Verdana"/>
        </w:rPr>
        <w:t>veis</w:t>
      </w:r>
      <w:proofErr w:type="spellEnd"/>
      <w:r w:rsidRPr="00B1145C">
        <w:rPr>
          <w:rFonts w:ascii="Verdana" w:hAnsi="Verdana"/>
        </w:rPr>
        <w:t xml:space="preserve"> e utensílios, computadores, máquinas e equipamentos A depreciação, no montante de R$ 517,85, foi apropriada mensalmente, desde o reconhecimento dos ativos, em base de 120 meses para os Móveis e Utensílios e Máquinas e Equipamentos e 60 meses para Computadores e Periféricos</w:t>
      </w:r>
      <w:r>
        <w:rPr>
          <w:rFonts w:ascii="Verdana" w:hAnsi="Verdana"/>
        </w:rPr>
        <w:t>.</w:t>
      </w:r>
    </w:p>
    <w:p w:rsidR="00B1145C" w:rsidRDefault="00B1145C" w:rsidP="00B1145C">
      <w:pPr>
        <w:tabs>
          <w:tab w:val="left" w:pos="4873"/>
        </w:tabs>
        <w:spacing w:after="0" w:line="240" w:lineRule="auto"/>
        <w:jc w:val="both"/>
        <w:rPr>
          <w:rFonts w:ascii="Verdana" w:hAnsi="Verdana"/>
        </w:rPr>
      </w:pPr>
    </w:p>
    <w:p w:rsidR="00B1145C" w:rsidRPr="00B1145C" w:rsidRDefault="00B1145C" w:rsidP="00B1145C">
      <w:pPr>
        <w:tabs>
          <w:tab w:val="left" w:pos="4873"/>
        </w:tabs>
        <w:spacing w:after="0" w:line="240" w:lineRule="auto"/>
        <w:jc w:val="both"/>
        <w:rPr>
          <w:rFonts w:ascii="Verdana" w:hAnsi="Verdana"/>
        </w:rPr>
      </w:pPr>
      <w:r w:rsidRPr="00B1145C">
        <w:rPr>
          <w:rFonts w:ascii="Verdana" w:hAnsi="Verdana"/>
        </w:rPr>
        <w:t xml:space="preserve">Passivo Circulante </w:t>
      </w:r>
    </w:p>
    <w:p w:rsidR="00B1145C" w:rsidRPr="009B7256" w:rsidRDefault="00B1145C" w:rsidP="00B1145C">
      <w:pPr>
        <w:tabs>
          <w:tab w:val="left" w:pos="4873"/>
        </w:tabs>
        <w:spacing w:after="0" w:line="240" w:lineRule="auto"/>
        <w:jc w:val="both"/>
        <w:rPr>
          <w:rFonts w:ascii="Verdana" w:hAnsi="Verdana"/>
        </w:rPr>
      </w:pPr>
      <w:r w:rsidRPr="009B7256">
        <w:rPr>
          <w:rFonts w:ascii="Verdana" w:hAnsi="Verdana"/>
        </w:rPr>
        <w:t xml:space="preserve">     Os valores classificados no passivo circulante referem-se a obrigações de curto prazo: fornecedores, recursos de projetos em execução (ADE SAMPA e VAI TEC) obrigações trabalhistas, previdenciárias e tributárias e obrigações com terceiros. </w:t>
      </w:r>
    </w:p>
    <w:p w:rsidR="00B1145C" w:rsidRDefault="00B1145C" w:rsidP="00B1145C">
      <w:pPr>
        <w:tabs>
          <w:tab w:val="left" w:pos="4873"/>
        </w:tabs>
        <w:spacing w:after="0" w:line="240" w:lineRule="auto"/>
        <w:jc w:val="both"/>
        <w:rPr>
          <w:rFonts w:ascii="Verdana" w:hAnsi="Verdana"/>
        </w:rPr>
      </w:pPr>
      <w:r w:rsidRPr="009B7256">
        <w:rPr>
          <w:rFonts w:ascii="Verdana" w:hAnsi="Verdana"/>
        </w:rPr>
        <w:t xml:space="preserve">    O aumento em 2015 no saldo da conta obrigações </w:t>
      </w:r>
      <w:proofErr w:type="gramStart"/>
      <w:r w:rsidRPr="009B7256">
        <w:rPr>
          <w:rFonts w:ascii="Verdana" w:hAnsi="Verdana"/>
        </w:rPr>
        <w:t>sociais/trabalhistas</w:t>
      </w:r>
      <w:proofErr w:type="gramEnd"/>
      <w:r w:rsidRPr="009B7256">
        <w:rPr>
          <w:rFonts w:ascii="Verdana" w:hAnsi="Verdana"/>
        </w:rPr>
        <w:t xml:space="preserve"> reflete o aumento no quadro de pessoal ocorrido em relação ao exercício de 2014.</w:t>
      </w:r>
    </w:p>
    <w:p w:rsidR="009B7256" w:rsidRDefault="009B7256" w:rsidP="00B1145C">
      <w:pPr>
        <w:tabs>
          <w:tab w:val="left" w:pos="4873"/>
        </w:tabs>
        <w:spacing w:after="0" w:line="240" w:lineRule="auto"/>
        <w:jc w:val="both"/>
        <w:rPr>
          <w:rFonts w:ascii="Verdana" w:hAnsi="Verdana"/>
        </w:rPr>
      </w:pPr>
    </w:p>
    <w:p w:rsidR="009B7256" w:rsidRPr="009B7256" w:rsidRDefault="009B7256" w:rsidP="00B1145C">
      <w:pPr>
        <w:tabs>
          <w:tab w:val="left" w:pos="4873"/>
        </w:tabs>
        <w:spacing w:after="0" w:line="240" w:lineRule="auto"/>
        <w:jc w:val="both"/>
        <w:rPr>
          <w:rFonts w:ascii="Verdana" w:hAnsi="Verdana"/>
          <w:b/>
        </w:rPr>
      </w:pPr>
      <w:r w:rsidRPr="009B7256">
        <w:rPr>
          <w:rFonts w:ascii="Verdana" w:hAnsi="Verdana"/>
          <w:b/>
        </w:rPr>
        <w:t xml:space="preserve">Recursos de projetos em execução </w:t>
      </w:r>
    </w:p>
    <w:p w:rsidR="009B7256" w:rsidRDefault="009B7256" w:rsidP="00B1145C">
      <w:pPr>
        <w:tabs>
          <w:tab w:val="left" w:pos="4873"/>
        </w:tabs>
        <w:spacing w:after="0" w:line="240" w:lineRule="auto"/>
        <w:jc w:val="both"/>
        <w:rPr>
          <w:rFonts w:ascii="Verdana" w:hAnsi="Verdana"/>
        </w:rPr>
      </w:pPr>
      <w:r w:rsidRPr="009B7256">
        <w:rPr>
          <w:rFonts w:ascii="Verdana" w:hAnsi="Verdana"/>
        </w:rPr>
        <w:t xml:space="preserve">   Os recursos de projetos em execução referem-se aos valores oriundos do Contrato de Gestão nº 11/2014, que além de repasses para o custeio da Ade Sampa, provém recursos para o programa Vai </w:t>
      </w:r>
      <w:proofErr w:type="spellStart"/>
      <w:r w:rsidRPr="009B7256">
        <w:rPr>
          <w:rFonts w:ascii="Verdana" w:hAnsi="Verdana"/>
        </w:rPr>
        <w:t>Tec</w:t>
      </w:r>
      <w:proofErr w:type="spellEnd"/>
      <w:r w:rsidRPr="009B7256">
        <w:rPr>
          <w:rFonts w:ascii="Verdana" w:hAnsi="Verdana"/>
        </w:rPr>
        <w:t>, tratado distintamente nas demonstrações contábeis da Agência</w:t>
      </w:r>
      <w:r>
        <w:rPr>
          <w:rFonts w:ascii="Verdana" w:hAnsi="Verdana"/>
        </w:rPr>
        <w:t>.</w:t>
      </w:r>
    </w:p>
    <w:p w:rsidR="009B7256" w:rsidRDefault="009B7256" w:rsidP="00B1145C">
      <w:pPr>
        <w:tabs>
          <w:tab w:val="left" w:pos="4873"/>
        </w:tabs>
        <w:spacing w:after="0" w:line="240" w:lineRule="auto"/>
        <w:jc w:val="both"/>
        <w:rPr>
          <w:rFonts w:ascii="Verdana" w:hAnsi="Verdana"/>
        </w:rPr>
      </w:pPr>
    </w:p>
    <w:p w:rsidR="009B7256" w:rsidRDefault="009B7256" w:rsidP="00B1145C">
      <w:pPr>
        <w:tabs>
          <w:tab w:val="left" w:pos="4873"/>
        </w:tabs>
        <w:spacing w:after="0" w:line="240" w:lineRule="auto"/>
        <w:jc w:val="both"/>
        <w:rPr>
          <w:rFonts w:ascii="Verdana" w:hAnsi="Verdana"/>
        </w:rPr>
      </w:pPr>
      <w:r>
        <w:rPr>
          <w:rFonts w:ascii="Verdana" w:hAnsi="Verdana"/>
          <w:noProof/>
          <w:lang w:eastAsia="pt-BR"/>
        </w:rPr>
        <w:drawing>
          <wp:inline distT="0" distB="0" distL="0" distR="0">
            <wp:extent cx="6389152" cy="1775637"/>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085" cy="1775618"/>
                    </a:xfrm>
                    <a:prstGeom prst="rect">
                      <a:avLst/>
                    </a:prstGeom>
                    <a:noFill/>
                    <a:ln>
                      <a:noFill/>
                    </a:ln>
                  </pic:spPr>
                </pic:pic>
              </a:graphicData>
            </a:graphic>
          </wp:inline>
        </w:drawing>
      </w:r>
    </w:p>
    <w:p w:rsidR="009B7256" w:rsidRDefault="009B7256" w:rsidP="009B7256">
      <w:pPr>
        <w:rPr>
          <w:rFonts w:ascii="Verdana" w:hAnsi="Verdana"/>
        </w:rPr>
      </w:pPr>
    </w:p>
    <w:p w:rsidR="009B7256" w:rsidRDefault="009B7256" w:rsidP="009B7256">
      <w:pPr>
        <w:tabs>
          <w:tab w:val="left" w:pos="3215"/>
        </w:tabs>
        <w:jc w:val="both"/>
        <w:rPr>
          <w:rFonts w:ascii="Verdana" w:hAnsi="Verdana"/>
        </w:rPr>
      </w:pPr>
      <w:r>
        <w:rPr>
          <w:rFonts w:ascii="Verdana" w:hAnsi="Verdana"/>
        </w:rPr>
        <w:t xml:space="preserve">   </w:t>
      </w:r>
      <w:r w:rsidRPr="009B7256">
        <w:rPr>
          <w:rFonts w:ascii="Verdana" w:hAnsi="Verdana"/>
        </w:rPr>
        <w:t xml:space="preserve">Os valores das receitas reconhecidas pela utilização de recursos correspondem às despesas com pessoal (R$ 201.576,33 no exercício de </w:t>
      </w:r>
      <w:r w:rsidRPr="009B7256">
        <w:rPr>
          <w:rFonts w:ascii="Verdana" w:hAnsi="Verdana"/>
        </w:rPr>
        <w:lastRenderedPageBreak/>
        <w:t xml:space="preserve">2014 e R$ 2.203.446,97 no exercício de 2015) e outras despesas e gastos gerais (R$ 7.510,03 no exercício de 2014 e R$ 363.330,03 no exercício de 2015). </w:t>
      </w:r>
    </w:p>
    <w:p w:rsidR="009B7256" w:rsidRDefault="009B7256" w:rsidP="009B7256">
      <w:pPr>
        <w:tabs>
          <w:tab w:val="left" w:pos="3215"/>
        </w:tabs>
        <w:jc w:val="both"/>
        <w:rPr>
          <w:rFonts w:ascii="Verdana" w:hAnsi="Verdana"/>
        </w:rPr>
      </w:pPr>
      <w:r>
        <w:rPr>
          <w:rFonts w:ascii="Verdana" w:hAnsi="Verdana"/>
        </w:rPr>
        <w:t xml:space="preserve">   </w:t>
      </w:r>
      <w:r w:rsidRPr="009B7256">
        <w:rPr>
          <w:rFonts w:ascii="Verdana" w:hAnsi="Verdana"/>
        </w:rPr>
        <w:t xml:space="preserve">A variação do saldo das contas em relação às despesas dos dois exercícios foi significativa, na medida em que o início das atividades da Ade Sampa ocorreu em 24.09.2014. Além disso, reflete o aumento no quadro de pessoal ocorrido. </w:t>
      </w:r>
      <w:r>
        <w:rPr>
          <w:rFonts w:ascii="Verdana" w:hAnsi="Verdana"/>
        </w:rPr>
        <w:t xml:space="preserve"> </w:t>
      </w:r>
    </w:p>
    <w:p w:rsidR="009B7256" w:rsidRPr="0008456D" w:rsidRDefault="009B7256" w:rsidP="0008456D">
      <w:pPr>
        <w:tabs>
          <w:tab w:val="left" w:pos="3215"/>
        </w:tabs>
        <w:jc w:val="both"/>
        <w:rPr>
          <w:rFonts w:ascii="Verdana" w:hAnsi="Verdana"/>
        </w:rPr>
      </w:pPr>
      <w:r>
        <w:rPr>
          <w:rFonts w:ascii="Verdana" w:hAnsi="Verdana"/>
        </w:rPr>
        <w:t xml:space="preserve">   </w:t>
      </w:r>
      <w:r w:rsidRPr="009B7256">
        <w:rPr>
          <w:rFonts w:ascii="Verdana" w:hAnsi="Verdana"/>
        </w:rPr>
        <w:t xml:space="preserve">As maiores despesas do grupo “despesas e gastos gerais” são </w:t>
      </w:r>
      <w:proofErr w:type="gramStart"/>
      <w:r w:rsidRPr="009B7256">
        <w:rPr>
          <w:rFonts w:ascii="Verdana" w:hAnsi="Verdana"/>
        </w:rPr>
        <w:t>representadas</w:t>
      </w:r>
      <w:proofErr w:type="gramEnd"/>
      <w:r w:rsidRPr="009B7256">
        <w:rPr>
          <w:rFonts w:ascii="Verdana" w:hAnsi="Verdana"/>
        </w:rPr>
        <w:t xml:space="preserve"> pelas rubricas “Serviços Contábeis”, R$ 78.231,70, “Despesas Tributárias”, R$ 60.117,42, e “Serviços de Propaganda”, R$ 51.507,43.</w:t>
      </w:r>
    </w:p>
    <w:p w:rsidR="0008456D" w:rsidRDefault="0008456D" w:rsidP="009B7256">
      <w:pPr>
        <w:tabs>
          <w:tab w:val="left" w:pos="3215"/>
        </w:tabs>
        <w:jc w:val="both"/>
        <w:rPr>
          <w:rFonts w:ascii="Verdana" w:hAnsi="Verdana"/>
        </w:rPr>
      </w:pPr>
    </w:p>
    <w:p w:rsidR="0008456D" w:rsidRDefault="0008456D" w:rsidP="009B7256">
      <w:pPr>
        <w:tabs>
          <w:tab w:val="left" w:pos="3215"/>
        </w:tabs>
        <w:jc w:val="both"/>
        <w:rPr>
          <w:rFonts w:ascii="Verdana" w:hAnsi="Verdana"/>
        </w:rPr>
      </w:pPr>
      <w:r>
        <w:rPr>
          <w:rFonts w:ascii="Verdana" w:hAnsi="Verdana"/>
        </w:rPr>
        <w:tab/>
      </w:r>
    </w:p>
    <w:p w:rsidR="009B7256" w:rsidRDefault="009B7256" w:rsidP="009B7256">
      <w:pPr>
        <w:tabs>
          <w:tab w:val="left" w:pos="3215"/>
        </w:tabs>
        <w:jc w:val="both"/>
        <w:rPr>
          <w:rFonts w:ascii="Verdana" w:hAnsi="Verdana"/>
        </w:rPr>
      </w:pPr>
      <w:r>
        <w:rPr>
          <w:rFonts w:ascii="Verdana" w:hAnsi="Verdana"/>
          <w:noProof/>
          <w:lang w:eastAsia="pt-BR"/>
        </w:rPr>
        <w:lastRenderedPageBreak/>
        <w:drawing>
          <wp:inline distT="0" distB="0" distL="0" distR="0">
            <wp:extent cx="5758118" cy="7974419"/>
            <wp:effectExtent l="0" t="0" r="0" b="762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401" cy="7980350"/>
                    </a:xfrm>
                    <a:prstGeom prst="rect">
                      <a:avLst/>
                    </a:prstGeom>
                    <a:noFill/>
                    <a:ln>
                      <a:noFill/>
                    </a:ln>
                  </pic:spPr>
                </pic:pic>
              </a:graphicData>
            </a:graphic>
          </wp:inline>
        </w:drawing>
      </w:r>
    </w:p>
    <w:p w:rsidR="0008456D" w:rsidRDefault="0008456D" w:rsidP="009B7256">
      <w:pPr>
        <w:tabs>
          <w:tab w:val="left" w:pos="3215"/>
        </w:tabs>
        <w:jc w:val="both"/>
        <w:rPr>
          <w:rFonts w:ascii="Verdana" w:hAnsi="Verdana"/>
        </w:rPr>
      </w:pPr>
      <w:r>
        <w:rPr>
          <w:rFonts w:ascii="Verdana" w:hAnsi="Verdana"/>
        </w:rPr>
        <w:lastRenderedPageBreak/>
        <w:t xml:space="preserve">   </w:t>
      </w:r>
      <w:r w:rsidRPr="0008456D">
        <w:rPr>
          <w:rFonts w:ascii="Verdana" w:hAnsi="Verdana"/>
        </w:rPr>
        <w:t>Em 2014, as receitas operacionais referem-se ao contrato de gestão firmado com a PMSP e aos rendimentos de aplicações financeiras, totalizando R$ 215,4 mil. As despesas operacionais alcançaram R$ 208,9 mil, sendo R$ 201,6 mil relativos às despesas com pessoal, vinculadas às receitas do aludido contrato, e R$ 7,4 mil às demais despesas.</w:t>
      </w:r>
    </w:p>
    <w:p w:rsidR="0008456D" w:rsidRDefault="0008456D" w:rsidP="009B7256">
      <w:pPr>
        <w:tabs>
          <w:tab w:val="left" w:pos="3215"/>
        </w:tabs>
        <w:jc w:val="both"/>
        <w:rPr>
          <w:rFonts w:ascii="Verdana" w:hAnsi="Verdana"/>
        </w:rPr>
      </w:pPr>
      <w:r>
        <w:rPr>
          <w:rFonts w:ascii="Verdana" w:hAnsi="Verdana"/>
        </w:rPr>
        <w:t xml:space="preserve">   </w:t>
      </w:r>
      <w:r w:rsidRPr="0008456D">
        <w:rPr>
          <w:rFonts w:ascii="Verdana" w:hAnsi="Verdana"/>
        </w:rPr>
        <w:t>O superávit operacional líquido (R$ 6,3 mil) corresponde aos rendimentos com aplicações financeiras dos recursos recebidos, dado que as receitas são reconhecidas de acordo com a realização das despesas</w:t>
      </w:r>
      <w:r>
        <w:rPr>
          <w:rFonts w:ascii="Verdana" w:hAnsi="Verdana"/>
        </w:rPr>
        <w:t>.</w:t>
      </w:r>
    </w:p>
    <w:p w:rsidR="0008456D" w:rsidRDefault="0008456D" w:rsidP="009B7256">
      <w:pPr>
        <w:tabs>
          <w:tab w:val="left" w:pos="3215"/>
        </w:tabs>
        <w:jc w:val="both"/>
        <w:rPr>
          <w:rFonts w:ascii="Verdana" w:hAnsi="Verdana"/>
        </w:rPr>
      </w:pPr>
      <w:r>
        <w:rPr>
          <w:rFonts w:ascii="Verdana" w:hAnsi="Verdana"/>
        </w:rPr>
        <w:t xml:space="preserve">   </w:t>
      </w:r>
      <w:r w:rsidRPr="0008456D">
        <w:rPr>
          <w:rFonts w:ascii="Verdana" w:hAnsi="Verdana"/>
        </w:rPr>
        <w:t>Em 2014, o maior montante de despesas com pessoal refere-se ao pró-labore, no total de R$159,6 mil. Com relação a essa despesa, tendo em vista a data da posse da diretoria (26/06/14) e o registro da Agência (24/09/14), formou-se questão acerca do reconhecimento do valor devido aos membros da diretoria. Observa-se que tanto o Conselho Fiscal quanto o Conselho Deliberativo aprovaram o pagamento de pró-labore a partir da data da assinatura do contrato de gestão.</w:t>
      </w:r>
    </w:p>
    <w:p w:rsidR="0008456D" w:rsidRDefault="0008456D" w:rsidP="009B7256">
      <w:pPr>
        <w:tabs>
          <w:tab w:val="left" w:pos="3215"/>
        </w:tabs>
        <w:jc w:val="both"/>
        <w:rPr>
          <w:rFonts w:ascii="Verdana" w:hAnsi="Verdana"/>
        </w:rPr>
      </w:pPr>
      <w:r w:rsidRPr="0008456D">
        <w:rPr>
          <w:rFonts w:ascii="Verdana" w:hAnsi="Verdana"/>
        </w:rPr>
        <w:t xml:space="preserve">   No exercício de 2015, as receitas operacionais totalizaram R$ 3,7 milhões e referem-se ao contrato de gestão firmado com a PMSP. As despesas operacionais alcançaram R$ 3,7 milhões, sendo R$ 2,3 milhões relativos às despesas com pessoal e R$ 1,4 milhões às demais despesas. As receitas são reconhecidas de acordo com a realização das despesas, desta forma, o superávit operacional corresponde aos rendimentos de aplicações financeiras dos recursos recebidos, os quais, no exercício, somaram R$ 570,8 mil.</w:t>
      </w:r>
    </w:p>
    <w:p w:rsidR="0008456D" w:rsidRDefault="0008456D" w:rsidP="009B7256">
      <w:pPr>
        <w:tabs>
          <w:tab w:val="left" w:pos="3215"/>
        </w:tabs>
        <w:jc w:val="both"/>
        <w:rPr>
          <w:rFonts w:ascii="Verdana" w:hAnsi="Verdana"/>
        </w:rPr>
      </w:pPr>
      <w:r>
        <w:rPr>
          <w:rFonts w:ascii="Verdana" w:hAnsi="Verdana"/>
          <w:noProof/>
          <w:lang w:eastAsia="pt-BR"/>
        </w:rPr>
        <w:drawing>
          <wp:inline distT="0" distB="0" distL="0" distR="0">
            <wp:extent cx="6018028" cy="1876864"/>
            <wp:effectExtent l="0" t="0" r="190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4721" cy="1885189"/>
                    </a:xfrm>
                    <a:prstGeom prst="rect">
                      <a:avLst/>
                    </a:prstGeom>
                    <a:noFill/>
                    <a:ln>
                      <a:noFill/>
                    </a:ln>
                  </pic:spPr>
                </pic:pic>
              </a:graphicData>
            </a:graphic>
          </wp:inline>
        </w:drawing>
      </w:r>
    </w:p>
    <w:p w:rsidR="0008456D" w:rsidRPr="0008456D" w:rsidRDefault="0008456D" w:rsidP="009B7256">
      <w:pPr>
        <w:tabs>
          <w:tab w:val="left" w:pos="3215"/>
        </w:tabs>
        <w:jc w:val="both"/>
        <w:rPr>
          <w:rFonts w:ascii="Verdana" w:hAnsi="Verdana"/>
        </w:rPr>
      </w:pPr>
      <w:r w:rsidRPr="0008456D">
        <w:rPr>
          <w:rFonts w:ascii="Verdana" w:hAnsi="Verdana"/>
        </w:rPr>
        <w:t>As mutações do Patrimônio Líquido referem-se aos superávits apurados em 2014 e 2015 os quais, no encerramento de cada exercício, foram revertidos para os projetos em execução (gestão da agência e VAI TEC). Como na constituição da entidade não houve formação de patrimônio social, o patrimônio líquido apresenta valor nulo.</w:t>
      </w:r>
    </w:p>
    <w:p w:rsidR="0008456D" w:rsidRPr="0008456D" w:rsidRDefault="0008456D" w:rsidP="009B7256">
      <w:pPr>
        <w:tabs>
          <w:tab w:val="left" w:pos="3215"/>
        </w:tabs>
        <w:jc w:val="both"/>
        <w:rPr>
          <w:rFonts w:ascii="Verdana" w:hAnsi="Verdana"/>
          <w:b/>
        </w:rPr>
      </w:pPr>
      <w:r w:rsidRPr="0008456D">
        <w:rPr>
          <w:rFonts w:ascii="Verdana" w:hAnsi="Verdana"/>
          <w:b/>
        </w:rPr>
        <w:lastRenderedPageBreak/>
        <w:t xml:space="preserve"> Notas Explicativas às Demonstrações Contábeis </w:t>
      </w:r>
    </w:p>
    <w:p w:rsidR="0008456D" w:rsidRDefault="0008456D" w:rsidP="009B7256">
      <w:pPr>
        <w:tabs>
          <w:tab w:val="left" w:pos="3215"/>
        </w:tabs>
        <w:jc w:val="both"/>
        <w:rPr>
          <w:rFonts w:ascii="Verdana" w:hAnsi="Verdana"/>
        </w:rPr>
      </w:pPr>
      <w:r w:rsidRPr="0008456D">
        <w:rPr>
          <w:rFonts w:ascii="Verdana" w:hAnsi="Verdana"/>
        </w:rPr>
        <w:t>As Notas Explicativas estão em consonância com a disposição da NBC ITG 2002 (aplicável à entidade sem fins lucrativos) com ressalva para a ausência de informação sobre gratuidade de área recebida cedida pela Secretaria Municipal de Desenvolvimento, Trabalho e Empreendedorismo por meio de Termo de Permissão de Uso. Especificamente quanto ao exercício de 2014, também foram ressalvadas as incorreções relativas às obrigações trabalhistas, recursos de projetos em execução e despesas com pessoal.</w:t>
      </w:r>
    </w:p>
    <w:p w:rsidR="0008456D" w:rsidRPr="0008456D" w:rsidRDefault="0008456D" w:rsidP="0008456D">
      <w:pPr>
        <w:tabs>
          <w:tab w:val="left" w:pos="3215"/>
        </w:tabs>
        <w:spacing w:after="0" w:line="240" w:lineRule="auto"/>
        <w:jc w:val="both"/>
        <w:rPr>
          <w:rFonts w:ascii="Verdana" w:hAnsi="Verdana"/>
          <w:b/>
        </w:rPr>
      </w:pPr>
      <w:r w:rsidRPr="0008456D">
        <w:rPr>
          <w:rFonts w:ascii="Verdana" w:hAnsi="Verdana"/>
          <w:b/>
        </w:rPr>
        <w:t>DESEMPENHO OPERACIONAL</w:t>
      </w:r>
    </w:p>
    <w:p w:rsidR="0008456D" w:rsidRPr="0008456D" w:rsidRDefault="0008456D" w:rsidP="0008456D">
      <w:pPr>
        <w:tabs>
          <w:tab w:val="left" w:pos="3215"/>
        </w:tabs>
        <w:spacing w:after="0" w:line="240" w:lineRule="auto"/>
        <w:jc w:val="both"/>
        <w:rPr>
          <w:rFonts w:ascii="Verdana" w:hAnsi="Verdana"/>
          <w:b/>
        </w:rPr>
      </w:pPr>
      <w:r w:rsidRPr="0008456D">
        <w:rPr>
          <w:rFonts w:ascii="Verdana" w:hAnsi="Verdana"/>
          <w:b/>
        </w:rPr>
        <w:t>Órgãos Superiores/de direção</w:t>
      </w:r>
    </w:p>
    <w:p w:rsidR="0008456D" w:rsidRDefault="0008456D" w:rsidP="0008456D">
      <w:pPr>
        <w:tabs>
          <w:tab w:val="left" w:pos="3215"/>
        </w:tabs>
        <w:spacing w:after="0" w:line="240" w:lineRule="auto"/>
        <w:jc w:val="both"/>
        <w:rPr>
          <w:rFonts w:ascii="Verdana" w:hAnsi="Verdana"/>
          <w:b/>
        </w:rPr>
      </w:pPr>
      <w:r w:rsidRPr="0008456D">
        <w:rPr>
          <w:rFonts w:ascii="Verdana" w:hAnsi="Verdana"/>
          <w:b/>
        </w:rPr>
        <w:t>Conselho Deliberativo/</w:t>
      </w:r>
      <w:proofErr w:type="gramStart"/>
      <w:r w:rsidRPr="0008456D">
        <w:rPr>
          <w:rFonts w:ascii="Verdana" w:hAnsi="Verdana"/>
          <w:b/>
        </w:rPr>
        <w:t>Conselho Fiscal/Diretoria Executiva</w:t>
      </w:r>
      <w:proofErr w:type="gramEnd"/>
      <w:r>
        <w:rPr>
          <w:rFonts w:ascii="Verdana" w:hAnsi="Verdana"/>
          <w:b/>
        </w:rPr>
        <w:t>.</w:t>
      </w:r>
    </w:p>
    <w:p w:rsidR="0008456D" w:rsidRPr="00E774B7" w:rsidRDefault="0008456D" w:rsidP="0008456D">
      <w:pPr>
        <w:tabs>
          <w:tab w:val="left" w:pos="3215"/>
        </w:tabs>
        <w:spacing w:after="0" w:line="240" w:lineRule="auto"/>
        <w:jc w:val="both"/>
        <w:rPr>
          <w:rFonts w:ascii="Verdana" w:hAnsi="Verdana"/>
          <w:b/>
        </w:rPr>
      </w:pP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A Ade Sampa é administrada por um Conselho de Deliberativo, um Conselho Fiscal e pela Diretoria Executiva, conforme dispõe o art. 5º do seu Estatuto Social e art. 8º da Lei nº 15.838/2013.</w:t>
      </w: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O Conselho de Deliberativo atuou por meio de 08 membros, tendo sido realizadas 02 reuniões em 2014 e 08 reuniões em 2015, contrariando o art. 8º de seu Estatuto, além de não ter sido dada a publicidade dos seus atos, em desatendimento ao art. 10º, XI, da Lei nº 15.838/2013. </w:t>
      </w: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Em 2015, o Conselho Deliberativo sofreu alterações sem que houvesse a nomeação pelo Prefeito. </w:t>
      </w: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O Conselho Fiscal, composto por 03 membros regularmente nomeados, nos exercícios de 2014 e 2015, não realizou reuniões na regularidade demandada, contrariando o art. 17 de seu Estatuto Social. Além disso, não foi dada a devida publicidade de seus atos, em desatendimento ao art. 11, III, da Lei nº 15.838/2013.</w:t>
      </w:r>
    </w:p>
    <w:p w:rsidR="00E774B7" w:rsidRDefault="00E774B7" w:rsidP="0008456D">
      <w:pPr>
        <w:tabs>
          <w:tab w:val="left" w:pos="3215"/>
        </w:tabs>
        <w:spacing w:after="0" w:line="240" w:lineRule="auto"/>
        <w:jc w:val="both"/>
        <w:rPr>
          <w:rFonts w:ascii="Verdana" w:hAnsi="Verdana"/>
        </w:rPr>
      </w:pPr>
      <w:r w:rsidRPr="00E774B7">
        <w:rPr>
          <w:rFonts w:ascii="Verdana" w:hAnsi="Verdana"/>
        </w:rPr>
        <w:t xml:space="preserve">   A Diretoria é composta por 03 diretores, sendo um Diretor Presidente, um Diretor Administrativo e um Diretor </w:t>
      </w:r>
      <w:proofErr w:type="gramStart"/>
      <w:r w:rsidRPr="00E774B7">
        <w:rPr>
          <w:rFonts w:ascii="Verdana" w:hAnsi="Verdana"/>
        </w:rPr>
        <w:t>Técnico eleitos pelo Executivo</w:t>
      </w:r>
      <w:proofErr w:type="gramEnd"/>
      <w:r>
        <w:rPr>
          <w:rFonts w:ascii="Verdana" w:hAnsi="Verdana"/>
        </w:rPr>
        <w:t>.</w:t>
      </w:r>
    </w:p>
    <w:p w:rsidR="00E774B7" w:rsidRDefault="00E774B7" w:rsidP="0008456D">
      <w:pPr>
        <w:tabs>
          <w:tab w:val="left" w:pos="3215"/>
        </w:tabs>
        <w:spacing w:after="0" w:line="240" w:lineRule="auto"/>
        <w:jc w:val="both"/>
        <w:rPr>
          <w:rFonts w:ascii="Verdana" w:hAnsi="Verdana"/>
        </w:rPr>
      </w:pPr>
    </w:p>
    <w:p w:rsidR="00E774B7" w:rsidRDefault="00E774B7" w:rsidP="0008456D">
      <w:pPr>
        <w:tabs>
          <w:tab w:val="left" w:pos="3215"/>
        </w:tabs>
        <w:spacing w:after="0" w:line="240" w:lineRule="auto"/>
        <w:jc w:val="both"/>
        <w:rPr>
          <w:rFonts w:ascii="Verdana" w:hAnsi="Verdana"/>
          <w:b/>
        </w:rPr>
      </w:pPr>
      <w:r w:rsidRPr="00E774B7">
        <w:rPr>
          <w:rFonts w:ascii="Verdana" w:hAnsi="Verdana"/>
          <w:b/>
        </w:rPr>
        <w:t xml:space="preserve">Quadro de Funcionários </w:t>
      </w:r>
    </w:p>
    <w:p w:rsidR="00E774B7" w:rsidRPr="00E774B7" w:rsidRDefault="00E774B7" w:rsidP="0008456D">
      <w:pPr>
        <w:tabs>
          <w:tab w:val="left" w:pos="3215"/>
        </w:tabs>
        <w:spacing w:after="0" w:line="240" w:lineRule="auto"/>
        <w:jc w:val="both"/>
        <w:rPr>
          <w:rFonts w:ascii="Verdana" w:hAnsi="Verdana"/>
          <w:b/>
        </w:rPr>
      </w:pP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Quanto ao quadro de funcionários, em 2014 somente um empregado foi admitido, na função de assessor de diretoria.</w:t>
      </w: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Ao longo de 2015, o total de funcionários chegou ao número de 32, cabendo ressalvar que alguns cargos não constavam do “Plano de Cargos e Salários Institucional”. </w:t>
      </w:r>
    </w:p>
    <w:p w:rsidR="00E774B7" w:rsidRPr="00E774B7" w:rsidRDefault="00E774B7" w:rsidP="0008456D">
      <w:pPr>
        <w:tabs>
          <w:tab w:val="left" w:pos="3215"/>
        </w:tabs>
        <w:spacing w:after="0" w:line="240" w:lineRule="auto"/>
        <w:jc w:val="both"/>
        <w:rPr>
          <w:rFonts w:ascii="Verdana" w:hAnsi="Verdana"/>
        </w:rPr>
      </w:pPr>
      <w:r w:rsidRPr="00E774B7">
        <w:rPr>
          <w:rFonts w:ascii="Verdana" w:hAnsi="Verdana"/>
        </w:rPr>
        <w:t xml:space="preserve">  Nos dois exercícios não houve evidência de atendimento ao disposto no art. 20, III, da Lei nº 15.838/13, quanto à divulgação em sítio da internet de informações relativas à estrutura remuneratória de cargos e funções, relação de nomes dos dirigentes, bem como dos demais membros do corpo técnico. </w:t>
      </w:r>
    </w:p>
    <w:p w:rsidR="00E774B7" w:rsidRDefault="00E774B7" w:rsidP="0008456D">
      <w:pPr>
        <w:tabs>
          <w:tab w:val="left" w:pos="3215"/>
        </w:tabs>
        <w:spacing w:after="0" w:line="240" w:lineRule="auto"/>
        <w:jc w:val="both"/>
      </w:pPr>
    </w:p>
    <w:p w:rsidR="00E774B7" w:rsidRDefault="00E774B7" w:rsidP="0008456D">
      <w:pPr>
        <w:tabs>
          <w:tab w:val="left" w:pos="3215"/>
        </w:tabs>
        <w:spacing w:after="0" w:line="240" w:lineRule="auto"/>
        <w:jc w:val="both"/>
        <w:rPr>
          <w:rFonts w:ascii="Verdana" w:hAnsi="Verdana"/>
          <w:b/>
        </w:rPr>
      </w:pPr>
    </w:p>
    <w:p w:rsidR="00E774B7" w:rsidRDefault="00E774B7" w:rsidP="0008456D">
      <w:pPr>
        <w:tabs>
          <w:tab w:val="left" w:pos="3215"/>
        </w:tabs>
        <w:spacing w:after="0" w:line="240" w:lineRule="auto"/>
        <w:jc w:val="both"/>
        <w:rPr>
          <w:rFonts w:ascii="Verdana" w:hAnsi="Verdana"/>
          <w:b/>
        </w:rPr>
      </w:pPr>
    </w:p>
    <w:p w:rsidR="00E774B7" w:rsidRDefault="00E774B7" w:rsidP="0008456D">
      <w:pPr>
        <w:tabs>
          <w:tab w:val="left" w:pos="3215"/>
        </w:tabs>
        <w:spacing w:after="0" w:line="240" w:lineRule="auto"/>
        <w:jc w:val="both"/>
        <w:rPr>
          <w:rFonts w:ascii="Verdana" w:hAnsi="Verdana"/>
          <w:b/>
        </w:rPr>
      </w:pPr>
      <w:r w:rsidRPr="00E774B7">
        <w:rPr>
          <w:rFonts w:ascii="Verdana" w:hAnsi="Verdana"/>
          <w:b/>
        </w:rPr>
        <w:lastRenderedPageBreak/>
        <w:t>Contratações</w:t>
      </w:r>
    </w:p>
    <w:p w:rsidR="00E774B7" w:rsidRPr="00E774B7" w:rsidRDefault="00E774B7" w:rsidP="0008456D">
      <w:pPr>
        <w:tabs>
          <w:tab w:val="left" w:pos="3215"/>
        </w:tabs>
        <w:spacing w:after="0" w:line="240" w:lineRule="auto"/>
        <w:jc w:val="both"/>
        <w:rPr>
          <w:rFonts w:ascii="Verdana" w:hAnsi="Verdana"/>
          <w:b/>
        </w:rPr>
      </w:pPr>
      <w:r w:rsidRPr="00E774B7">
        <w:rPr>
          <w:rFonts w:ascii="Verdana" w:hAnsi="Verdana"/>
          <w:b/>
        </w:rPr>
        <w:t xml:space="preserve"> </w:t>
      </w:r>
    </w:p>
    <w:p w:rsidR="00E774B7" w:rsidRDefault="00E774B7" w:rsidP="0008456D">
      <w:pPr>
        <w:tabs>
          <w:tab w:val="left" w:pos="3215"/>
        </w:tabs>
        <w:spacing w:after="0" w:line="240" w:lineRule="auto"/>
        <w:jc w:val="both"/>
        <w:rPr>
          <w:rFonts w:ascii="Verdana" w:hAnsi="Verdana"/>
        </w:rPr>
      </w:pPr>
      <w:r w:rsidRPr="00E774B7">
        <w:rPr>
          <w:rFonts w:ascii="Verdana" w:hAnsi="Verdana"/>
        </w:rPr>
        <w:t xml:space="preserve">As contratações efetuadas pela Ade Sampa, no exercício de 2014, foram efetuadas sem licitação, com exceção do contrato firmado com a Ação &amp; Contexto Comunicação Ltda. – ME, e, nesse caso, foi realizada pesquisa mercadológica, em desconformidade com o disposto no §1º do art. 31 do Estatuto da Ade Sampa, que prevê que as aquisições, contratações e alienações serão realizadas conforme o disposto no manual próprio de licitações e de contratos aprovado pelo Conselho Deliberativo. </w:t>
      </w:r>
    </w:p>
    <w:p w:rsidR="00E774B7" w:rsidRDefault="00E774B7" w:rsidP="0008456D">
      <w:pPr>
        <w:tabs>
          <w:tab w:val="left" w:pos="3215"/>
        </w:tabs>
        <w:spacing w:after="0" w:line="240" w:lineRule="auto"/>
        <w:jc w:val="both"/>
        <w:rPr>
          <w:rFonts w:ascii="Verdana" w:hAnsi="Verdana"/>
        </w:rPr>
      </w:pPr>
    </w:p>
    <w:p w:rsidR="00E774B7" w:rsidRDefault="00E774B7" w:rsidP="0008456D">
      <w:pPr>
        <w:tabs>
          <w:tab w:val="left" w:pos="3215"/>
        </w:tabs>
        <w:spacing w:after="0" w:line="240" w:lineRule="auto"/>
        <w:jc w:val="both"/>
        <w:rPr>
          <w:rFonts w:ascii="Verdana" w:hAnsi="Verdana"/>
        </w:rPr>
      </w:pPr>
    </w:p>
    <w:p w:rsidR="00E774B7" w:rsidRDefault="00E774B7" w:rsidP="0008456D">
      <w:pPr>
        <w:tabs>
          <w:tab w:val="left" w:pos="3215"/>
        </w:tabs>
        <w:spacing w:after="0" w:line="240" w:lineRule="auto"/>
        <w:jc w:val="both"/>
        <w:rPr>
          <w:rFonts w:ascii="Verdana" w:hAnsi="Verdana"/>
          <w:b/>
        </w:rPr>
      </w:pPr>
      <w:r w:rsidRPr="00E774B7">
        <w:rPr>
          <w:rFonts w:ascii="Verdana" w:hAnsi="Verdana"/>
          <w:b/>
        </w:rPr>
        <w:t>Contra</w:t>
      </w:r>
      <w:r>
        <w:rPr>
          <w:rFonts w:ascii="Verdana" w:hAnsi="Verdana"/>
          <w:b/>
        </w:rPr>
        <w:t>to de Gestão e Programa Vai Tec.</w:t>
      </w:r>
    </w:p>
    <w:p w:rsidR="00E774B7" w:rsidRPr="00E774B7" w:rsidRDefault="00E774B7" w:rsidP="0008456D">
      <w:pPr>
        <w:tabs>
          <w:tab w:val="left" w:pos="3215"/>
        </w:tabs>
        <w:spacing w:after="0" w:line="240" w:lineRule="auto"/>
        <w:jc w:val="both"/>
        <w:rPr>
          <w:rFonts w:ascii="Verdana" w:hAnsi="Verdana"/>
          <w:b/>
        </w:rPr>
      </w:pPr>
    </w:p>
    <w:p w:rsidR="00E774B7" w:rsidRDefault="00E774B7" w:rsidP="0008456D">
      <w:pPr>
        <w:tabs>
          <w:tab w:val="left" w:pos="3215"/>
        </w:tabs>
        <w:spacing w:after="0" w:line="240" w:lineRule="auto"/>
        <w:jc w:val="both"/>
        <w:rPr>
          <w:rFonts w:ascii="Verdana" w:hAnsi="Verdana"/>
        </w:rPr>
      </w:pPr>
      <w:r>
        <w:rPr>
          <w:rFonts w:ascii="Verdana" w:hAnsi="Verdana"/>
        </w:rPr>
        <w:t xml:space="preserve">  </w:t>
      </w:r>
      <w:r w:rsidRPr="00E774B7">
        <w:rPr>
          <w:rFonts w:ascii="Verdana" w:hAnsi="Verdana"/>
        </w:rPr>
        <w:t>Pelo Contrato de Gestão nº 11/2014, firmado entre a Ade Sampa e a PMSP, foram recebidos R$ 7,5 milhões durante o exercício de 2015 que, somados ao montante recebido em 2014, totalizam R$ 10,6 milhões, sendo R$ 6,5 milhões para custeio da Agência e R$ 4,1 milhões para o programa VAI TEC.</w:t>
      </w:r>
    </w:p>
    <w:p w:rsidR="00E774B7" w:rsidRDefault="00E774B7" w:rsidP="0008456D">
      <w:pPr>
        <w:tabs>
          <w:tab w:val="left" w:pos="3215"/>
        </w:tabs>
        <w:spacing w:after="0" w:line="240" w:lineRule="auto"/>
        <w:jc w:val="both"/>
        <w:rPr>
          <w:rFonts w:ascii="Verdana" w:hAnsi="Verdana"/>
        </w:rPr>
      </w:pPr>
      <w:r w:rsidRPr="00E774B7">
        <w:rPr>
          <w:rFonts w:ascii="Verdana" w:hAnsi="Verdana"/>
        </w:rPr>
        <w:t xml:space="preserve">  Em 2015, foram pagos, a título de primeira parcela de subsídios, R$ 855,9 mil aos projetos selecionados no programa VAI TEC (sessenta e seis no total).</w:t>
      </w:r>
    </w:p>
    <w:p w:rsidR="00E774B7" w:rsidRDefault="00E774B7" w:rsidP="0008456D">
      <w:pPr>
        <w:tabs>
          <w:tab w:val="left" w:pos="3215"/>
        </w:tabs>
        <w:spacing w:after="0" w:line="240" w:lineRule="auto"/>
        <w:jc w:val="both"/>
        <w:rPr>
          <w:rFonts w:ascii="Verdana" w:hAnsi="Verdana"/>
        </w:rPr>
      </w:pPr>
    </w:p>
    <w:p w:rsidR="00E774B7" w:rsidRDefault="00E774B7" w:rsidP="0008456D">
      <w:pPr>
        <w:tabs>
          <w:tab w:val="left" w:pos="3215"/>
        </w:tabs>
        <w:spacing w:after="0" w:line="240" w:lineRule="auto"/>
        <w:jc w:val="both"/>
        <w:rPr>
          <w:rFonts w:ascii="Verdana" w:hAnsi="Verdana"/>
        </w:rPr>
      </w:pPr>
    </w:p>
    <w:p w:rsidR="00E774B7" w:rsidRPr="00E774B7" w:rsidRDefault="00E774B7" w:rsidP="0008456D">
      <w:pPr>
        <w:tabs>
          <w:tab w:val="left" w:pos="3215"/>
        </w:tabs>
        <w:spacing w:after="0" w:line="240" w:lineRule="auto"/>
        <w:jc w:val="both"/>
        <w:rPr>
          <w:rFonts w:ascii="Verdana" w:hAnsi="Verdana"/>
          <w:b/>
        </w:rPr>
      </w:pPr>
      <w:r w:rsidRPr="00E774B7">
        <w:rPr>
          <w:rFonts w:ascii="Verdana" w:hAnsi="Verdana"/>
          <w:b/>
        </w:rPr>
        <w:t xml:space="preserve">OUTRAS CONSIDERAÇÕES </w:t>
      </w:r>
    </w:p>
    <w:p w:rsidR="00E774B7" w:rsidRDefault="00E774B7" w:rsidP="0008456D">
      <w:pPr>
        <w:tabs>
          <w:tab w:val="left" w:pos="3215"/>
        </w:tabs>
        <w:spacing w:after="0" w:line="240" w:lineRule="auto"/>
        <w:jc w:val="both"/>
        <w:rPr>
          <w:rFonts w:ascii="Verdana" w:hAnsi="Verdana"/>
          <w:b/>
        </w:rPr>
      </w:pPr>
      <w:r w:rsidRPr="00E774B7">
        <w:rPr>
          <w:rFonts w:ascii="Verdana" w:hAnsi="Verdana"/>
          <w:b/>
        </w:rPr>
        <w:t>Despesas com pró-labores anteriores à assinatura do contrato de gestão</w:t>
      </w:r>
      <w:r>
        <w:rPr>
          <w:rFonts w:ascii="Verdana" w:hAnsi="Verdana"/>
          <w:b/>
        </w:rPr>
        <w:t>.</w:t>
      </w:r>
    </w:p>
    <w:p w:rsidR="00E774B7" w:rsidRDefault="00E774B7" w:rsidP="0008456D">
      <w:pPr>
        <w:tabs>
          <w:tab w:val="left" w:pos="3215"/>
        </w:tabs>
        <w:spacing w:after="0" w:line="240" w:lineRule="auto"/>
        <w:jc w:val="both"/>
        <w:rPr>
          <w:rFonts w:ascii="Verdana" w:hAnsi="Verdana"/>
          <w:b/>
        </w:rPr>
      </w:pPr>
    </w:p>
    <w:p w:rsidR="00E774B7" w:rsidRDefault="00E774B7" w:rsidP="0008456D">
      <w:pPr>
        <w:tabs>
          <w:tab w:val="left" w:pos="3215"/>
        </w:tabs>
        <w:spacing w:after="0" w:line="240" w:lineRule="auto"/>
        <w:jc w:val="both"/>
        <w:rPr>
          <w:rFonts w:ascii="Verdana" w:hAnsi="Verdana"/>
        </w:rPr>
      </w:pPr>
      <w:r>
        <w:rPr>
          <w:rFonts w:ascii="Verdana" w:hAnsi="Verdana"/>
        </w:rPr>
        <w:t xml:space="preserve">   </w:t>
      </w:r>
      <w:r w:rsidRPr="00E774B7">
        <w:rPr>
          <w:rFonts w:ascii="Verdana" w:hAnsi="Verdana"/>
        </w:rPr>
        <w:t>A diretoria da Ade Sampa tomou posse em 26.06.2014, exercendo suas funções e atividades representando a agência, fazendo jus, consequentemente, a sua remuneração. Porém, o efetivo funcionamento da Ade Sampa somente deu-se na data da inscrição de seu Estatuto no Cartório de Registro Civil de Pessoas Jurídicas, em 24.09.2014. Entre os eventos, na Segunda Reunião Ordinária do Conselho de Deliberativo da Agência São Paulo de Desenvolvimento – Ade Sampa, de 15.08.2014, foi referendada a nomeação e posse dos diretores, bem como definida as suas remunerações. Quantos aos recursos para a operação da agência, somente foram transferidos a partir do Contrato de Gestão nº 11/2014, assinado em 19.11.2014.</w:t>
      </w:r>
    </w:p>
    <w:p w:rsidR="00E774B7" w:rsidRDefault="00E774B7" w:rsidP="0008456D">
      <w:pPr>
        <w:tabs>
          <w:tab w:val="left" w:pos="3215"/>
        </w:tabs>
        <w:spacing w:after="0" w:line="240" w:lineRule="auto"/>
        <w:jc w:val="both"/>
        <w:rPr>
          <w:rFonts w:ascii="Verdana" w:hAnsi="Verdana"/>
        </w:rPr>
      </w:pPr>
      <w:r>
        <w:rPr>
          <w:rFonts w:ascii="Verdana" w:hAnsi="Verdana"/>
        </w:rPr>
        <w:t xml:space="preserve">   </w:t>
      </w:r>
      <w:r w:rsidRPr="00E774B7">
        <w:rPr>
          <w:rFonts w:ascii="Verdana" w:hAnsi="Verdana"/>
        </w:rPr>
        <w:t xml:space="preserve">Na apreciação da prestação de contas de 2014, o Conselho Deliberativo propôs que as despesas com o pagamento de pró- -labores dos Diretores anteriores à assinatura do Contrato de Gestão e às despesas contraídas sem realização de pesquisas de preços fossem glosadas e descontadas dos futuros repasses da Municipalidade à Ade Sampa, até o deslinde definitivo da questão pelos órgãos competentes. Nesse sentido, em atendimento ao deliberado, o montante de R$128 mil foi descontado da 8ª parcela do contrato de gestão repassada em 2015 e lançado a título de Reembolso a Receber. No entendimento de AUD, essa questão deve constar de nota </w:t>
      </w:r>
      <w:r w:rsidRPr="00E774B7">
        <w:rPr>
          <w:rFonts w:ascii="Verdana" w:hAnsi="Verdana"/>
        </w:rPr>
        <w:lastRenderedPageBreak/>
        <w:t xml:space="preserve">explicativa às demonstrações contábeis, com a explicitação integral dos valores envolvidos, quais </w:t>
      </w:r>
      <w:proofErr w:type="gramStart"/>
      <w:r w:rsidRPr="00E774B7">
        <w:rPr>
          <w:rFonts w:ascii="Verdana" w:hAnsi="Verdana"/>
        </w:rPr>
        <w:t>sejam,</w:t>
      </w:r>
      <w:proofErr w:type="gramEnd"/>
      <w:r w:rsidRPr="00E774B7">
        <w:rPr>
          <w:rFonts w:ascii="Verdana" w:hAnsi="Verdana"/>
        </w:rPr>
        <w:t xml:space="preserve"> os valores correspondentes ao período entre a posse e o registro da agência e a assinatura do contrato de gestão, bem como a relação entre estes valores e aqueles já pagos e reconhecidos no exercício de 2014 e os valores destacados (glosados) no exercício de 2015</w:t>
      </w:r>
    </w:p>
    <w:p w:rsidR="00E774B7" w:rsidRDefault="00E774B7" w:rsidP="0008456D">
      <w:pPr>
        <w:tabs>
          <w:tab w:val="left" w:pos="3215"/>
        </w:tabs>
        <w:spacing w:after="0" w:line="240" w:lineRule="auto"/>
        <w:jc w:val="both"/>
        <w:rPr>
          <w:rFonts w:ascii="Verdana" w:hAnsi="Verdana"/>
        </w:rPr>
      </w:pPr>
    </w:p>
    <w:p w:rsidR="00E774B7" w:rsidRDefault="00E774B7" w:rsidP="0008456D">
      <w:pPr>
        <w:tabs>
          <w:tab w:val="left" w:pos="3215"/>
        </w:tabs>
        <w:spacing w:after="0" w:line="240" w:lineRule="auto"/>
        <w:jc w:val="both"/>
        <w:rPr>
          <w:rFonts w:ascii="Verdana" w:hAnsi="Verdana"/>
          <w:b/>
        </w:rPr>
      </w:pPr>
      <w:r w:rsidRPr="00FE4008">
        <w:rPr>
          <w:rFonts w:ascii="Verdana" w:hAnsi="Verdana"/>
          <w:b/>
        </w:rPr>
        <w:t>Ressalvas do parecer do Conselho Fiscal</w:t>
      </w:r>
    </w:p>
    <w:p w:rsidR="00FE4008" w:rsidRPr="00FE4008" w:rsidRDefault="00FE4008" w:rsidP="0008456D">
      <w:pPr>
        <w:tabs>
          <w:tab w:val="left" w:pos="3215"/>
        </w:tabs>
        <w:spacing w:after="0" w:line="240" w:lineRule="auto"/>
        <w:jc w:val="both"/>
        <w:rPr>
          <w:rFonts w:ascii="Verdana" w:hAnsi="Verdana"/>
          <w:b/>
        </w:rPr>
      </w:pPr>
    </w:p>
    <w:p w:rsidR="00E774B7" w:rsidRDefault="00FE4008" w:rsidP="0008456D">
      <w:pPr>
        <w:tabs>
          <w:tab w:val="left" w:pos="3215"/>
        </w:tabs>
        <w:spacing w:after="0" w:line="240" w:lineRule="auto"/>
        <w:jc w:val="both"/>
        <w:rPr>
          <w:rFonts w:ascii="Verdana" w:hAnsi="Verdana"/>
        </w:rPr>
      </w:pPr>
      <w:r>
        <w:rPr>
          <w:rFonts w:ascii="Verdana" w:hAnsi="Verdana"/>
        </w:rPr>
        <w:t xml:space="preserve"> </w:t>
      </w:r>
      <w:r w:rsidR="00E774B7" w:rsidRPr="00FE4008">
        <w:rPr>
          <w:rFonts w:ascii="Verdana" w:hAnsi="Verdana"/>
        </w:rPr>
        <w:t xml:space="preserve"> Com relação à ressalva feita pelo Conselho Fiscal no tocante às contratações de pessoal efetuadas pela Agência, a Auditoria entende que deve ser avaliada a necessidade de provisionamento contábil para fazer frente às eventuais rescisões</w:t>
      </w:r>
      <w:r w:rsidRPr="00FE4008">
        <w:rPr>
          <w:rFonts w:ascii="Verdana" w:hAnsi="Verdana"/>
        </w:rPr>
        <w:t>.</w:t>
      </w:r>
    </w:p>
    <w:p w:rsidR="00FE4008" w:rsidRDefault="00FE4008" w:rsidP="0008456D">
      <w:pPr>
        <w:tabs>
          <w:tab w:val="left" w:pos="3215"/>
        </w:tabs>
        <w:spacing w:after="0" w:line="240" w:lineRule="auto"/>
        <w:jc w:val="both"/>
        <w:rPr>
          <w:rFonts w:ascii="Verdana" w:hAnsi="Verdana"/>
        </w:rPr>
      </w:pPr>
    </w:p>
    <w:p w:rsidR="00FE4008" w:rsidRDefault="00FE4008" w:rsidP="0008456D">
      <w:pPr>
        <w:tabs>
          <w:tab w:val="left" w:pos="3215"/>
        </w:tabs>
        <w:spacing w:after="0" w:line="240" w:lineRule="auto"/>
        <w:jc w:val="both"/>
        <w:rPr>
          <w:rFonts w:ascii="Verdana" w:hAnsi="Verdana"/>
          <w:b/>
        </w:rPr>
      </w:pPr>
      <w:r w:rsidRPr="00FE4008">
        <w:rPr>
          <w:rFonts w:ascii="Verdana" w:hAnsi="Verdana"/>
          <w:b/>
        </w:rPr>
        <w:t>INFRINGÊNCIAS/PROPOSTAS DE DETERMINAÇÕES</w:t>
      </w:r>
    </w:p>
    <w:p w:rsidR="00FE4008" w:rsidRDefault="00FE4008" w:rsidP="0008456D">
      <w:pPr>
        <w:tabs>
          <w:tab w:val="left" w:pos="3215"/>
        </w:tabs>
        <w:spacing w:after="0" w:line="240" w:lineRule="auto"/>
        <w:jc w:val="both"/>
        <w:rPr>
          <w:rFonts w:ascii="Verdana" w:hAnsi="Verdana"/>
          <w:b/>
        </w:rPr>
      </w:pPr>
    </w:p>
    <w:p w:rsidR="00FE4008" w:rsidRDefault="00FE4008" w:rsidP="0008456D">
      <w:pPr>
        <w:tabs>
          <w:tab w:val="left" w:pos="3215"/>
        </w:tabs>
        <w:spacing w:after="0" w:line="240" w:lineRule="auto"/>
        <w:jc w:val="both"/>
        <w:rPr>
          <w:rFonts w:ascii="Verdana" w:hAnsi="Verdana"/>
          <w:b/>
        </w:rPr>
      </w:pPr>
      <w:r w:rsidRPr="00FE4008">
        <w:rPr>
          <w:rFonts w:ascii="Verdana" w:hAnsi="Verdana"/>
          <w:b/>
        </w:rPr>
        <w:t>6.1 Infringências / Impropriedades do exercício de 2014 (conforme numeração original do RAF 2014)</w:t>
      </w:r>
    </w:p>
    <w:p w:rsidR="00FE4008" w:rsidRDefault="00FE4008" w:rsidP="0008456D">
      <w:pPr>
        <w:tabs>
          <w:tab w:val="left" w:pos="3215"/>
        </w:tabs>
        <w:spacing w:after="0" w:line="240" w:lineRule="auto"/>
        <w:jc w:val="both"/>
        <w:rPr>
          <w:rFonts w:ascii="Verdana" w:hAnsi="Verdana"/>
          <w:b/>
        </w:rPr>
      </w:pP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6.1.2</w:t>
      </w:r>
      <w:r w:rsidRPr="00FE4008">
        <w:rPr>
          <w:rFonts w:ascii="Verdana" w:hAnsi="Verdana"/>
        </w:rPr>
        <w:t xml:space="preserve">. As demonstrações contábeis apresentaram incoerências (itens 4.1.3, 4.1.4, 4.2.1).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Dispositivo legal não observado:</w:t>
      </w:r>
    </w:p>
    <w:p w:rsidR="00FE4008" w:rsidRDefault="00FE4008" w:rsidP="0008456D">
      <w:pPr>
        <w:tabs>
          <w:tab w:val="left" w:pos="3215"/>
        </w:tabs>
        <w:spacing w:after="0" w:line="240" w:lineRule="auto"/>
        <w:jc w:val="both"/>
        <w:rPr>
          <w:rFonts w:ascii="Verdana" w:hAnsi="Verdana"/>
        </w:rPr>
      </w:pPr>
      <w:r w:rsidRPr="00FE4008">
        <w:rPr>
          <w:rFonts w:ascii="Verdana" w:hAnsi="Verdana"/>
        </w:rPr>
        <w:t xml:space="preserve">- item 31 da NBC T </w:t>
      </w:r>
      <w:proofErr w:type="gramStart"/>
      <w:r w:rsidRPr="00FE4008">
        <w:rPr>
          <w:rFonts w:ascii="Verdana" w:hAnsi="Verdana"/>
        </w:rPr>
        <w:t>1</w:t>
      </w:r>
      <w:proofErr w:type="gramEnd"/>
      <w:r w:rsidRPr="00FE4008">
        <w:rPr>
          <w:rFonts w:ascii="Verdana" w:hAnsi="Verdana"/>
        </w:rPr>
        <w:t>.</w:t>
      </w:r>
    </w:p>
    <w:p w:rsidR="00FE4008" w:rsidRDefault="00FE4008" w:rsidP="0008456D">
      <w:pPr>
        <w:tabs>
          <w:tab w:val="left" w:pos="3215"/>
        </w:tabs>
        <w:spacing w:after="0" w:line="240" w:lineRule="auto"/>
        <w:jc w:val="both"/>
        <w:rPr>
          <w:rFonts w:ascii="Verdana" w:hAnsi="Verdana"/>
        </w:rPr>
      </w:pPr>
      <w:r w:rsidRPr="00FE4008">
        <w:rPr>
          <w:rFonts w:ascii="Verdana" w:hAnsi="Verdana"/>
          <w:b/>
        </w:rPr>
        <w:t>6.1.3.</w:t>
      </w:r>
      <w:r w:rsidRPr="00FE4008">
        <w:rPr>
          <w:rFonts w:ascii="Verdana" w:hAnsi="Verdana"/>
        </w:rPr>
        <w:t xml:space="preserve"> As notas explicativas não abordaram a gratuidade representada pelo Termo de Permissão de Uso (item 4.4).</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Dispositivo legal não observado: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 item 27 da NBC ITG 2002 (R1).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6.1.4</w:t>
      </w:r>
      <w:r w:rsidRPr="00FE4008">
        <w:rPr>
          <w:rFonts w:ascii="Verdana" w:hAnsi="Verdana"/>
        </w:rPr>
        <w:t>. O Conselho Deliberativo não se reuniu na regularidade demandada pelo Estatuto e não deu publicidade aos seus atos (item 5.1.1).</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Dispositivos legais não observados: </w:t>
      </w:r>
    </w:p>
    <w:p w:rsidR="00FE4008" w:rsidRDefault="00FE4008" w:rsidP="0008456D">
      <w:pPr>
        <w:tabs>
          <w:tab w:val="left" w:pos="3215"/>
        </w:tabs>
        <w:spacing w:after="0" w:line="240" w:lineRule="auto"/>
        <w:jc w:val="both"/>
        <w:rPr>
          <w:rFonts w:ascii="Verdana" w:hAnsi="Verdana"/>
        </w:rPr>
      </w:pPr>
      <w:r w:rsidRPr="00FE4008">
        <w:rPr>
          <w:rFonts w:ascii="Verdana" w:hAnsi="Verdana"/>
        </w:rPr>
        <w:t xml:space="preserve">- art. 8º do Estatuto da Ade Sampa e ao inciso XI do art. 10 da Lei Municipal nº 15.838/2013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6.1.5.</w:t>
      </w:r>
      <w:r w:rsidRPr="00FE4008">
        <w:rPr>
          <w:rFonts w:ascii="Verdana" w:hAnsi="Verdana"/>
        </w:rPr>
        <w:t xml:space="preserve"> O Conselho Fiscal não se reuniu na regularidade demandada pelo Estatuto e não deu publicidade aos seus atos (item 5.1.2).</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 Dispositivos legais não observados: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art. 8º do Estatuto da Ade Sampa e ao inciso III do art. 11 da Lei Municipal nº 15.838/2013.</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6.1.6.</w:t>
      </w:r>
      <w:r w:rsidRPr="00FE4008">
        <w:rPr>
          <w:rFonts w:ascii="Verdana" w:hAnsi="Verdana"/>
        </w:rPr>
        <w:t xml:space="preserve"> A Ade Sampa não disponibilizou em seu endereço eletrônico informação dispondo cargos, atribuições e respectivas remunerações (item 5.2).</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 Dispositivo legal não observado:</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 - inciso III do art. 20 da Lei Municipal nº 15.838/2013.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6.1.7.</w:t>
      </w:r>
      <w:r w:rsidRPr="00FE4008">
        <w:rPr>
          <w:rFonts w:ascii="Verdana" w:hAnsi="Verdana"/>
        </w:rPr>
        <w:t xml:space="preserve"> A Ade Sampa não realizou as contratações conforme o disposto no manual próprio de licitações e de contratos (item 5.3).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Dispositivo legal não observado: </w:t>
      </w:r>
    </w:p>
    <w:p w:rsidR="00FE4008" w:rsidRDefault="00FE4008" w:rsidP="0008456D">
      <w:pPr>
        <w:tabs>
          <w:tab w:val="left" w:pos="3215"/>
        </w:tabs>
        <w:spacing w:after="0" w:line="240" w:lineRule="auto"/>
        <w:jc w:val="both"/>
        <w:rPr>
          <w:rFonts w:ascii="Verdana" w:hAnsi="Verdana"/>
        </w:rPr>
      </w:pPr>
      <w:r w:rsidRPr="00FE4008">
        <w:rPr>
          <w:rFonts w:ascii="Verdana" w:hAnsi="Verdana"/>
        </w:rPr>
        <w:t xml:space="preserve">- § 1º do art. 31 do Estatuto da Ade Sampa.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lastRenderedPageBreak/>
        <w:t>6.2.1.</w:t>
      </w:r>
      <w:r w:rsidRPr="00FE4008">
        <w:rPr>
          <w:rFonts w:ascii="Verdana" w:hAnsi="Verdana"/>
        </w:rPr>
        <w:t xml:space="preserve"> Apresentar Demonstrações Contábeis sem incorre- </w:t>
      </w:r>
      <w:proofErr w:type="spellStart"/>
      <w:r w:rsidRPr="00FE4008">
        <w:rPr>
          <w:rFonts w:ascii="Verdana" w:hAnsi="Verdana"/>
        </w:rPr>
        <w:t>ções</w:t>
      </w:r>
      <w:proofErr w:type="spellEnd"/>
      <w:r w:rsidRPr="00FE4008">
        <w:rPr>
          <w:rFonts w:ascii="Verdana" w:hAnsi="Verdana"/>
        </w:rPr>
        <w:t xml:space="preserve"> (itens 4.1.3, 4.1.4, 4.2.1).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6.2.2.</w:t>
      </w:r>
      <w:r w:rsidRPr="00FE4008">
        <w:rPr>
          <w:rFonts w:ascii="Verdana" w:hAnsi="Verdana"/>
        </w:rPr>
        <w:t xml:space="preserve"> Elaborar e publicar, nas próximas demonstrações, notas explicativas contendo esclarecimentos acerca das gratuidades recebidas (item 4.4).</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 xml:space="preserve"> 6.2.3.</w:t>
      </w:r>
      <w:r w:rsidRPr="00FE4008">
        <w:rPr>
          <w:rFonts w:ascii="Verdana" w:hAnsi="Verdana"/>
        </w:rPr>
        <w:t xml:space="preserve"> Seus órgãos superiores realizem reuniões na periodicidade definida no Estatuto e deem publicidade aos seus atos (itens 5.1.1 e 5.1.2).</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 xml:space="preserve"> 6.2.4.</w:t>
      </w:r>
      <w:r w:rsidRPr="00FE4008">
        <w:rPr>
          <w:rFonts w:ascii="Verdana" w:hAnsi="Verdana"/>
        </w:rPr>
        <w:t xml:space="preserve"> Disponibilize em seu endereço eletrônico informação dispondo cargos, atribuições e respectivas remunerações (item 5.2). </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6.2.5.</w:t>
      </w:r>
      <w:r w:rsidRPr="00FE4008">
        <w:rPr>
          <w:rFonts w:ascii="Verdana" w:hAnsi="Verdana"/>
        </w:rPr>
        <w:t xml:space="preserve"> Realize contratações conforme disposto no manual próprio de licitações e de contratos (item 5.3).</w:t>
      </w:r>
    </w:p>
    <w:p w:rsidR="00FE4008" w:rsidRDefault="00FE4008" w:rsidP="0008456D">
      <w:pPr>
        <w:tabs>
          <w:tab w:val="left" w:pos="3215"/>
        </w:tabs>
        <w:spacing w:after="0" w:line="240" w:lineRule="auto"/>
        <w:jc w:val="both"/>
        <w:rPr>
          <w:rFonts w:ascii="Verdana" w:hAnsi="Verdana"/>
          <w:b/>
        </w:rPr>
      </w:pPr>
      <w:r w:rsidRPr="00FE4008">
        <w:rPr>
          <w:rFonts w:ascii="Verdana" w:hAnsi="Verdana"/>
        </w:rPr>
        <w:t xml:space="preserve">6.2. </w:t>
      </w:r>
      <w:r w:rsidRPr="00FE4008">
        <w:rPr>
          <w:rFonts w:ascii="Verdana" w:hAnsi="Verdana"/>
          <w:b/>
        </w:rPr>
        <w:t>Propostas de determinações do exercício de 2014 (conforme numeração original do RAF 2014).</w:t>
      </w:r>
    </w:p>
    <w:p w:rsidR="00FE4008" w:rsidRDefault="00FE4008" w:rsidP="0008456D">
      <w:pPr>
        <w:tabs>
          <w:tab w:val="left" w:pos="3215"/>
        </w:tabs>
        <w:spacing w:after="0" w:line="240" w:lineRule="auto"/>
        <w:jc w:val="both"/>
        <w:rPr>
          <w:rFonts w:ascii="Verdana" w:hAnsi="Verdana"/>
          <w:b/>
        </w:rPr>
      </w:pPr>
      <w:r w:rsidRPr="00FE4008">
        <w:rPr>
          <w:rFonts w:ascii="Verdana" w:hAnsi="Verdana"/>
          <w:b/>
        </w:rPr>
        <w:t>7.1 Infringências / Impropriedades do exercício de 2015 (conforme numeração original do RAF 2015)</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b/>
        </w:rPr>
        <w:t>7.1</w:t>
      </w:r>
      <w:r w:rsidRPr="00FE4008">
        <w:rPr>
          <w:rFonts w:ascii="Verdana" w:hAnsi="Verdana"/>
        </w:rPr>
        <w:t xml:space="preserve"> Infringências / Impropriedades do exercício de 2015 (conforme numeração original do RAF 2015)</w:t>
      </w:r>
    </w:p>
    <w:p w:rsidR="00FE4008" w:rsidRPr="00FE4008" w:rsidRDefault="00FE4008" w:rsidP="0008456D">
      <w:pPr>
        <w:tabs>
          <w:tab w:val="left" w:pos="3215"/>
        </w:tabs>
        <w:spacing w:after="0" w:line="240" w:lineRule="auto"/>
        <w:jc w:val="both"/>
        <w:rPr>
          <w:rFonts w:ascii="Verdana" w:hAnsi="Verdana"/>
        </w:rPr>
      </w:pPr>
      <w:r w:rsidRPr="00FE4008">
        <w:rPr>
          <w:rFonts w:ascii="Verdana" w:hAnsi="Verdana"/>
        </w:rPr>
        <w:t xml:space="preserve">Dispositivo legal não observado: </w:t>
      </w:r>
    </w:p>
    <w:p w:rsidR="00FE4008" w:rsidRPr="00624E22" w:rsidRDefault="00FE4008" w:rsidP="0008456D">
      <w:pPr>
        <w:tabs>
          <w:tab w:val="left" w:pos="3215"/>
        </w:tabs>
        <w:spacing w:after="0" w:line="240" w:lineRule="auto"/>
        <w:jc w:val="both"/>
        <w:rPr>
          <w:rFonts w:ascii="Verdana" w:hAnsi="Verdana"/>
        </w:rPr>
      </w:pPr>
      <w:r w:rsidRPr="00624E22">
        <w:rPr>
          <w:rFonts w:ascii="Verdana" w:hAnsi="Verdana"/>
        </w:rPr>
        <w:t>- item 27 da NBC ITG 2002 (R1)</w:t>
      </w:r>
    </w:p>
    <w:p w:rsidR="00FE4008" w:rsidRPr="00624E22" w:rsidRDefault="00FE4008" w:rsidP="0008456D">
      <w:pPr>
        <w:tabs>
          <w:tab w:val="left" w:pos="3215"/>
        </w:tabs>
        <w:spacing w:after="0" w:line="240" w:lineRule="auto"/>
        <w:jc w:val="both"/>
        <w:rPr>
          <w:rFonts w:ascii="Verdana" w:hAnsi="Verdana"/>
        </w:rPr>
      </w:pPr>
      <w:r w:rsidRPr="00624E22">
        <w:rPr>
          <w:rFonts w:ascii="Verdana" w:hAnsi="Verdana"/>
          <w:b/>
        </w:rPr>
        <w:t>7.1.2.</w:t>
      </w:r>
      <w:r w:rsidRPr="00624E22">
        <w:rPr>
          <w:rFonts w:ascii="Verdana" w:hAnsi="Verdana"/>
        </w:rPr>
        <w:t xml:space="preserve"> O Conselho Deliberativo sofreu alterações sem que houvesse a nomeação pelo Prefeito (item 5.1.1).</w:t>
      </w:r>
    </w:p>
    <w:p w:rsidR="00FE4008" w:rsidRPr="00624E22" w:rsidRDefault="00FE4008" w:rsidP="0008456D">
      <w:pPr>
        <w:tabs>
          <w:tab w:val="left" w:pos="3215"/>
        </w:tabs>
        <w:spacing w:after="0" w:line="240" w:lineRule="auto"/>
        <w:jc w:val="both"/>
        <w:rPr>
          <w:rFonts w:ascii="Verdana" w:hAnsi="Verdana"/>
        </w:rPr>
      </w:pPr>
      <w:r w:rsidRPr="00624E22">
        <w:rPr>
          <w:rFonts w:ascii="Verdana" w:hAnsi="Verdana"/>
        </w:rPr>
        <w:t xml:space="preserve"> Dispositivos legais não observados: </w:t>
      </w:r>
    </w:p>
    <w:p w:rsidR="00FE4008" w:rsidRPr="00624E22" w:rsidRDefault="00FE4008" w:rsidP="0008456D">
      <w:pPr>
        <w:tabs>
          <w:tab w:val="left" w:pos="3215"/>
        </w:tabs>
        <w:spacing w:after="0" w:line="240" w:lineRule="auto"/>
        <w:jc w:val="both"/>
        <w:rPr>
          <w:rFonts w:ascii="Verdana" w:hAnsi="Verdana"/>
        </w:rPr>
      </w:pPr>
      <w:r w:rsidRPr="00624E22">
        <w:rPr>
          <w:rFonts w:ascii="Verdana" w:hAnsi="Verdana"/>
        </w:rPr>
        <w:t xml:space="preserve">- art. 9º da Lei Municipal nº </w:t>
      </w:r>
      <w:proofErr w:type="gramStart"/>
      <w:r w:rsidRPr="00624E22">
        <w:rPr>
          <w:rFonts w:ascii="Verdana" w:hAnsi="Verdana"/>
        </w:rPr>
        <w:t>15.838/2013, art.</w:t>
      </w:r>
      <w:proofErr w:type="gramEnd"/>
      <w:r w:rsidRPr="00624E22">
        <w:rPr>
          <w:rFonts w:ascii="Verdana" w:hAnsi="Verdana"/>
        </w:rPr>
        <w:t xml:space="preserve"> 6º do Decreto nº 54.569/2013 e art. 7º, § 1º do Estatuto da Ade Sampa. </w:t>
      </w:r>
    </w:p>
    <w:p w:rsidR="00FE4008" w:rsidRPr="00624E22" w:rsidRDefault="00FE4008" w:rsidP="0008456D">
      <w:pPr>
        <w:tabs>
          <w:tab w:val="left" w:pos="3215"/>
        </w:tabs>
        <w:spacing w:after="0" w:line="240" w:lineRule="auto"/>
        <w:jc w:val="both"/>
        <w:rPr>
          <w:rFonts w:ascii="Verdana" w:hAnsi="Verdana"/>
        </w:rPr>
      </w:pPr>
      <w:r w:rsidRPr="00624E22">
        <w:rPr>
          <w:rFonts w:ascii="Verdana" w:hAnsi="Verdana"/>
          <w:b/>
        </w:rPr>
        <w:t>7.1.3.</w:t>
      </w:r>
      <w:r w:rsidRPr="00624E22">
        <w:rPr>
          <w:rFonts w:ascii="Verdana" w:hAnsi="Verdana"/>
        </w:rPr>
        <w:t xml:space="preserve"> O Conselho Deliberativo não se reuniu na regularidade demandada pelo Estatuto e não deu publicidade aos seus atos (item 5.1.1). </w:t>
      </w:r>
    </w:p>
    <w:p w:rsidR="00FE4008" w:rsidRPr="00624E22" w:rsidRDefault="00FE4008" w:rsidP="0008456D">
      <w:pPr>
        <w:tabs>
          <w:tab w:val="left" w:pos="3215"/>
        </w:tabs>
        <w:spacing w:after="0" w:line="240" w:lineRule="auto"/>
        <w:jc w:val="both"/>
        <w:rPr>
          <w:rFonts w:ascii="Verdana" w:hAnsi="Verdana"/>
        </w:rPr>
      </w:pPr>
      <w:r w:rsidRPr="00624E22">
        <w:rPr>
          <w:rFonts w:ascii="Verdana" w:hAnsi="Verdana"/>
        </w:rPr>
        <w:t xml:space="preserve">Dispositivos legais não observados: </w:t>
      </w:r>
    </w:p>
    <w:p w:rsidR="00624E22" w:rsidRDefault="00FE4008" w:rsidP="0008456D">
      <w:pPr>
        <w:tabs>
          <w:tab w:val="left" w:pos="3215"/>
        </w:tabs>
        <w:spacing w:after="0" w:line="240" w:lineRule="auto"/>
        <w:jc w:val="both"/>
        <w:rPr>
          <w:rFonts w:ascii="Verdana" w:hAnsi="Verdana"/>
        </w:rPr>
      </w:pPr>
      <w:r w:rsidRPr="00624E22">
        <w:rPr>
          <w:rFonts w:ascii="Verdana" w:hAnsi="Verdana"/>
        </w:rPr>
        <w:t xml:space="preserve">- art. 8º do Estatuto da Ade Sampa e ao inciso XI do art. 10 da Lei Municipal nº 15.838/2013 </w:t>
      </w:r>
    </w:p>
    <w:p w:rsidR="00624E22" w:rsidRPr="00624E22" w:rsidRDefault="00FE4008" w:rsidP="0008456D">
      <w:pPr>
        <w:tabs>
          <w:tab w:val="left" w:pos="3215"/>
        </w:tabs>
        <w:spacing w:after="0" w:line="240" w:lineRule="auto"/>
        <w:jc w:val="both"/>
        <w:rPr>
          <w:rFonts w:ascii="Verdana" w:hAnsi="Verdana"/>
        </w:rPr>
      </w:pPr>
      <w:r w:rsidRPr="00624E22">
        <w:rPr>
          <w:rFonts w:ascii="Verdana" w:hAnsi="Verdana"/>
          <w:b/>
        </w:rPr>
        <w:t>7.1.4.</w:t>
      </w:r>
      <w:r w:rsidRPr="00624E22">
        <w:rPr>
          <w:rFonts w:ascii="Verdana" w:hAnsi="Verdana"/>
        </w:rPr>
        <w:t xml:space="preserve"> O Conselho Fiscal não se reuniu na regularidade demandada pelo Estatuto e não deu publicidade aos seus atos (item 5.1.2). </w:t>
      </w:r>
    </w:p>
    <w:p w:rsidR="00624E22" w:rsidRPr="00624E22" w:rsidRDefault="00FE4008" w:rsidP="0008456D">
      <w:pPr>
        <w:tabs>
          <w:tab w:val="left" w:pos="3215"/>
        </w:tabs>
        <w:spacing w:after="0" w:line="240" w:lineRule="auto"/>
        <w:jc w:val="both"/>
        <w:rPr>
          <w:rFonts w:ascii="Verdana" w:hAnsi="Verdana"/>
        </w:rPr>
      </w:pPr>
      <w:r w:rsidRPr="00624E22">
        <w:rPr>
          <w:rFonts w:ascii="Verdana" w:hAnsi="Verdana"/>
        </w:rPr>
        <w:t xml:space="preserve">Dispositivos legais não observados: </w:t>
      </w:r>
    </w:p>
    <w:p w:rsidR="00FE4008" w:rsidRDefault="00FE4008" w:rsidP="0008456D">
      <w:pPr>
        <w:tabs>
          <w:tab w:val="left" w:pos="3215"/>
        </w:tabs>
        <w:spacing w:after="0" w:line="240" w:lineRule="auto"/>
        <w:jc w:val="both"/>
        <w:rPr>
          <w:rFonts w:ascii="Verdana" w:hAnsi="Verdana"/>
        </w:rPr>
      </w:pPr>
      <w:r w:rsidRPr="00624E22">
        <w:rPr>
          <w:rFonts w:ascii="Verdana" w:hAnsi="Verdana"/>
        </w:rPr>
        <w:t>- art. 8º do Estatuto da Ade Sampa e ao inciso III do art. 11 da Lei Municipal nº 15.838/2013.</w:t>
      </w:r>
    </w:p>
    <w:p w:rsidR="00624E22" w:rsidRPr="00624E22" w:rsidRDefault="00624E22" w:rsidP="0008456D">
      <w:pPr>
        <w:tabs>
          <w:tab w:val="left" w:pos="3215"/>
        </w:tabs>
        <w:spacing w:after="0" w:line="240" w:lineRule="auto"/>
        <w:jc w:val="both"/>
        <w:rPr>
          <w:rFonts w:ascii="Verdana" w:hAnsi="Verdana"/>
        </w:rPr>
      </w:pPr>
      <w:r w:rsidRPr="00624E22">
        <w:rPr>
          <w:rFonts w:ascii="Verdana" w:hAnsi="Verdana"/>
          <w:b/>
        </w:rPr>
        <w:t>7.1.5.</w:t>
      </w:r>
      <w:r w:rsidRPr="00624E22">
        <w:rPr>
          <w:rFonts w:ascii="Verdana" w:hAnsi="Verdana"/>
        </w:rPr>
        <w:t xml:space="preserve"> A Ade Sampa não disponibilizou em seu endereço eletrônico informação dispondo cargos, atribuições e respectivas remunerações (item 5.2). </w:t>
      </w:r>
    </w:p>
    <w:p w:rsidR="00624E22" w:rsidRPr="00624E22" w:rsidRDefault="00624E22" w:rsidP="0008456D">
      <w:pPr>
        <w:tabs>
          <w:tab w:val="left" w:pos="3215"/>
        </w:tabs>
        <w:spacing w:after="0" w:line="240" w:lineRule="auto"/>
        <w:jc w:val="both"/>
        <w:rPr>
          <w:rFonts w:ascii="Verdana" w:hAnsi="Verdana"/>
        </w:rPr>
      </w:pPr>
      <w:r w:rsidRPr="00624E22">
        <w:rPr>
          <w:rFonts w:ascii="Verdana" w:hAnsi="Verdana"/>
        </w:rPr>
        <w:t xml:space="preserve">Dispositivo legal não observado: </w:t>
      </w:r>
    </w:p>
    <w:p w:rsidR="00624E22" w:rsidRPr="00624E22" w:rsidRDefault="00624E22" w:rsidP="0008456D">
      <w:pPr>
        <w:tabs>
          <w:tab w:val="left" w:pos="3215"/>
        </w:tabs>
        <w:spacing w:after="0" w:line="240" w:lineRule="auto"/>
        <w:jc w:val="both"/>
        <w:rPr>
          <w:rFonts w:ascii="Verdana" w:hAnsi="Verdana"/>
        </w:rPr>
      </w:pPr>
      <w:r w:rsidRPr="00624E22">
        <w:rPr>
          <w:rFonts w:ascii="Verdana" w:hAnsi="Verdana"/>
        </w:rPr>
        <w:t xml:space="preserve">- inciso III do art. 20 da Lei Municipal nº 15.838/2013. </w:t>
      </w:r>
    </w:p>
    <w:p w:rsidR="00624E22" w:rsidRPr="00624E22" w:rsidRDefault="00624E22" w:rsidP="0008456D">
      <w:pPr>
        <w:tabs>
          <w:tab w:val="left" w:pos="3215"/>
        </w:tabs>
        <w:spacing w:after="0" w:line="240" w:lineRule="auto"/>
        <w:jc w:val="both"/>
        <w:rPr>
          <w:rFonts w:ascii="Verdana" w:hAnsi="Verdana"/>
          <w:b/>
        </w:rPr>
      </w:pPr>
      <w:r w:rsidRPr="00624E22">
        <w:rPr>
          <w:rFonts w:ascii="Verdana" w:hAnsi="Verdana"/>
          <w:b/>
        </w:rPr>
        <w:t>7.2</w:t>
      </w:r>
      <w:r w:rsidRPr="00624E22">
        <w:rPr>
          <w:rFonts w:ascii="Verdana" w:hAnsi="Verdana"/>
        </w:rPr>
        <w:t xml:space="preserve"> </w:t>
      </w:r>
      <w:r w:rsidRPr="00624E22">
        <w:rPr>
          <w:rFonts w:ascii="Verdana" w:hAnsi="Verdana"/>
          <w:b/>
        </w:rPr>
        <w:t xml:space="preserve">Propostas de determinações do exercício de 2015 (conforme numeração original do RAF 2015). </w:t>
      </w:r>
    </w:p>
    <w:p w:rsidR="00624E22" w:rsidRPr="00624E22" w:rsidRDefault="00624E22" w:rsidP="0008456D">
      <w:pPr>
        <w:tabs>
          <w:tab w:val="left" w:pos="3215"/>
        </w:tabs>
        <w:spacing w:after="0" w:line="240" w:lineRule="auto"/>
        <w:jc w:val="both"/>
        <w:rPr>
          <w:rFonts w:ascii="Verdana" w:hAnsi="Verdana"/>
          <w:b/>
        </w:rPr>
      </w:pPr>
      <w:r w:rsidRPr="00624E22">
        <w:rPr>
          <w:rFonts w:ascii="Verdana" w:hAnsi="Verdana"/>
          <w:b/>
        </w:rPr>
        <w:t>7.2.1</w:t>
      </w:r>
      <w:r w:rsidRPr="00624E22">
        <w:rPr>
          <w:rFonts w:ascii="Verdana" w:hAnsi="Verdana"/>
        </w:rPr>
        <w:t xml:space="preserve"> Elaborar e publicar, nas próximas demonstrações, notas explicativas contendo esclarecimentos acerca das gratuidades recebidas (item 4.4) e esclarecimentos sobre os valores envolvidos na discussão acerca do pró-labore da diretoria</w:t>
      </w:r>
      <w:r>
        <w:rPr>
          <w:rFonts w:ascii="Verdana" w:hAnsi="Verdana"/>
        </w:rPr>
        <w:t xml:space="preserve"> </w:t>
      </w:r>
      <w:r w:rsidRPr="00624E22">
        <w:rPr>
          <w:rFonts w:ascii="Verdana" w:hAnsi="Verdana"/>
        </w:rPr>
        <w:t>prévios à assinatura do contrato de gestão, com a explicitação integral de todos os valores envolvidos (item 6.1).</w:t>
      </w:r>
    </w:p>
    <w:p w:rsidR="00624E22" w:rsidRPr="00624E22" w:rsidRDefault="00624E22">
      <w:pPr>
        <w:tabs>
          <w:tab w:val="left" w:pos="3215"/>
        </w:tabs>
        <w:spacing w:after="0" w:line="240" w:lineRule="auto"/>
        <w:jc w:val="both"/>
        <w:rPr>
          <w:rFonts w:ascii="Verdana" w:hAnsi="Verdana"/>
        </w:rPr>
      </w:pPr>
      <w:r w:rsidRPr="00624E22">
        <w:rPr>
          <w:rFonts w:ascii="Verdana" w:hAnsi="Verdana"/>
          <w:b/>
        </w:rPr>
        <w:t>7.2.2.</w:t>
      </w:r>
      <w:r w:rsidRPr="00624E22">
        <w:rPr>
          <w:rFonts w:ascii="Verdana" w:hAnsi="Verdana"/>
        </w:rPr>
        <w:t xml:space="preserve"> Seus órgãos superiores realizem reuniões na periodicidade definida no Estatuto e promovam publicidade aos seus atos (itens 5.1.1 e 5.1.2). </w:t>
      </w:r>
    </w:p>
    <w:p w:rsidR="00624E22" w:rsidRPr="00624E22" w:rsidRDefault="00624E22">
      <w:pPr>
        <w:tabs>
          <w:tab w:val="left" w:pos="3215"/>
        </w:tabs>
        <w:spacing w:after="0" w:line="240" w:lineRule="auto"/>
        <w:jc w:val="both"/>
        <w:rPr>
          <w:rFonts w:ascii="Verdana" w:hAnsi="Verdana"/>
        </w:rPr>
      </w:pPr>
      <w:r w:rsidRPr="00624E22">
        <w:rPr>
          <w:rFonts w:ascii="Verdana" w:hAnsi="Verdana"/>
          <w:b/>
        </w:rPr>
        <w:lastRenderedPageBreak/>
        <w:t>7.2.3.</w:t>
      </w:r>
      <w:r w:rsidRPr="00624E22">
        <w:rPr>
          <w:rFonts w:ascii="Verdana" w:hAnsi="Verdana"/>
        </w:rPr>
        <w:t xml:space="preserve"> Disponibilize em seu endereço eletrônico informação dispondo sobre cargos, atribuições e respectivas remunerações, de outra parte, adeque e mantenha o Quadro de Pessoal e a relação de cargos disposta no “Plano de cargos e salários institucional” (item 5.2);</w:t>
      </w:r>
    </w:p>
    <w:p w:rsidR="00624E22" w:rsidRDefault="00624E22">
      <w:pPr>
        <w:tabs>
          <w:tab w:val="left" w:pos="3215"/>
        </w:tabs>
        <w:spacing w:after="0" w:line="240" w:lineRule="auto"/>
        <w:jc w:val="both"/>
        <w:rPr>
          <w:rFonts w:ascii="Verdana" w:hAnsi="Verdana"/>
        </w:rPr>
      </w:pPr>
      <w:r w:rsidRPr="00624E22">
        <w:rPr>
          <w:rFonts w:ascii="Verdana" w:hAnsi="Verdana"/>
        </w:rPr>
        <w:t xml:space="preserve"> </w:t>
      </w:r>
      <w:r w:rsidRPr="00624E22">
        <w:rPr>
          <w:rFonts w:ascii="Verdana" w:hAnsi="Verdana"/>
          <w:b/>
        </w:rPr>
        <w:t>7.2.4.</w:t>
      </w:r>
      <w:r w:rsidRPr="00624E22">
        <w:rPr>
          <w:rFonts w:ascii="Verdana" w:hAnsi="Verdana"/>
        </w:rPr>
        <w:t xml:space="preserve"> Avaliar a necessidade de provisionamento contábil para a eventual rescisão coletiva do quadro de pessoal da Ade Sampa, no exercício de 2016 (item 6.2)</w:t>
      </w:r>
      <w:r>
        <w:rPr>
          <w:rFonts w:ascii="Verdana" w:hAnsi="Verdana"/>
        </w:rPr>
        <w:t>.</w:t>
      </w:r>
    </w:p>
    <w:p w:rsidR="00624E22" w:rsidRDefault="00624E22">
      <w:pPr>
        <w:tabs>
          <w:tab w:val="left" w:pos="3215"/>
        </w:tabs>
        <w:spacing w:after="0" w:line="240" w:lineRule="auto"/>
        <w:jc w:val="both"/>
        <w:rPr>
          <w:rFonts w:ascii="Verdana" w:hAnsi="Verdana"/>
        </w:rPr>
      </w:pPr>
      <w:r>
        <w:rPr>
          <w:rFonts w:ascii="Verdana" w:hAnsi="Verdana"/>
        </w:rPr>
        <w:t xml:space="preserve">    </w:t>
      </w:r>
      <w:r w:rsidRPr="00624E22">
        <w:rPr>
          <w:rFonts w:ascii="Verdana" w:hAnsi="Verdana"/>
        </w:rPr>
        <w:t>Na sequência, a Ade Sampa foi oficiada para manifestar-se acerca das conclusões alcançadas pela Subsecretaria de Fiscalização e Controle. Em resposta, encaminhou a documentação de fls. 75/124 - TC nº 72.002.627/16-27, relativas ao exercício de 2014 e de fls. 429/471 – TC nº 72.002.346/16 -39, relativas ao exercício de 2015, que foram submetidas à análise da Coordenadoria III. A Especializada conclui pela manutenção dos apontamentos iniciais, porquanto não foram acrescidos aos autos elementos capazes de alterá-los, destacando, ainda, que a entidade acatou as propostas que foram sugeridas</w:t>
      </w:r>
      <w:r>
        <w:rPr>
          <w:rFonts w:ascii="Verdana" w:hAnsi="Verdana"/>
        </w:rPr>
        <w:t>.</w:t>
      </w:r>
    </w:p>
    <w:p w:rsidR="00624E22" w:rsidRDefault="00624E22">
      <w:pPr>
        <w:tabs>
          <w:tab w:val="left" w:pos="3215"/>
        </w:tabs>
        <w:spacing w:after="0" w:line="240" w:lineRule="auto"/>
        <w:jc w:val="both"/>
        <w:rPr>
          <w:rFonts w:ascii="Verdana" w:hAnsi="Verdana"/>
        </w:rPr>
      </w:pPr>
      <w:r w:rsidRPr="00624E22">
        <w:rPr>
          <w:rFonts w:ascii="Verdana" w:hAnsi="Verdana"/>
        </w:rPr>
        <w:t xml:space="preserve">    A </w:t>
      </w:r>
      <w:r w:rsidRPr="00624E22">
        <w:rPr>
          <w:rFonts w:ascii="Verdana" w:hAnsi="Verdana"/>
          <w:b/>
        </w:rPr>
        <w:t>Procuradoria da Fazenda Municipal</w:t>
      </w:r>
      <w:r w:rsidRPr="00624E22">
        <w:rPr>
          <w:rFonts w:ascii="Verdana" w:hAnsi="Verdana"/>
        </w:rPr>
        <w:t xml:space="preserve"> argumentou inexistirem incorreções nas contas examinadas, destacando que os apontamentos estão sendo objeto de ação contundente por parte da entidade auditada, ra</w:t>
      </w:r>
      <w:r>
        <w:rPr>
          <w:rFonts w:ascii="Verdana" w:hAnsi="Verdana"/>
        </w:rPr>
        <w:t>zão pela qual pleiteou a aprova</w:t>
      </w:r>
      <w:r w:rsidRPr="00624E22">
        <w:rPr>
          <w:rFonts w:ascii="Verdana" w:hAnsi="Verdana"/>
        </w:rPr>
        <w:t>ção das contas dos dois exercícios. Consignou, contudo, caso seja diverso da Corte, espera que ocorra a aprovação das contas com eventuais recomendações</w:t>
      </w:r>
      <w:r>
        <w:rPr>
          <w:rFonts w:ascii="Verdana" w:hAnsi="Verdana"/>
        </w:rPr>
        <w:t>.</w:t>
      </w:r>
    </w:p>
    <w:p w:rsidR="00624E22" w:rsidRDefault="00624E22">
      <w:pPr>
        <w:tabs>
          <w:tab w:val="left" w:pos="3215"/>
        </w:tabs>
        <w:spacing w:after="0" w:line="240" w:lineRule="auto"/>
        <w:jc w:val="both"/>
        <w:rPr>
          <w:rFonts w:ascii="Verdana" w:hAnsi="Verdana"/>
        </w:rPr>
      </w:pPr>
      <w:r w:rsidRPr="00624E22">
        <w:rPr>
          <w:rFonts w:ascii="Verdana" w:hAnsi="Verdana"/>
        </w:rPr>
        <w:t xml:space="preserve">      A </w:t>
      </w:r>
      <w:r w:rsidRPr="00624E22">
        <w:rPr>
          <w:rFonts w:ascii="Verdana" w:hAnsi="Verdana"/>
          <w:b/>
        </w:rPr>
        <w:t>Secretaria Geral,</w:t>
      </w:r>
      <w:r w:rsidRPr="00624E22">
        <w:rPr>
          <w:rFonts w:ascii="Verdana" w:hAnsi="Verdana"/>
        </w:rPr>
        <w:t xml:space="preserve"> destacando que as infrações apontadas não se mostraram suficientes para comprometer a regularidade das contas apresentadas, bem assim o compromisso da Origem na adoção de ações corretivas, opinou pela aprovação das contas da Ade Sampa, relativas aos exercícios de 2014 e 2015, ressalvados os atos não apreciados ou pendentes de julgamento, visto que as Demonstrações Contábeis foram elaboradas de acordo com a legislação pertinente, sem prejuízo das determinações julgadas necessárias.</w:t>
      </w:r>
    </w:p>
    <w:p w:rsidR="00624E22" w:rsidRDefault="00624E22">
      <w:pPr>
        <w:tabs>
          <w:tab w:val="left" w:pos="3215"/>
        </w:tabs>
        <w:spacing w:after="0" w:line="240" w:lineRule="auto"/>
        <w:jc w:val="both"/>
        <w:rPr>
          <w:rFonts w:ascii="Verdana" w:hAnsi="Verdana"/>
        </w:rPr>
      </w:pPr>
    </w:p>
    <w:p w:rsidR="00624E22" w:rsidRDefault="00624E22">
      <w:pPr>
        <w:tabs>
          <w:tab w:val="left" w:pos="3215"/>
        </w:tabs>
        <w:spacing w:after="0" w:line="240" w:lineRule="auto"/>
        <w:jc w:val="both"/>
        <w:rPr>
          <w:rFonts w:ascii="Verdana" w:hAnsi="Verdana"/>
          <w:b/>
          <w:sz w:val="24"/>
          <w:szCs w:val="24"/>
        </w:rPr>
      </w:pPr>
      <w:r w:rsidRPr="00624E22">
        <w:rPr>
          <w:rFonts w:ascii="Verdana" w:hAnsi="Verdana"/>
          <w:b/>
          <w:sz w:val="24"/>
          <w:szCs w:val="24"/>
        </w:rPr>
        <w:t>VOTO</w:t>
      </w:r>
    </w:p>
    <w:p w:rsidR="00624E22" w:rsidRDefault="00624E22">
      <w:pPr>
        <w:tabs>
          <w:tab w:val="left" w:pos="3215"/>
        </w:tabs>
        <w:spacing w:after="0" w:line="240" w:lineRule="auto"/>
        <w:jc w:val="both"/>
        <w:rPr>
          <w:rFonts w:ascii="Verdana" w:hAnsi="Verdana"/>
        </w:rPr>
      </w:pPr>
      <w:r>
        <w:t xml:space="preserve">    </w:t>
      </w:r>
      <w:r w:rsidRPr="00624E22">
        <w:rPr>
          <w:rFonts w:ascii="Verdana" w:hAnsi="Verdana"/>
        </w:rPr>
        <w:t>Considerando que as Demonstrações Contábeis dos exercícios de 2014 e 2015 foram elaboradas de acordo com a legislação pertinente, refletindo as transações ocorridas nos respectivos exercícios, apesar das ressalvas relativas a incoerências pontuais no Balanço Patrimonial e nas notas explicativas, conforme demonstrado nos Relatórios Anuais de Fiscalização da Ade Sampa, exercícios de 2014 e 2015, emitidos pela Subsecretaria de Fiscalização e Controle;</w:t>
      </w:r>
    </w:p>
    <w:p w:rsidR="00624E22" w:rsidRDefault="00624E22">
      <w:pPr>
        <w:tabs>
          <w:tab w:val="left" w:pos="3215"/>
        </w:tabs>
        <w:spacing w:after="0" w:line="240" w:lineRule="auto"/>
        <w:jc w:val="both"/>
        <w:rPr>
          <w:rFonts w:ascii="Verdana" w:hAnsi="Verdana"/>
        </w:rPr>
      </w:pPr>
      <w:r w:rsidRPr="00624E22">
        <w:rPr>
          <w:rFonts w:ascii="Verdana" w:hAnsi="Verdana"/>
        </w:rPr>
        <w:t xml:space="preserve">  Considerando que os demais apontamentos realizados pela Auditoria, relativos a atos de gestão, foram reconhecidos pela Ade Sampa, tendo a mesma se manifestado pela adoção de medidas corretivas;</w:t>
      </w:r>
    </w:p>
    <w:p w:rsidR="00624E22" w:rsidRDefault="00624E22">
      <w:pPr>
        <w:tabs>
          <w:tab w:val="left" w:pos="3215"/>
        </w:tabs>
        <w:spacing w:after="0" w:line="240" w:lineRule="auto"/>
        <w:jc w:val="both"/>
        <w:rPr>
          <w:rFonts w:ascii="Verdana" w:hAnsi="Verdana"/>
        </w:rPr>
      </w:pPr>
      <w:r>
        <w:rPr>
          <w:rFonts w:ascii="Verdana" w:hAnsi="Verdana"/>
        </w:rPr>
        <w:t xml:space="preserve">  </w:t>
      </w:r>
      <w:r w:rsidRPr="00624E22">
        <w:rPr>
          <w:rFonts w:ascii="Verdana" w:hAnsi="Verdana"/>
        </w:rPr>
        <w:t>Considerando que apontamentos realizados pela Auditoria não são suficientes para comprometer a regularidade das contas analisadas;</w:t>
      </w:r>
    </w:p>
    <w:p w:rsidR="00624E22" w:rsidRDefault="00624E22">
      <w:pPr>
        <w:tabs>
          <w:tab w:val="left" w:pos="3215"/>
        </w:tabs>
        <w:spacing w:after="0" w:line="240" w:lineRule="auto"/>
        <w:jc w:val="both"/>
        <w:rPr>
          <w:rFonts w:ascii="Verdana" w:hAnsi="Verdana"/>
        </w:rPr>
      </w:pPr>
      <w:r w:rsidRPr="00624E22">
        <w:rPr>
          <w:rFonts w:ascii="Verdana" w:hAnsi="Verdana"/>
        </w:rPr>
        <w:t xml:space="preserve">  Diante das manifestações favoráveis da Procuradoria da Fazenda Municipal e da Secretaria Geral, propugnando ambas pelo acolhimento dos Balanços da Ade Sampa relativos aos exercícios de 2014 e 2015.</w:t>
      </w:r>
    </w:p>
    <w:p w:rsidR="00624E22" w:rsidRDefault="00624E22">
      <w:pPr>
        <w:tabs>
          <w:tab w:val="left" w:pos="3215"/>
        </w:tabs>
        <w:spacing w:after="0" w:line="240" w:lineRule="auto"/>
        <w:jc w:val="both"/>
        <w:rPr>
          <w:rFonts w:ascii="Verdana" w:hAnsi="Verdana"/>
        </w:rPr>
      </w:pPr>
      <w:r>
        <w:lastRenderedPageBreak/>
        <w:t xml:space="preserve">  </w:t>
      </w:r>
      <w:r w:rsidRPr="00624E22">
        <w:rPr>
          <w:rFonts w:ascii="Verdana" w:hAnsi="Verdana"/>
        </w:rPr>
        <w:t>Voto pelo acolhimento das Contas da Ade Sampa relativas aos exercícios de 2014 e 2015, ressalvados os atos não apreciados e pendentes de julgamento</w:t>
      </w:r>
      <w:r>
        <w:rPr>
          <w:rFonts w:ascii="Verdana" w:hAnsi="Verdana"/>
        </w:rPr>
        <w:t>.</w:t>
      </w:r>
    </w:p>
    <w:p w:rsidR="00624E22" w:rsidRDefault="00624E22">
      <w:pPr>
        <w:tabs>
          <w:tab w:val="left" w:pos="3215"/>
        </w:tabs>
        <w:spacing w:after="0" w:line="240" w:lineRule="auto"/>
        <w:jc w:val="both"/>
        <w:rPr>
          <w:rFonts w:ascii="Verdana" w:hAnsi="Verdana"/>
        </w:rPr>
      </w:pPr>
      <w:r w:rsidRPr="00624E22">
        <w:rPr>
          <w:rFonts w:ascii="Verdana" w:hAnsi="Verdana"/>
        </w:rPr>
        <w:t xml:space="preserve"> Não obstante, ratifico as propostas de determinações dos exercícios de 2014 e 2015, constantes, respectivamente, dos itens 6.2 e 7.2, do relatório deste voto.</w:t>
      </w:r>
    </w:p>
    <w:p w:rsidR="00624E22" w:rsidRDefault="00624E22">
      <w:pPr>
        <w:tabs>
          <w:tab w:val="left" w:pos="3215"/>
        </w:tabs>
        <w:spacing w:after="0" w:line="240" w:lineRule="auto"/>
        <w:jc w:val="both"/>
        <w:rPr>
          <w:rFonts w:ascii="Verdana" w:hAnsi="Verdana"/>
        </w:rPr>
      </w:pPr>
      <w:r w:rsidRPr="00624E22">
        <w:rPr>
          <w:rFonts w:ascii="Verdana" w:hAnsi="Verdana"/>
        </w:rPr>
        <w:t xml:space="preserve">  Encaminhem-se cópias do julgado aos responsáveis e Secretaria Municipal do Desenvolvimento, Trabalho e Empreendedorismo</w:t>
      </w:r>
      <w:r>
        <w:rPr>
          <w:rFonts w:ascii="Verdana" w:hAnsi="Verdana"/>
        </w:rPr>
        <w:t>.</w:t>
      </w:r>
    </w:p>
    <w:p w:rsidR="00624E22" w:rsidRPr="00624E22" w:rsidRDefault="00624E22">
      <w:pPr>
        <w:tabs>
          <w:tab w:val="left" w:pos="3215"/>
        </w:tabs>
        <w:spacing w:after="0" w:line="240" w:lineRule="auto"/>
        <w:jc w:val="both"/>
        <w:rPr>
          <w:rFonts w:ascii="Verdana" w:hAnsi="Verdana"/>
        </w:rPr>
      </w:pPr>
    </w:p>
    <w:p w:rsidR="00624E22" w:rsidRPr="00624E22" w:rsidRDefault="00624E22">
      <w:pPr>
        <w:tabs>
          <w:tab w:val="left" w:pos="3215"/>
        </w:tabs>
        <w:spacing w:after="0" w:line="240" w:lineRule="auto"/>
        <w:jc w:val="both"/>
        <w:rPr>
          <w:rFonts w:ascii="Verdana" w:hAnsi="Verdana"/>
        </w:rPr>
      </w:pPr>
      <w:r w:rsidRPr="00624E22">
        <w:rPr>
          <w:rFonts w:ascii="Verdana" w:hAnsi="Verdana"/>
        </w:rPr>
        <w:t>Plenário Cons. PAULO PLANET BUARQUE, 09 de maio de 2018.</w:t>
      </w:r>
    </w:p>
    <w:p w:rsidR="00624E22" w:rsidRPr="00624E22" w:rsidRDefault="00624E22">
      <w:pPr>
        <w:tabs>
          <w:tab w:val="left" w:pos="3215"/>
        </w:tabs>
        <w:spacing w:after="0" w:line="240" w:lineRule="auto"/>
        <w:jc w:val="both"/>
        <w:rPr>
          <w:rFonts w:ascii="Verdana" w:hAnsi="Verdana"/>
          <w:b/>
          <w:sz w:val="24"/>
          <w:szCs w:val="24"/>
        </w:rPr>
      </w:pPr>
      <w:r w:rsidRPr="00624E22">
        <w:rPr>
          <w:rFonts w:ascii="Verdana" w:hAnsi="Verdana"/>
        </w:rPr>
        <w:t>a) MAURICIO FARIA – Conselheiro Relator</w:t>
      </w:r>
    </w:p>
    <w:sectPr w:rsidR="00624E22" w:rsidRPr="00624E22" w:rsidSect="00707DC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93B" w:rsidRDefault="001D093B" w:rsidP="00BE6F16">
      <w:pPr>
        <w:spacing w:after="0" w:line="240" w:lineRule="auto"/>
      </w:pPr>
      <w:r>
        <w:separator/>
      </w:r>
    </w:p>
  </w:endnote>
  <w:endnote w:type="continuationSeparator" w:id="0">
    <w:p w:rsidR="001D093B" w:rsidRDefault="001D093B" w:rsidP="00BE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Bol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16" w:rsidRDefault="00BE6F16">
    <w:pPr>
      <w:pStyle w:val="Rodap"/>
    </w:pPr>
  </w:p>
  <w:p w:rsidR="00771A4C" w:rsidRDefault="00771A4C">
    <w:pPr>
      <w:pStyle w:val="Rodap"/>
    </w:pPr>
  </w:p>
  <w:p w:rsidR="005D43DB" w:rsidRDefault="005D43DB">
    <w:pPr>
      <w:pStyle w:val="Rodap"/>
    </w:pPr>
  </w:p>
  <w:p w:rsidR="005D43DB" w:rsidRDefault="005D43DB">
    <w:pPr>
      <w:pStyle w:val="Rodap"/>
    </w:pPr>
  </w:p>
  <w:p w:rsidR="005D43DB" w:rsidRDefault="005D43DB">
    <w:pPr>
      <w:pStyle w:val="Rodap"/>
    </w:pPr>
  </w:p>
  <w:p w:rsidR="00BE6F16" w:rsidRDefault="00BE6F16">
    <w:pPr>
      <w:pStyle w:val="Rodap"/>
    </w:pPr>
  </w:p>
  <w:p w:rsidR="00BE6F16" w:rsidRDefault="00BE6F1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93B" w:rsidRDefault="001D093B" w:rsidP="00BE6F16">
      <w:pPr>
        <w:spacing w:after="0" w:line="240" w:lineRule="auto"/>
      </w:pPr>
      <w:r>
        <w:separator/>
      </w:r>
    </w:p>
  </w:footnote>
  <w:footnote w:type="continuationSeparator" w:id="0">
    <w:p w:rsidR="001D093B" w:rsidRDefault="001D093B" w:rsidP="00BE6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74B5"/>
    <w:multiLevelType w:val="hybridMultilevel"/>
    <w:tmpl w:val="0722DE96"/>
    <w:lvl w:ilvl="0" w:tplc="DE585558">
      <w:start w:val="1"/>
      <w:numFmt w:val="lowerLetter"/>
      <w:lvlText w:val="%1)"/>
      <w:lvlJc w:val="left"/>
      <w:pPr>
        <w:ind w:left="780" w:hanging="4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6F5515E"/>
    <w:multiLevelType w:val="hybridMultilevel"/>
    <w:tmpl w:val="0F8833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EE51C67"/>
    <w:multiLevelType w:val="hybridMultilevel"/>
    <w:tmpl w:val="A7BED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4C86E41"/>
    <w:multiLevelType w:val="hybridMultilevel"/>
    <w:tmpl w:val="2E3E6646"/>
    <w:lvl w:ilvl="0" w:tplc="206C249E">
      <w:start w:val="1"/>
      <w:numFmt w:val="lowerLetter"/>
      <w:lvlText w:val="%1)"/>
      <w:lvlJc w:val="left"/>
      <w:pPr>
        <w:ind w:left="435" w:hanging="360"/>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abstractNum w:abstractNumId="4">
    <w:nsid w:val="54521F35"/>
    <w:multiLevelType w:val="multilevel"/>
    <w:tmpl w:val="DD7A4798"/>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55254373"/>
    <w:multiLevelType w:val="hybridMultilevel"/>
    <w:tmpl w:val="C9C070C8"/>
    <w:lvl w:ilvl="0" w:tplc="1FC88E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490294B"/>
    <w:multiLevelType w:val="hybridMultilevel"/>
    <w:tmpl w:val="CDE2CFF6"/>
    <w:lvl w:ilvl="0" w:tplc="1FC88E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8C43882"/>
    <w:multiLevelType w:val="hybridMultilevel"/>
    <w:tmpl w:val="D4EAB27C"/>
    <w:lvl w:ilvl="0" w:tplc="797E3C96">
      <w:start w:val="1"/>
      <w:numFmt w:val="lowerLetter"/>
      <w:lvlText w:val="%1)"/>
      <w:lvlJc w:val="left"/>
      <w:pPr>
        <w:ind w:left="480" w:hanging="405"/>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num w:numId="1">
    <w:abstractNumId w:val="1"/>
  </w:num>
  <w:num w:numId="2">
    <w:abstractNumId w:val="7"/>
  </w:num>
  <w:num w:numId="3">
    <w:abstractNumId w:val="0"/>
  </w:num>
  <w:num w:numId="4">
    <w:abstractNumId w:val="3"/>
  </w:num>
  <w:num w:numId="5">
    <w:abstractNumId w:val="6"/>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328"/>
    <w:rsid w:val="0000164E"/>
    <w:rsid w:val="00003F35"/>
    <w:rsid w:val="0000403A"/>
    <w:rsid w:val="00004627"/>
    <w:rsid w:val="00013BDC"/>
    <w:rsid w:val="00015BEF"/>
    <w:rsid w:val="00021E63"/>
    <w:rsid w:val="00030CDB"/>
    <w:rsid w:val="0003203A"/>
    <w:rsid w:val="0003314B"/>
    <w:rsid w:val="00035C2F"/>
    <w:rsid w:val="00037D1D"/>
    <w:rsid w:val="000428C0"/>
    <w:rsid w:val="000532FC"/>
    <w:rsid w:val="00053F6C"/>
    <w:rsid w:val="00057DDE"/>
    <w:rsid w:val="00065756"/>
    <w:rsid w:val="000777C9"/>
    <w:rsid w:val="00077FAB"/>
    <w:rsid w:val="00083E8C"/>
    <w:rsid w:val="0008456D"/>
    <w:rsid w:val="00086210"/>
    <w:rsid w:val="0008752E"/>
    <w:rsid w:val="00097D27"/>
    <w:rsid w:val="000A0985"/>
    <w:rsid w:val="000A6956"/>
    <w:rsid w:val="000B3801"/>
    <w:rsid w:val="000B4A81"/>
    <w:rsid w:val="000C31F6"/>
    <w:rsid w:val="000C7475"/>
    <w:rsid w:val="000D0DE3"/>
    <w:rsid w:val="000D30A0"/>
    <w:rsid w:val="000E008F"/>
    <w:rsid w:val="000E0601"/>
    <w:rsid w:val="000E2E1B"/>
    <w:rsid w:val="000E3B98"/>
    <w:rsid w:val="000E4549"/>
    <w:rsid w:val="000E6D39"/>
    <w:rsid w:val="000F2162"/>
    <w:rsid w:val="000F2F9B"/>
    <w:rsid w:val="000F4CA9"/>
    <w:rsid w:val="000F68A5"/>
    <w:rsid w:val="0011668A"/>
    <w:rsid w:val="00116C14"/>
    <w:rsid w:val="001172A1"/>
    <w:rsid w:val="00117C66"/>
    <w:rsid w:val="0012052B"/>
    <w:rsid w:val="00126845"/>
    <w:rsid w:val="00150B13"/>
    <w:rsid w:val="001532D2"/>
    <w:rsid w:val="001537B6"/>
    <w:rsid w:val="00157B46"/>
    <w:rsid w:val="00172E29"/>
    <w:rsid w:val="00173FC4"/>
    <w:rsid w:val="00174F63"/>
    <w:rsid w:val="0017519C"/>
    <w:rsid w:val="00196143"/>
    <w:rsid w:val="001A4D0F"/>
    <w:rsid w:val="001B1B3B"/>
    <w:rsid w:val="001B1B7E"/>
    <w:rsid w:val="001C38BB"/>
    <w:rsid w:val="001D093B"/>
    <w:rsid w:val="001E2B4B"/>
    <w:rsid w:val="00200BF7"/>
    <w:rsid w:val="00202A50"/>
    <w:rsid w:val="00202DC6"/>
    <w:rsid w:val="00210A7C"/>
    <w:rsid w:val="002138CB"/>
    <w:rsid w:val="00216942"/>
    <w:rsid w:val="00220D0F"/>
    <w:rsid w:val="002407B6"/>
    <w:rsid w:val="00242BE5"/>
    <w:rsid w:val="00263616"/>
    <w:rsid w:val="002640A1"/>
    <w:rsid w:val="002650F6"/>
    <w:rsid w:val="002730B1"/>
    <w:rsid w:val="002900EB"/>
    <w:rsid w:val="0029753B"/>
    <w:rsid w:val="00297644"/>
    <w:rsid w:val="00297AB3"/>
    <w:rsid w:val="002A6448"/>
    <w:rsid w:val="002B0963"/>
    <w:rsid w:val="002B59FA"/>
    <w:rsid w:val="002B7AD2"/>
    <w:rsid w:val="002C78EF"/>
    <w:rsid w:val="002D66E1"/>
    <w:rsid w:val="002E3E15"/>
    <w:rsid w:val="002E4ED3"/>
    <w:rsid w:val="002F37C5"/>
    <w:rsid w:val="002F722A"/>
    <w:rsid w:val="00321D10"/>
    <w:rsid w:val="00323D4A"/>
    <w:rsid w:val="00326FDA"/>
    <w:rsid w:val="00331B77"/>
    <w:rsid w:val="003403AF"/>
    <w:rsid w:val="00350B57"/>
    <w:rsid w:val="00353D05"/>
    <w:rsid w:val="00360485"/>
    <w:rsid w:val="00364DFA"/>
    <w:rsid w:val="00372A32"/>
    <w:rsid w:val="00374FEA"/>
    <w:rsid w:val="00382BC1"/>
    <w:rsid w:val="00393DA4"/>
    <w:rsid w:val="003A204F"/>
    <w:rsid w:val="003C1D41"/>
    <w:rsid w:val="003C492C"/>
    <w:rsid w:val="003C5C0A"/>
    <w:rsid w:val="003D20BB"/>
    <w:rsid w:val="003E604E"/>
    <w:rsid w:val="003E7573"/>
    <w:rsid w:val="003F42AD"/>
    <w:rsid w:val="003F7C00"/>
    <w:rsid w:val="00401C62"/>
    <w:rsid w:val="00412933"/>
    <w:rsid w:val="00412B89"/>
    <w:rsid w:val="0041722D"/>
    <w:rsid w:val="00417C10"/>
    <w:rsid w:val="00421A46"/>
    <w:rsid w:val="004279DA"/>
    <w:rsid w:val="00433498"/>
    <w:rsid w:val="004527E9"/>
    <w:rsid w:val="00452FB6"/>
    <w:rsid w:val="00470A9B"/>
    <w:rsid w:val="004860C5"/>
    <w:rsid w:val="004863B6"/>
    <w:rsid w:val="00486CFA"/>
    <w:rsid w:val="00494CA1"/>
    <w:rsid w:val="00496982"/>
    <w:rsid w:val="00496D24"/>
    <w:rsid w:val="0049762C"/>
    <w:rsid w:val="004A08C4"/>
    <w:rsid w:val="004A26F0"/>
    <w:rsid w:val="004A5989"/>
    <w:rsid w:val="004B0669"/>
    <w:rsid w:val="004B7C3D"/>
    <w:rsid w:val="004C0788"/>
    <w:rsid w:val="004C59CB"/>
    <w:rsid w:val="004D05A4"/>
    <w:rsid w:val="004D1290"/>
    <w:rsid w:val="004E1C5C"/>
    <w:rsid w:val="004E2883"/>
    <w:rsid w:val="005062CE"/>
    <w:rsid w:val="00507277"/>
    <w:rsid w:val="00534850"/>
    <w:rsid w:val="00536892"/>
    <w:rsid w:val="00540CFD"/>
    <w:rsid w:val="005410B1"/>
    <w:rsid w:val="005416AD"/>
    <w:rsid w:val="005430E7"/>
    <w:rsid w:val="00562C1A"/>
    <w:rsid w:val="005645C4"/>
    <w:rsid w:val="005646BB"/>
    <w:rsid w:val="00565C75"/>
    <w:rsid w:val="005764C8"/>
    <w:rsid w:val="0058542C"/>
    <w:rsid w:val="0058590E"/>
    <w:rsid w:val="00587E23"/>
    <w:rsid w:val="005A447D"/>
    <w:rsid w:val="005A48E3"/>
    <w:rsid w:val="005A6032"/>
    <w:rsid w:val="005A7803"/>
    <w:rsid w:val="005B197E"/>
    <w:rsid w:val="005B7032"/>
    <w:rsid w:val="005D38C8"/>
    <w:rsid w:val="005D43DB"/>
    <w:rsid w:val="005D44CB"/>
    <w:rsid w:val="005D7D2B"/>
    <w:rsid w:val="005E211C"/>
    <w:rsid w:val="00601F94"/>
    <w:rsid w:val="00603807"/>
    <w:rsid w:val="00614542"/>
    <w:rsid w:val="00617328"/>
    <w:rsid w:val="00624E22"/>
    <w:rsid w:val="00626E81"/>
    <w:rsid w:val="006565BD"/>
    <w:rsid w:val="00661B10"/>
    <w:rsid w:val="00663810"/>
    <w:rsid w:val="00673413"/>
    <w:rsid w:val="006A31BB"/>
    <w:rsid w:val="006B31B7"/>
    <w:rsid w:val="006C44BD"/>
    <w:rsid w:val="006C690A"/>
    <w:rsid w:val="006C72B2"/>
    <w:rsid w:val="006D3542"/>
    <w:rsid w:val="006D4ADE"/>
    <w:rsid w:val="006E5878"/>
    <w:rsid w:val="006E644E"/>
    <w:rsid w:val="006F46A0"/>
    <w:rsid w:val="006F49C3"/>
    <w:rsid w:val="00703F43"/>
    <w:rsid w:val="00707CD4"/>
    <w:rsid w:val="00707DC8"/>
    <w:rsid w:val="00711054"/>
    <w:rsid w:val="007136FE"/>
    <w:rsid w:val="007306BA"/>
    <w:rsid w:val="00736EE3"/>
    <w:rsid w:val="0074143D"/>
    <w:rsid w:val="00744B30"/>
    <w:rsid w:val="00750BE7"/>
    <w:rsid w:val="007540E1"/>
    <w:rsid w:val="007572CD"/>
    <w:rsid w:val="00764E05"/>
    <w:rsid w:val="007716A1"/>
    <w:rsid w:val="00771A4C"/>
    <w:rsid w:val="00774592"/>
    <w:rsid w:val="007806AB"/>
    <w:rsid w:val="00786A1D"/>
    <w:rsid w:val="007A76EC"/>
    <w:rsid w:val="007C1AFF"/>
    <w:rsid w:val="007C4434"/>
    <w:rsid w:val="007C6B69"/>
    <w:rsid w:val="007D1362"/>
    <w:rsid w:val="007F2FE9"/>
    <w:rsid w:val="007F4DEB"/>
    <w:rsid w:val="007F5924"/>
    <w:rsid w:val="0080145D"/>
    <w:rsid w:val="00804595"/>
    <w:rsid w:val="008121EE"/>
    <w:rsid w:val="00813853"/>
    <w:rsid w:val="00814B56"/>
    <w:rsid w:val="00815A98"/>
    <w:rsid w:val="00815DDF"/>
    <w:rsid w:val="0081752B"/>
    <w:rsid w:val="008310A7"/>
    <w:rsid w:val="00845B62"/>
    <w:rsid w:val="0085132F"/>
    <w:rsid w:val="00856884"/>
    <w:rsid w:val="008642F5"/>
    <w:rsid w:val="00865E4A"/>
    <w:rsid w:val="00874179"/>
    <w:rsid w:val="008747DC"/>
    <w:rsid w:val="00884872"/>
    <w:rsid w:val="008937D2"/>
    <w:rsid w:val="00895C35"/>
    <w:rsid w:val="008A1376"/>
    <w:rsid w:val="008A23F8"/>
    <w:rsid w:val="008C2BBC"/>
    <w:rsid w:val="008D4B75"/>
    <w:rsid w:val="008D700A"/>
    <w:rsid w:val="008E28E9"/>
    <w:rsid w:val="008E2A24"/>
    <w:rsid w:val="008F1AAF"/>
    <w:rsid w:val="008F7FDE"/>
    <w:rsid w:val="00906072"/>
    <w:rsid w:val="00906BA4"/>
    <w:rsid w:val="00910679"/>
    <w:rsid w:val="00923C2F"/>
    <w:rsid w:val="00936A80"/>
    <w:rsid w:val="00941613"/>
    <w:rsid w:val="00946674"/>
    <w:rsid w:val="00953101"/>
    <w:rsid w:val="0095737F"/>
    <w:rsid w:val="00960102"/>
    <w:rsid w:val="0096161B"/>
    <w:rsid w:val="00970D6F"/>
    <w:rsid w:val="0097184B"/>
    <w:rsid w:val="009800B4"/>
    <w:rsid w:val="00983DFE"/>
    <w:rsid w:val="009868C0"/>
    <w:rsid w:val="009973E3"/>
    <w:rsid w:val="009A0501"/>
    <w:rsid w:val="009B0A37"/>
    <w:rsid w:val="009B1366"/>
    <w:rsid w:val="009B5C7F"/>
    <w:rsid w:val="009B7256"/>
    <w:rsid w:val="009C3E10"/>
    <w:rsid w:val="009C766B"/>
    <w:rsid w:val="009D06C9"/>
    <w:rsid w:val="009D0B1B"/>
    <w:rsid w:val="009D2F85"/>
    <w:rsid w:val="009D3D9F"/>
    <w:rsid w:val="009E4B51"/>
    <w:rsid w:val="009E6918"/>
    <w:rsid w:val="00A06357"/>
    <w:rsid w:val="00A24389"/>
    <w:rsid w:val="00A34D80"/>
    <w:rsid w:val="00A35587"/>
    <w:rsid w:val="00A52481"/>
    <w:rsid w:val="00A60184"/>
    <w:rsid w:val="00A64BD2"/>
    <w:rsid w:val="00A8167B"/>
    <w:rsid w:val="00A8754D"/>
    <w:rsid w:val="00A87F6A"/>
    <w:rsid w:val="00A90B9D"/>
    <w:rsid w:val="00A913EA"/>
    <w:rsid w:val="00A945AF"/>
    <w:rsid w:val="00A95F47"/>
    <w:rsid w:val="00A96228"/>
    <w:rsid w:val="00AA0E4F"/>
    <w:rsid w:val="00AA24DD"/>
    <w:rsid w:val="00AA5A9B"/>
    <w:rsid w:val="00AA7FBE"/>
    <w:rsid w:val="00AB53B4"/>
    <w:rsid w:val="00AB7A34"/>
    <w:rsid w:val="00AB7BF8"/>
    <w:rsid w:val="00AC6C61"/>
    <w:rsid w:val="00AC6C9F"/>
    <w:rsid w:val="00AD1B2D"/>
    <w:rsid w:val="00AE050D"/>
    <w:rsid w:val="00AE2CE8"/>
    <w:rsid w:val="00AF408A"/>
    <w:rsid w:val="00B00502"/>
    <w:rsid w:val="00B02A95"/>
    <w:rsid w:val="00B05B23"/>
    <w:rsid w:val="00B1145C"/>
    <w:rsid w:val="00B12FE3"/>
    <w:rsid w:val="00B1747B"/>
    <w:rsid w:val="00B454C0"/>
    <w:rsid w:val="00B53A91"/>
    <w:rsid w:val="00B57BF1"/>
    <w:rsid w:val="00B74F08"/>
    <w:rsid w:val="00B75C82"/>
    <w:rsid w:val="00B8354E"/>
    <w:rsid w:val="00B849D0"/>
    <w:rsid w:val="00B92179"/>
    <w:rsid w:val="00B92605"/>
    <w:rsid w:val="00B946CB"/>
    <w:rsid w:val="00BA3DD9"/>
    <w:rsid w:val="00BB4BE0"/>
    <w:rsid w:val="00BC059E"/>
    <w:rsid w:val="00BC0638"/>
    <w:rsid w:val="00BC54BA"/>
    <w:rsid w:val="00BC6808"/>
    <w:rsid w:val="00BD1274"/>
    <w:rsid w:val="00BE3007"/>
    <w:rsid w:val="00BE39E5"/>
    <w:rsid w:val="00BE6F16"/>
    <w:rsid w:val="00C01A2C"/>
    <w:rsid w:val="00C023C2"/>
    <w:rsid w:val="00C05B27"/>
    <w:rsid w:val="00C07451"/>
    <w:rsid w:val="00C10CE0"/>
    <w:rsid w:val="00C2359E"/>
    <w:rsid w:val="00C25C21"/>
    <w:rsid w:val="00C34613"/>
    <w:rsid w:val="00C356EC"/>
    <w:rsid w:val="00C40318"/>
    <w:rsid w:val="00C42F9C"/>
    <w:rsid w:val="00C53717"/>
    <w:rsid w:val="00C55116"/>
    <w:rsid w:val="00C7216C"/>
    <w:rsid w:val="00C754D5"/>
    <w:rsid w:val="00C93812"/>
    <w:rsid w:val="00CA4283"/>
    <w:rsid w:val="00CB7E1E"/>
    <w:rsid w:val="00CC13DB"/>
    <w:rsid w:val="00CC190B"/>
    <w:rsid w:val="00CC263E"/>
    <w:rsid w:val="00CC706C"/>
    <w:rsid w:val="00CD207C"/>
    <w:rsid w:val="00CD4CBD"/>
    <w:rsid w:val="00CE5CA4"/>
    <w:rsid w:val="00CE7894"/>
    <w:rsid w:val="00CF21E1"/>
    <w:rsid w:val="00CF2FFD"/>
    <w:rsid w:val="00CF41F8"/>
    <w:rsid w:val="00D01A55"/>
    <w:rsid w:val="00D050E1"/>
    <w:rsid w:val="00D058CA"/>
    <w:rsid w:val="00D145E9"/>
    <w:rsid w:val="00D15FF3"/>
    <w:rsid w:val="00D21BB0"/>
    <w:rsid w:val="00D23126"/>
    <w:rsid w:val="00D3110D"/>
    <w:rsid w:val="00D32305"/>
    <w:rsid w:val="00D41EED"/>
    <w:rsid w:val="00D457CD"/>
    <w:rsid w:val="00D5494A"/>
    <w:rsid w:val="00D602AC"/>
    <w:rsid w:val="00D611EA"/>
    <w:rsid w:val="00D656FF"/>
    <w:rsid w:val="00D81A73"/>
    <w:rsid w:val="00D92781"/>
    <w:rsid w:val="00DA09EA"/>
    <w:rsid w:val="00DA25D1"/>
    <w:rsid w:val="00DA5B00"/>
    <w:rsid w:val="00DB04C3"/>
    <w:rsid w:val="00DB0593"/>
    <w:rsid w:val="00DD3BC6"/>
    <w:rsid w:val="00DD417E"/>
    <w:rsid w:val="00DD66E2"/>
    <w:rsid w:val="00DE32BA"/>
    <w:rsid w:val="00DE6E74"/>
    <w:rsid w:val="00E0323C"/>
    <w:rsid w:val="00E04ACE"/>
    <w:rsid w:val="00E22F0E"/>
    <w:rsid w:val="00E27E8C"/>
    <w:rsid w:val="00E3020F"/>
    <w:rsid w:val="00E304FB"/>
    <w:rsid w:val="00E30BDB"/>
    <w:rsid w:val="00E44010"/>
    <w:rsid w:val="00E46A63"/>
    <w:rsid w:val="00E51C23"/>
    <w:rsid w:val="00E52B64"/>
    <w:rsid w:val="00E5632B"/>
    <w:rsid w:val="00E571F7"/>
    <w:rsid w:val="00E61FC3"/>
    <w:rsid w:val="00E63849"/>
    <w:rsid w:val="00E656D8"/>
    <w:rsid w:val="00E65765"/>
    <w:rsid w:val="00E679F4"/>
    <w:rsid w:val="00E774B7"/>
    <w:rsid w:val="00E776CC"/>
    <w:rsid w:val="00E95E3E"/>
    <w:rsid w:val="00EB02C2"/>
    <w:rsid w:val="00EC317E"/>
    <w:rsid w:val="00ED6A9B"/>
    <w:rsid w:val="00ED7518"/>
    <w:rsid w:val="00EE3BA6"/>
    <w:rsid w:val="00EE5F10"/>
    <w:rsid w:val="00EF2879"/>
    <w:rsid w:val="00EF7729"/>
    <w:rsid w:val="00F1023C"/>
    <w:rsid w:val="00F162DF"/>
    <w:rsid w:val="00F217EC"/>
    <w:rsid w:val="00F26814"/>
    <w:rsid w:val="00F31DB6"/>
    <w:rsid w:val="00F4711F"/>
    <w:rsid w:val="00F55A9C"/>
    <w:rsid w:val="00F639E0"/>
    <w:rsid w:val="00F64560"/>
    <w:rsid w:val="00F77511"/>
    <w:rsid w:val="00F77E9A"/>
    <w:rsid w:val="00F869AF"/>
    <w:rsid w:val="00F94ED8"/>
    <w:rsid w:val="00FA4620"/>
    <w:rsid w:val="00FA7E47"/>
    <w:rsid w:val="00FB1373"/>
    <w:rsid w:val="00FB51D7"/>
    <w:rsid w:val="00FB7E23"/>
    <w:rsid w:val="00FD0B18"/>
    <w:rsid w:val="00FD733E"/>
    <w:rsid w:val="00FD7F6B"/>
    <w:rsid w:val="00FE2C69"/>
    <w:rsid w:val="00FE3E72"/>
    <w:rsid w:val="00FE40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17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328"/>
    <w:rPr>
      <w:rFonts w:ascii="Tahoma" w:hAnsi="Tahoma" w:cs="Tahoma"/>
      <w:sz w:val="16"/>
      <w:szCs w:val="16"/>
    </w:rPr>
  </w:style>
  <w:style w:type="paragraph" w:styleId="PargrafodaLista">
    <w:name w:val="List Paragraph"/>
    <w:basedOn w:val="Normal"/>
    <w:uiPriority w:val="34"/>
    <w:qFormat/>
    <w:rsid w:val="00536892"/>
    <w:pPr>
      <w:ind w:left="720"/>
      <w:contextualSpacing/>
    </w:pPr>
  </w:style>
  <w:style w:type="character" w:styleId="Hyperlink">
    <w:name w:val="Hyperlink"/>
    <w:basedOn w:val="Fontepargpadro"/>
    <w:uiPriority w:val="99"/>
    <w:unhideWhenUsed/>
    <w:rsid w:val="00C55116"/>
    <w:rPr>
      <w:color w:val="0000FF" w:themeColor="hyperlink"/>
      <w:u w:val="single"/>
    </w:rPr>
  </w:style>
  <w:style w:type="paragraph" w:styleId="Cabealho">
    <w:name w:val="header"/>
    <w:basedOn w:val="Normal"/>
    <w:link w:val="CabealhoChar"/>
    <w:uiPriority w:val="99"/>
    <w:unhideWhenUsed/>
    <w:rsid w:val="00BE6F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16"/>
  </w:style>
  <w:style w:type="paragraph" w:styleId="Rodap">
    <w:name w:val="footer"/>
    <w:basedOn w:val="Normal"/>
    <w:link w:val="RodapChar"/>
    <w:uiPriority w:val="99"/>
    <w:unhideWhenUsed/>
    <w:rsid w:val="00BE6F16"/>
    <w:pPr>
      <w:tabs>
        <w:tab w:val="center" w:pos="4252"/>
        <w:tab w:val="right" w:pos="8504"/>
      </w:tabs>
      <w:spacing w:after="0" w:line="240" w:lineRule="auto"/>
    </w:pPr>
  </w:style>
  <w:style w:type="character" w:customStyle="1" w:styleId="RodapChar">
    <w:name w:val="Rodapé Char"/>
    <w:basedOn w:val="Fontepargpadro"/>
    <w:link w:val="Rodap"/>
    <w:uiPriority w:val="99"/>
    <w:rsid w:val="00BE6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17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328"/>
    <w:rPr>
      <w:rFonts w:ascii="Tahoma" w:hAnsi="Tahoma" w:cs="Tahoma"/>
      <w:sz w:val="16"/>
      <w:szCs w:val="16"/>
    </w:rPr>
  </w:style>
  <w:style w:type="paragraph" w:styleId="PargrafodaLista">
    <w:name w:val="List Paragraph"/>
    <w:basedOn w:val="Normal"/>
    <w:uiPriority w:val="34"/>
    <w:qFormat/>
    <w:rsid w:val="00536892"/>
    <w:pPr>
      <w:ind w:left="720"/>
      <w:contextualSpacing/>
    </w:pPr>
  </w:style>
  <w:style w:type="character" w:styleId="Hyperlink">
    <w:name w:val="Hyperlink"/>
    <w:basedOn w:val="Fontepargpadro"/>
    <w:uiPriority w:val="99"/>
    <w:unhideWhenUsed/>
    <w:rsid w:val="00C55116"/>
    <w:rPr>
      <w:color w:val="0000FF" w:themeColor="hyperlink"/>
      <w:u w:val="single"/>
    </w:rPr>
  </w:style>
  <w:style w:type="paragraph" w:styleId="Cabealho">
    <w:name w:val="header"/>
    <w:basedOn w:val="Normal"/>
    <w:link w:val="CabealhoChar"/>
    <w:uiPriority w:val="99"/>
    <w:unhideWhenUsed/>
    <w:rsid w:val="00BE6F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16"/>
  </w:style>
  <w:style w:type="paragraph" w:styleId="Rodap">
    <w:name w:val="footer"/>
    <w:basedOn w:val="Normal"/>
    <w:link w:val="RodapChar"/>
    <w:uiPriority w:val="99"/>
    <w:unhideWhenUsed/>
    <w:rsid w:val="00BE6F16"/>
    <w:pPr>
      <w:tabs>
        <w:tab w:val="center" w:pos="4252"/>
        <w:tab w:val="right" w:pos="8504"/>
      </w:tabs>
      <w:spacing w:after="0" w:line="240" w:lineRule="auto"/>
    </w:pPr>
  </w:style>
  <w:style w:type="character" w:customStyle="1" w:styleId="RodapChar">
    <w:name w:val="Rodapé Char"/>
    <w:basedOn w:val="Fontepargpadro"/>
    <w:link w:val="Rodap"/>
    <w:uiPriority w:val="99"/>
    <w:rsid w:val="00BE6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42ACB-39D9-4AE6-AD59-16C6F2DC5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6602</Words>
  <Characters>35653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 do Nascimento Matias Santos</dc:creator>
  <cp:lastModifiedBy>Arhiam Rodrigues da Silva</cp:lastModifiedBy>
  <cp:revision>2</cp:revision>
  <dcterms:created xsi:type="dcterms:W3CDTF">2018-06-05T15:45:00Z</dcterms:created>
  <dcterms:modified xsi:type="dcterms:W3CDTF">2018-06-05T15:45:00Z</dcterms:modified>
</cp:coreProperties>
</file>