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433D9634" wp14:editId="2CB81372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9928C7">
        <w:rPr>
          <w:rFonts w:ascii="Verdana" w:hAnsi="Verdana"/>
          <w:b/>
        </w:rPr>
        <w:t xml:space="preserve">. São Paulo, 132, Ano 60, </w:t>
      </w:r>
      <w:proofErr w:type="gramStart"/>
      <w:r w:rsidR="009928C7">
        <w:rPr>
          <w:rFonts w:ascii="Verdana" w:hAnsi="Verdana"/>
          <w:b/>
        </w:rPr>
        <w:t>Terça -feira</w:t>
      </w:r>
      <w:proofErr w:type="gramEnd"/>
      <w:r w:rsidR="009928C7">
        <w:rPr>
          <w:rFonts w:ascii="Verdana" w:hAnsi="Verdana"/>
          <w:b/>
        </w:rPr>
        <w:t xml:space="preserve"> </w:t>
      </w:r>
      <w:r w:rsidR="00D460B5">
        <w:rPr>
          <w:rFonts w:ascii="Verdana" w:hAnsi="Verdana"/>
          <w:b/>
        </w:rPr>
        <w:t>.</w:t>
      </w:r>
    </w:p>
    <w:p w:rsidR="00574F8C" w:rsidRDefault="009928C7" w:rsidP="00574F8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21</w:t>
      </w:r>
      <w:r w:rsidR="00552A3D">
        <w:rPr>
          <w:rFonts w:ascii="Verdana" w:hAnsi="Verdana"/>
          <w:b/>
        </w:rPr>
        <w:t xml:space="preserve"> </w:t>
      </w:r>
      <w:r w:rsidR="001204CC">
        <w:rPr>
          <w:rFonts w:ascii="Verdana" w:hAnsi="Verdana"/>
          <w:b/>
        </w:rPr>
        <w:t>de Julho</w:t>
      </w:r>
      <w:r w:rsidR="00574F8C">
        <w:rPr>
          <w:rFonts w:ascii="Verdana" w:hAnsi="Verdana"/>
          <w:b/>
        </w:rPr>
        <w:t xml:space="preserve"> de 2015</w:t>
      </w:r>
    </w:p>
    <w:p w:rsidR="00C931E1" w:rsidRDefault="00C931E1" w:rsidP="006A505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8544E3" w:rsidRDefault="008544E3" w:rsidP="008544E3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 w:themeColor="text1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BlackCn"/>
          <w:b/>
          <w:bCs/>
          <w:color w:val="000000" w:themeColor="text1"/>
          <w:sz w:val="22"/>
          <w:szCs w:val="22"/>
          <w:lang w:eastAsia="en-US"/>
        </w:rPr>
        <w:t>DESENVOLVIMENTO,</w:t>
      </w:r>
      <w:proofErr w:type="gramEnd"/>
      <w:r w:rsidRPr="009928C7">
        <w:rPr>
          <w:rFonts w:ascii="Verdana" w:eastAsiaTheme="minorHAnsi" w:hAnsi="Verdana" w:cs="Frutiger-BlackCn"/>
          <w:b/>
          <w:bCs/>
          <w:color w:val="000000" w:themeColor="text1"/>
          <w:sz w:val="22"/>
          <w:szCs w:val="22"/>
          <w:lang w:eastAsia="en-US"/>
        </w:rPr>
        <w:t>TRABALHO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 w:themeColor="text1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BlackCn"/>
          <w:b/>
          <w:bCs/>
          <w:color w:val="000000" w:themeColor="text1"/>
          <w:sz w:val="22"/>
          <w:szCs w:val="22"/>
          <w:lang w:eastAsia="en-US"/>
        </w:rPr>
        <w:t>E EMPREENDEDORISMO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 w:themeColor="text1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BoldCn"/>
          <w:b/>
          <w:bCs/>
          <w:color w:val="000000" w:themeColor="text1"/>
          <w:sz w:val="22"/>
          <w:szCs w:val="22"/>
          <w:lang w:eastAsia="en-US"/>
        </w:rPr>
        <w:t>GABINETE DO SECRETÁRIO</w:t>
      </w:r>
    </w:p>
    <w:p w:rsid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PORTARIA Nº. 103/2015 – SDTE/GABINETE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ARTUR HENRIQUE DA SILVA SANTOS, Secretário </w:t>
      </w: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Municipal</w:t>
      </w:r>
      <w:proofErr w:type="gramEnd"/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Desenvolvimento, Trabalho e Empreendedorismo, no uso de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suas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atribuições legais,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CONSIDERANDO os termos da Lei Federal nº 10.520, </w:t>
      </w: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17 de julho de 2002, que instituiu a modalidade de </w:t>
      </w: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licitação</w:t>
      </w:r>
      <w:proofErr w:type="gramEnd"/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denominada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pregão, para aquisição de bens e serviços comuns,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Lei Federal nº 8.666, de 21 de junho de 1993 e do Decreto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Municipal nº 46.662, de 24 de novembro de 2005;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a necessidade de atualizar o rol dos servidores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incumbidos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da realização dos procedimentos licitatórios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Secretaria Municipal do Desenvolvimento, Trabalho e Empreendedorismo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 SDTE, na modalidade Pregão;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RESOLVE: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 – Designar como pregoeiros da Secretaria do Desenvolvimento,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Trabalho e Empreendedorismo - SDTE, para </w:t>
      </w: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exercer</w:t>
      </w:r>
      <w:proofErr w:type="gramEnd"/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atribuições previstas na legislação pertinente, federal e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municipal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realizando as sessões públicas de pregão, inclusive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aquelas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em que adote o sistema eletrônico, denominado pregão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eletrônico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os seguintes servidores: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Pregoeiros: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Diego Antonio Cleto – RF. 818.325.2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José Eudes Alves da Silva – RF. 750.882.4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Luana Barboza da Silva – RF. 811.365.3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Equipe de apoio: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Adriano Almeida Cardoso – RF 815.568-2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Antonio Clovis de Medeiros Neto – RF. 635.180.8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Edna Bezerra da Silva – RF. 549.000.6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Eliana Martins Pinto </w:t>
      </w:r>
      <w:proofErr w:type="spell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Santoni</w:t>
      </w:r>
      <w:proofErr w:type="spell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– RF. 809.949-9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Ênnio</w:t>
      </w:r>
      <w:proofErr w:type="spell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Thomaz – RF 391.925-1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Fernanda da Silva Aguiar – RF. 812.779.4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Guilherme Eurípedes Silva Ferreira – RF. 793.277.4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Ivan Luiz Gomes – RF 8.08784-9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Júlio Tiago Alonso Carreira Misael – RF. 732.385.9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Marcelo </w:t>
      </w:r>
      <w:proofErr w:type="spell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Monegatto</w:t>
      </w:r>
      <w:proofErr w:type="spell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– RF. 602.056-9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Maria Cristina Prince Berger Abreu – RF. 817.440.7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Maria Aparecida </w:t>
      </w:r>
      <w:proofErr w:type="spell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Bateir</w:t>
      </w:r>
      <w:proofErr w:type="spell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– RF 691.296.6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II – O Pregoeiro da licitação será indicado no respectivo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despacho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proofErr w:type="spell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autorizatório</w:t>
      </w:r>
      <w:proofErr w:type="spell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do certame, sendo que os demais servidores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designados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atuarão como equipe de apoio.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III - O Pregoeiro, em vista de eventual complexidade </w:t>
      </w: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matéria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poderá contar com o apoio de outros servidores da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e de especialistas.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IV - Esta Portaria entrará em vigor na data de sua publicação,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revogadas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as disposições em contrário, em especial a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Portaria n º 037/2014-SDTE-GABINETE.</w:t>
      </w:r>
    </w:p>
    <w:p w:rsid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EXTRATOS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2015-0.071.986-9 </w:t>
      </w: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Termo de Cooperação nº 005/2015/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SDTE.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Partícipes: Prefeitura do Município de São Paulo por intermédio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Secretaria Municipal do Desenvolvimento, Trabalho e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Empreendedorismo e Subprefeitura Butantã - SP-BT.</w:t>
      </w:r>
    </w:p>
    <w:p w:rsidR="00533E3D" w:rsidRPr="009928C7" w:rsidRDefault="009928C7" w:rsidP="009928C7">
      <w:pPr>
        <w:tabs>
          <w:tab w:val="left" w:pos="4830"/>
        </w:tabs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Objeto: Cessão de espaço físico.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Vigência: 12 meses a partir da assinatura.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Data da assinatura: 02/07/2015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Signatários: Artur Henrique da Silva Santos, pela SDTE </w:t>
      </w: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Maria Rosa da Silva, pela SP-BT.</w:t>
      </w:r>
    </w:p>
    <w:p w:rsid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2015-0.081.121-8 </w:t>
      </w: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Termo de Cooperação nº 007/2015/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SDTE.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Partícipes: Prefeitura do Município de São Paulo por intermédio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Secretaria Municipal do Desenvolvimento, Trabalho e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Empreendedorismo e Subprefeitura Sapopemba - SP-SB.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Objeto: Transferência de espaço.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Vigência: 12 meses a partir da assinatura.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Data da assinatura: 06/07/2015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Signatários: Artur Henrique da Silva Santos, pela SDTE </w:t>
      </w: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Nereu Marcelino de Amaral, pela SP-SB.</w:t>
      </w:r>
    </w:p>
    <w:p w:rsid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2012-0.326.911-7 </w:t>
      </w: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Termo de Cooperação nº 008/2015/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SDTE.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Partícipes: Prefeitura do Município de São Paulo por intermédio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Secretaria Municipal do Desenvolvimento, Trabalho e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Empreendedorismo e Subprefeitura Guaianases - SP-G.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Objeto: Concessão de espaço.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Vigência: 12 meses a partir da assinatura.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Data da assinatura: 14/07/2015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Signatários: Artur Henrique da Silva Santos, pela SDTE </w:t>
      </w: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Josafá</w:t>
      </w:r>
      <w:proofErr w:type="spell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Caldas de Oliveira, pela SP-G.</w:t>
      </w:r>
    </w:p>
    <w:p w:rsid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2015-0.154.338-1 </w:t>
      </w: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Termo de Cooperação nº 009/2015/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SDTE.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Partícipes: Prefeitura do Município de São Paulo por intermédio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Secretaria Municipal do Desenvolvimento, Trabalho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Empreendedorismo e Secretaria Municipal de Serviços - SES.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Objeto: Implantação do Projeto </w:t>
      </w: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“</w:t>
      </w:r>
      <w:proofErr w:type="spell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Telecentros</w:t>
      </w:r>
      <w:proofErr w:type="spell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Comunitários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Espaços Públicos”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Vigência: 12 meses a partir da assinatura.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Data da assinatura: 13/07/2015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Signatários: Artur Henrique da Silva Santos, pela SDTE </w:t>
      </w: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Simão Pedro </w:t>
      </w:r>
      <w:proofErr w:type="spell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Chiovetti</w:t>
      </w:r>
      <w:proofErr w:type="spell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pela SES.</w:t>
      </w:r>
    </w:p>
    <w:p w:rsid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727272"/>
          <w:sz w:val="22"/>
          <w:szCs w:val="22"/>
          <w:lang w:eastAsia="en-US"/>
        </w:rPr>
      </w:pP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FUNDAÇÃO PAULISTANA DE EDUCAÇÃO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 TECNOLOGIA</w:t>
      </w:r>
    </w:p>
    <w:p w:rsid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PORTARIA Nº 09/FUNDATEC 2015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DIOGO JAMRA TSUKUMO, Diretor Geral da Fundação </w:t>
      </w: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Paulistana</w:t>
      </w:r>
      <w:proofErr w:type="gramEnd"/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Educação e Tecnologia, no uso das atribuições legais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conforme o disposto na Lei 16.115 de 9 de janeiro de 2015;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RESOLVE: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1º. Delegar ao Chefe de Gabinete Senhor Antonio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Carlos Souza de Carvalho, RG 12.654.671, competência </w:t>
      </w: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para</w:t>
      </w:r>
      <w:proofErr w:type="gramEnd"/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responder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pelo expediente da Chefia da Assessoria Técnico-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Jurídica do Gabinete do Diretor </w:t>
      </w: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Geral ,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da Fundação Paulistana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Educação, Tecnologia e Cultura, até 30 de outubro de 2015.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2º. Esta Portaria entrará em vigor na data de sua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publicação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</w:t>
      </w:r>
    </w:p>
    <w:p w:rsid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 xml:space="preserve">PORTARIA FUNDATEC/SP Nº 10, DE 16 </w:t>
      </w:r>
      <w:proofErr w:type="gramStart"/>
      <w:r w:rsidRPr="009928C7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</w:t>
      </w:r>
      <w:proofErr w:type="gramEnd"/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JULHO DE 2015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DIOGO JAMRA TSUKUMO, Diretor Geral da </w:t>
      </w: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Fundação</w:t>
      </w:r>
      <w:proofErr w:type="gramEnd"/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Paulistana de Educação, Tecnologia e Cultura, no uso de </w:t>
      </w: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suas</w:t>
      </w:r>
      <w:proofErr w:type="gramEnd"/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atribuições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estabelecidas pela Lei nº 16.115, de 9 de janeiro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2015,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RESOLVE: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Designar a senhora ANAMARIA BRAGANÇA ALVES GUIMARÃES,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RG 26.530.289-4, para no período de 21 de Julho a 03 </w:t>
      </w: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agosto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2015, substituir a senhora VALDIRENE TIZZANO DA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SILVA, RG 16.980.539-6-SSP, no cargo de Supervisor Geral </w:t>
      </w: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Unidade Escolar, DAS-14, da Escola Técnica de Saúde </w:t>
      </w: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Pública</w:t>
      </w:r>
      <w:proofErr w:type="gramEnd"/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Professor </w:t>
      </w:r>
      <w:proofErr w:type="spell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Makiguti</w:t>
      </w:r>
      <w:proofErr w:type="spell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, da Coordenadoria de Ensino, Pesquisa </w:t>
      </w: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Cultura, da Fundação Paulistana de Educação, Tecnologia </w:t>
      </w: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Cultura, da Secretaria Municipal do Desenvolvimento, </w:t>
      </w: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Trabalho</w:t>
      </w:r>
      <w:proofErr w:type="gramEnd"/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Empreendedorismo, à vista de seu impedimento legal, por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férias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</w:t>
      </w:r>
    </w:p>
    <w:p w:rsid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PORTARIA FUNDATEC/SP Nº 10 DE 20 DE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JULHO DE 2015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Disciplina a atribuição de turnos, aulas e estágios aos </w:t>
      </w: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Professores</w:t>
      </w:r>
      <w:proofErr w:type="gramEnd"/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Escola Técnica de Saúde Pública Professor </w:t>
      </w:r>
      <w:proofErr w:type="spell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Makiguti</w:t>
      </w:r>
      <w:proofErr w:type="spellEnd"/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para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o 2º semestre do ano letivo de 2015.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DIOGO JAMRA TSUKUMO, Diretor Geral da </w:t>
      </w: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Fundação</w:t>
      </w:r>
      <w:proofErr w:type="gramEnd"/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Paulistana de Educação, Tecnologia e Cultura, no uso de </w:t>
      </w: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suas</w:t>
      </w:r>
      <w:proofErr w:type="gramEnd"/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atribuições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legais fixadas pela Lei nº 16.115, de 9 de janeiro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2015,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CONSIDERANDO: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 os princípios e diretrizes estabelecidos nas Leis 11.229/92,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11.434/93, 12.396/97 e 14.660/07;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 as disposições da Lei 8.989/79;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 as disposições da Lei Federal 9.394/96;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- as disposições da Lei 16.115/2015;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- a necessidade de se estabelecer, na Escola </w:t>
      </w:r>
      <w:proofErr w:type="spell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Ténica</w:t>
      </w:r>
      <w:proofErr w:type="spell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</w:t>
      </w: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Saúde</w:t>
      </w:r>
      <w:proofErr w:type="gramEnd"/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Pública Professor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proofErr w:type="spell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Makiguti</w:t>
      </w:r>
      <w:proofErr w:type="spell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critérios uniformes de classificação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dos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docentes para escolha/atribuição de turnos, de classes/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aulas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 de estágios;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 o dever e o compromisso da Fundação Paulistana de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Educação Tecnologia e Cultura em assegurar o total provimento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regência de classes na Escola Técnica de Saúde Pública Professor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Makiguti</w:t>
      </w:r>
      <w:proofErr w:type="spell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, inclusive pela otimização de recursos </w:t>
      </w: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humanos</w:t>
      </w:r>
      <w:proofErr w:type="gramEnd"/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docentes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;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RESOLVE: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Art. 1º O processo de escolha e atribuição de turnos, </w:t>
      </w: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aulas</w:t>
      </w:r>
      <w:proofErr w:type="gramEnd"/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estágios, para o 2º semestre de 2015, aos professores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ocupantes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emprego público e aos professores contratados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tempo determinado da Escola Técnica de Saúde Pública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Professor </w:t>
      </w:r>
      <w:proofErr w:type="spell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Makiguti</w:t>
      </w:r>
      <w:proofErr w:type="spell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será realizado de acordo com as disposições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desta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Portaria.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Art. 2º Conforme a jornada de trabalho, aos </w:t>
      </w: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professores</w:t>
      </w:r>
      <w:proofErr w:type="gramEnd"/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empregados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públicos deverão, no mínimo, ser atribuídas: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I – Jornada Básica – JB: </w:t>
      </w: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12 (doze) horas-aula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semanais em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regência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turma;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II – Jornada Ampliada – JA: </w:t>
      </w: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16 (dezesseis) horas-aula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semanais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regência de turma;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III – Jornada Integral – JI: </w:t>
      </w: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 (vinte) horas-aula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semanais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regência de turma.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Art. 3º A escolha e a atribuição de turnos, aulas e </w:t>
      </w: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estágios</w:t>
      </w:r>
      <w:proofErr w:type="gramEnd"/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obedecerá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ao critério de antiguidade, observada a ordem de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classificação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obtida na contagem de tempo de efetivo exercício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serviço na Escola Técnica de Saúde Pública Professor </w:t>
      </w:r>
      <w:proofErr w:type="spell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Makiguti</w:t>
      </w:r>
      <w:proofErr w:type="spell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consonância com o art. 18 da Lei nº 12.396, de 02 de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julho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1997.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§ 1º Para fins do disposto no “caput” deste artigo, </w:t>
      </w: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serão</w:t>
      </w:r>
      <w:proofErr w:type="gramEnd"/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atribuídos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02 (dois) pontos por mês de efetivo exercício na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Escola Técnica de Saúde Pública Professor </w:t>
      </w:r>
      <w:proofErr w:type="spell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Makiguti</w:t>
      </w:r>
      <w:proofErr w:type="spell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, e mais </w:t>
      </w: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01</w:t>
      </w:r>
      <w:proofErr w:type="gramEnd"/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(um) ponto por mês de efetivo exercício no curso pelo qual está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optando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para a atribuição, considerando-se as seguintes regras: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 – a contagem de tempo abrangerá o período compreendido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entre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 data de início de exercício e o dia 30 de junho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2015;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II – a apuração será feita em dias, que serão </w:t>
      </w: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convertidos</w:t>
      </w:r>
      <w:proofErr w:type="gramEnd"/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meses, de 30 (trinta) dias cada um;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III – corresponde a um mês cada 30 (trinta) dias ou fração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igual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ou superior a 15 (quinze) dias, após conversão do tempo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total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apurado e já efetuados os decréscimos.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§ 2º Considera-se tempo de efetivo exercício o tempo de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exercício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real do emprego público, considerados para esse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efeito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: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 – licenças: nojo, gala, por acidente de trabalho, gestante,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licença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maternidade especial, licença médica para tratamento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própria saúde, adoção, paternidade e prêmio;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II – afastamentos: por júri e por serviços obrigatórios por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lei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;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III – ausências por doação de sangue;</w:t>
      </w:r>
    </w:p>
    <w:p w:rsidR="009928C7" w:rsidRPr="009928C7" w:rsidRDefault="009928C7" w:rsidP="009928C7">
      <w:pPr>
        <w:tabs>
          <w:tab w:val="left" w:pos="4830"/>
        </w:tabs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IV – férias, recessos escolares.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§ 3º É vedada a contagem de períodos correspondentes a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licenças</w:t>
      </w:r>
      <w:proofErr w:type="gramEnd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, afastamentos e ausências não discriminadas no § 2º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deste</w:t>
      </w:r>
      <w:proofErr w:type="gramEnd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 xml:space="preserve"> artigo.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§ 4º Será também considerado como tempo de efetivo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exercício</w:t>
      </w:r>
      <w:proofErr w:type="gramEnd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 xml:space="preserve"> na Escola Técnica de Saúde Pública Professor </w:t>
      </w:r>
      <w:proofErr w:type="spell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Makiguti</w:t>
      </w:r>
      <w:proofErr w:type="spellEnd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,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para</w:t>
      </w:r>
      <w:proofErr w:type="gramEnd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 xml:space="preserve"> efeitos de classificação, o tempo de exercício sob o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regime</w:t>
      </w:r>
      <w:proofErr w:type="gramEnd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 xml:space="preserve"> de contrato por tempo determinado.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Art. 4º Na hipótese de empate</w:t>
      </w:r>
      <w:proofErr w:type="gram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, serão</w:t>
      </w:r>
      <w:proofErr w:type="gramEnd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 xml:space="preserve"> utilizados, pela ordem,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os</w:t>
      </w:r>
      <w:proofErr w:type="gramEnd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 xml:space="preserve"> seguintes critérios para desempate: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I – data de início de exercício mais antiga na unidade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escolar</w:t>
      </w:r>
      <w:proofErr w:type="gramEnd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;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II – classificação obtida em concurso de ingresso;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III – maior idade.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Art. 5º A atribuição de estágio seguirá os critérios a seguir: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 xml:space="preserve">I – Núcleo básico: </w:t>
      </w:r>
      <w:proofErr w:type="gram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a escolha e atribuição dos estágios será</w:t>
      </w:r>
      <w:proofErr w:type="gramEnd"/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feita</w:t>
      </w:r>
      <w:proofErr w:type="gramEnd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 xml:space="preserve"> por turmas, seguindo a classificação disposta no artigo 3º;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II – Núcleo técnico: um docente de cada módulo de cada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curso</w:t>
      </w:r>
      <w:proofErr w:type="gramEnd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 xml:space="preserve"> desempenhará a função de supervisor dos estágios relativos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àquele</w:t>
      </w:r>
      <w:proofErr w:type="gramEnd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 xml:space="preserve"> módulo, sendo a ele atribuídos, em conjunto, todos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os</w:t>
      </w:r>
      <w:proofErr w:type="gramEnd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 xml:space="preserve"> estágios, e a escolha pela atribuição nestes moldes será feita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seguindo</w:t>
      </w:r>
      <w:proofErr w:type="gramEnd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 xml:space="preserve"> a classificação disposta no artigo 3º.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§ 1º Cada turma de estágio supervisionada pelo docente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corresponde</w:t>
      </w:r>
      <w:proofErr w:type="gramEnd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 xml:space="preserve"> a 4 (quatro) horas-aula de trabalho semanal.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§ 2º Aos docentes que desempenharem a função de supervisor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 xml:space="preserve"> estágios nos termos do inciso II do caput não se aplica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o</w:t>
      </w:r>
      <w:proofErr w:type="gramEnd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 xml:space="preserve"> disposto no art. 2º desta Portaria, resguardadas as disposições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 xml:space="preserve"> Lei nº 16.115, de 9 de janeiro de 2015.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§ 3º Os docentes que supervisionarem estágio deverão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cumprir</w:t>
      </w:r>
      <w:proofErr w:type="gramEnd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 xml:space="preserve"> plantão semanal na Escola, em dia e horário fixos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acordados</w:t>
      </w:r>
      <w:proofErr w:type="gramEnd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 xml:space="preserve"> com a Supervisão Geral, para atender o aluno fora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 xml:space="preserve"> período de aula deste.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Art. 6º Os professores contratados por tempo determinado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em</w:t>
      </w:r>
      <w:proofErr w:type="gramEnd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 xml:space="preserve"> exercício na data da publicação desta Portaria participarão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 xml:space="preserve"> processo de escolha e atribuição de turnos, aulas e estágios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no</w:t>
      </w:r>
      <w:proofErr w:type="gramEnd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 xml:space="preserve"> 2º semestre do ano letivo de 2015 em listas de classificação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específicas</w:t>
      </w:r>
      <w:proofErr w:type="gramEnd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, observados os mesmos critérios, bases e condições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estabelecidas</w:t>
      </w:r>
      <w:proofErr w:type="gramEnd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 xml:space="preserve"> para o professor ocupante de emprego público.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 xml:space="preserve">Art. 7º O processo de escolha e atribuição de turnos, </w:t>
      </w:r>
      <w:proofErr w:type="gram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aulas</w:t>
      </w:r>
      <w:proofErr w:type="gramEnd"/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 xml:space="preserve"> estágios será feito em 2 (duas) etapas, na seguinte conformidade: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I – 1ª etapa: escolha e atribuição aos professores ocupantes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 xml:space="preserve"> empregos públicos;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II – 2ª etapa: escolha e atribuição aos professores contratados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por</w:t>
      </w:r>
      <w:proofErr w:type="gramEnd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 xml:space="preserve"> tempo determinado.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 xml:space="preserve">Parágrafo único. As aulas e estágios serão </w:t>
      </w:r>
      <w:proofErr w:type="gram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atribuídas</w:t>
      </w:r>
      <w:proofErr w:type="gramEnd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 xml:space="preserve"> aos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classificados</w:t>
      </w:r>
      <w:proofErr w:type="gramEnd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 xml:space="preserve"> de acordo com o número de horas-aula correspondente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à</w:t>
      </w:r>
      <w:proofErr w:type="gramEnd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 xml:space="preserve"> respectiva jornada de trabalho, a ser definida no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momento</w:t>
      </w:r>
      <w:proofErr w:type="gramEnd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 xml:space="preserve"> da escolha.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Art. 8º Para efeito de classificação para o procedimento de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escolha</w:t>
      </w:r>
      <w:proofErr w:type="gramEnd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 xml:space="preserve"> e atribuição de turnos, aulas e estágios, será desenvolvida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sessão</w:t>
      </w:r>
      <w:proofErr w:type="gramEnd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 xml:space="preserve"> pública na Escola, presidida pelo Supervisor Geral.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§ 1º A sessão pública será composta das seguintes fases: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 xml:space="preserve">I – publicação da classificação prévia, contendo a </w:t>
      </w:r>
      <w:proofErr w:type="gram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pontuação</w:t>
      </w:r>
      <w:proofErr w:type="gramEnd"/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obtida</w:t>
      </w:r>
      <w:proofErr w:type="gramEnd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 xml:space="preserve"> pelos professores em ordem decrescente;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II – manifestação imediata dos professores interessados em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recorrer</w:t>
      </w:r>
      <w:proofErr w:type="gramEnd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 xml:space="preserve"> da classificação prévia, apresentando, verbalmente ou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por</w:t>
      </w:r>
      <w:proofErr w:type="gramEnd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 xml:space="preserve"> escrito, as razões recursais;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III – decisão do Chefe da Assessoria Técnico Jurídica da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Fundação Paulistana acerca dos recursos eventualmente apresentados;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 xml:space="preserve">IV – publicação da classificação definitiva, contendo </w:t>
      </w:r>
      <w:proofErr w:type="gram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pontuação</w:t>
      </w:r>
      <w:proofErr w:type="gramEnd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 xml:space="preserve"> obtida pelos professores em ordem decrescente, e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convocação</w:t>
      </w:r>
      <w:proofErr w:type="gramEnd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 xml:space="preserve"> para o procedimento de escolha e atribuição de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turnos</w:t>
      </w:r>
      <w:proofErr w:type="gramEnd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, aulas e estágios no primeiro dia útil seguinte.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§ 2º A sessão pública acontecerá no dia 24 de julho de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 xml:space="preserve">2015, em horário determinado e </w:t>
      </w:r>
      <w:proofErr w:type="spell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publicizado</w:t>
      </w:r>
      <w:proofErr w:type="spellEnd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 xml:space="preserve"> pela </w:t>
      </w:r>
      <w:proofErr w:type="gram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Supervisão</w:t>
      </w:r>
      <w:proofErr w:type="gramEnd"/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Geral da Escola.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Art. 9º A Supervisão Geral da Escola Técnica de Saúde Pública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 xml:space="preserve">Professor </w:t>
      </w:r>
      <w:proofErr w:type="spell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Makiguti</w:t>
      </w:r>
      <w:proofErr w:type="spellEnd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 xml:space="preserve"> divulgará o cronograma com as datas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 xml:space="preserve"> realização da sessão pública de classificação, nos termos do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art.</w:t>
      </w:r>
      <w:proofErr w:type="gramEnd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 xml:space="preserve"> 8º, e da convocação para a escolha e atribuição de turnos,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aulas</w:t>
      </w:r>
      <w:proofErr w:type="gramEnd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 xml:space="preserve"> e estágios.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Art. 10. Caso o processo de atribuição de aulas se encerre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com</w:t>
      </w:r>
      <w:proofErr w:type="gramEnd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 xml:space="preserve"> a existência de aulas não preenchidas, os professores de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outros</w:t>
      </w:r>
      <w:proofErr w:type="gramEnd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 xml:space="preserve"> cursos que tenham habilitação profissional específica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 xml:space="preserve"> carga horária disponível poderão optar pela atribuição das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aulas</w:t>
      </w:r>
      <w:proofErr w:type="gramEnd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 xml:space="preserve"> restantes, independentemente da opção de curso.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Parágrafo único. Os critérios de classificação para a atribuição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referida</w:t>
      </w:r>
      <w:proofErr w:type="gramEnd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 xml:space="preserve"> no caput deste artigo são aqueles previstos no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presente</w:t>
      </w:r>
      <w:proofErr w:type="gramEnd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 xml:space="preserve"> diploma.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Art. 11. É permitido aos professores que tenham habilitação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profissional</w:t>
      </w:r>
      <w:proofErr w:type="gramEnd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 xml:space="preserve"> específica exigida solicitar transferência para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outros</w:t>
      </w:r>
      <w:proofErr w:type="gramEnd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 xml:space="preserve"> cursos.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Parágrafo único. Caso esses professores no futuro venham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 xml:space="preserve"> ser transferidos para os cursos onde anteriormente lecionavam,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esse</w:t>
      </w:r>
      <w:proofErr w:type="gramEnd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 xml:space="preserve"> tempo passado será resgatado e computado para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fins</w:t>
      </w:r>
      <w:proofErr w:type="gramEnd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 xml:space="preserve"> de escolha ou atribuição de aulas de que trata o artigo 3º.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Art. 12. Para efeitos de contagem de tempo de efetivo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exercício</w:t>
      </w:r>
      <w:proofErr w:type="gramEnd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 xml:space="preserve"> e classificação em futuros processos de atribuição de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turnos</w:t>
      </w:r>
      <w:proofErr w:type="gramEnd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, aulas e estágios, os docentes que tiverem aulas atribuídas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nos</w:t>
      </w:r>
      <w:proofErr w:type="gramEnd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 xml:space="preserve"> termos do artigo 10 terão o respectivo tempo de efetivo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exercício</w:t>
      </w:r>
      <w:proofErr w:type="gramEnd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 xml:space="preserve"> contado como sendo no curso em que cumpram a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maior</w:t>
      </w:r>
      <w:proofErr w:type="gramEnd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 xml:space="preserve"> parte de sua jornada.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 xml:space="preserve">Art. 13. Para a atribuição de turnos, aulas e estágios </w:t>
      </w:r>
      <w:proofErr w:type="gram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aos</w:t>
      </w:r>
      <w:proofErr w:type="gramEnd"/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professores</w:t>
      </w:r>
      <w:proofErr w:type="gramEnd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 xml:space="preserve"> que iniciarem o exercício após a conclusão do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processo</w:t>
      </w:r>
      <w:proofErr w:type="gramEnd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 xml:space="preserve"> de escolha de que trata esta Portaria, será considerada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 xml:space="preserve"> classificação obtida no concurso de ingresso, observadas as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regras</w:t>
      </w:r>
      <w:proofErr w:type="gramEnd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 xml:space="preserve"> de desempate do artigo 4º quando for o caso.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Art. 14. Os casos omissos serão resolvidos pelo Diretor Geral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 xml:space="preserve"> Fundação Paulistana de Educação, Tecnologia e Cultura.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Art. 15. Esta portaria entrará em vigor na data de sua</w:t>
      </w:r>
    </w:p>
    <w:p w:rsidR="009928C7" w:rsidRDefault="009928C7" w:rsidP="009928C7">
      <w:pPr>
        <w:tabs>
          <w:tab w:val="left" w:pos="4830"/>
        </w:tabs>
        <w:rPr>
          <w:rFonts w:ascii="Frutiger-Cn" w:eastAsiaTheme="minorHAnsi" w:hAnsi="Frutiger-Cn" w:cs="Frutiger-Cn"/>
          <w:sz w:val="14"/>
          <w:szCs w:val="14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sz w:val="22"/>
          <w:szCs w:val="22"/>
          <w:lang w:eastAsia="en-US"/>
        </w:rPr>
        <w:t>publicação</w:t>
      </w:r>
      <w:proofErr w:type="gramEnd"/>
      <w:r>
        <w:rPr>
          <w:rFonts w:ascii="Frutiger-Cn" w:eastAsiaTheme="minorHAnsi" w:hAnsi="Frutiger-Cn" w:cs="Frutiger-Cn"/>
          <w:sz w:val="14"/>
          <w:szCs w:val="14"/>
          <w:lang w:eastAsia="en-US"/>
        </w:rPr>
        <w:t>.</w:t>
      </w:r>
    </w:p>
    <w:p w:rsidR="009928C7" w:rsidRDefault="009928C7" w:rsidP="009928C7">
      <w:pPr>
        <w:tabs>
          <w:tab w:val="left" w:pos="4830"/>
        </w:tabs>
        <w:rPr>
          <w:rFonts w:ascii="Frutiger-Cn" w:eastAsiaTheme="minorHAnsi" w:hAnsi="Frutiger-Cn" w:cs="Frutiger-Cn"/>
          <w:sz w:val="14"/>
          <w:szCs w:val="14"/>
          <w:lang w:eastAsia="en-US"/>
        </w:rPr>
      </w:pPr>
    </w:p>
    <w:p w:rsidR="009928C7" w:rsidRDefault="009928C7" w:rsidP="009928C7">
      <w:pPr>
        <w:tabs>
          <w:tab w:val="left" w:pos="4830"/>
        </w:tabs>
        <w:rPr>
          <w:rFonts w:ascii="Frutiger-Cn" w:eastAsiaTheme="minorHAnsi" w:hAnsi="Frutiger-Cn" w:cs="Frutiger-Cn"/>
          <w:sz w:val="14"/>
          <w:szCs w:val="14"/>
          <w:lang w:eastAsia="en-US"/>
        </w:rPr>
      </w:pPr>
    </w:p>
    <w:p w:rsidR="009928C7" w:rsidRDefault="009928C7" w:rsidP="009928C7">
      <w:pPr>
        <w:tabs>
          <w:tab w:val="left" w:pos="4830"/>
        </w:tabs>
        <w:rPr>
          <w:rFonts w:ascii="Frutiger-Cn" w:eastAsiaTheme="minorHAnsi" w:hAnsi="Frutiger-Cn" w:cs="Frutiger-Cn"/>
          <w:sz w:val="14"/>
          <w:szCs w:val="14"/>
          <w:lang w:eastAsia="en-US"/>
        </w:rPr>
      </w:pPr>
    </w:p>
    <w:p w:rsidR="009928C7" w:rsidRDefault="009928C7" w:rsidP="009928C7">
      <w:pPr>
        <w:tabs>
          <w:tab w:val="left" w:pos="4830"/>
        </w:tabs>
        <w:rPr>
          <w:rFonts w:ascii="Frutiger-Cn" w:eastAsiaTheme="minorHAnsi" w:hAnsi="Frutiger-Cn" w:cs="Frutiger-Cn"/>
          <w:sz w:val="14"/>
          <w:szCs w:val="14"/>
          <w:lang w:eastAsia="en-US"/>
        </w:rPr>
      </w:pPr>
    </w:p>
    <w:p w:rsidR="009928C7" w:rsidRDefault="009928C7" w:rsidP="009928C7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  <w:r w:rsidRPr="009928C7">
        <w:rPr>
          <w:rFonts w:ascii="Verdana" w:eastAsiaTheme="minorHAnsi" w:hAnsi="Verdana" w:cs="Frutiger-Cn"/>
          <w:b/>
          <w:lang w:eastAsia="en-US"/>
        </w:rPr>
        <w:t>Servidor, Pág.47</w:t>
      </w:r>
    </w:p>
    <w:p w:rsidR="009928C7" w:rsidRDefault="009928C7" w:rsidP="009928C7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</w:p>
    <w:p w:rsidR="009928C7" w:rsidRDefault="009928C7" w:rsidP="009928C7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 w:themeColor="text1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BlackCn"/>
          <w:b/>
          <w:bCs/>
          <w:color w:val="000000" w:themeColor="text1"/>
          <w:sz w:val="22"/>
          <w:szCs w:val="22"/>
          <w:lang w:eastAsia="en-US"/>
        </w:rPr>
        <w:t>GOVERNO MUNICIPAL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 w:themeColor="text1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BoldCn"/>
          <w:b/>
          <w:bCs/>
          <w:color w:val="000000" w:themeColor="text1"/>
          <w:sz w:val="22"/>
          <w:szCs w:val="22"/>
          <w:lang w:eastAsia="en-US"/>
        </w:rPr>
        <w:t>CONSELHO MUNICIPAL DE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 w:themeColor="text1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BoldCn"/>
          <w:b/>
          <w:bCs/>
          <w:color w:val="000000" w:themeColor="text1"/>
          <w:sz w:val="22"/>
          <w:szCs w:val="22"/>
          <w:lang w:eastAsia="en-US"/>
        </w:rPr>
        <w:t>ADMINISTRAÇÃO PÚBLICA - COMAP</w:t>
      </w:r>
    </w:p>
    <w:p w:rsid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</w:pPr>
      <w:r w:rsidRPr="009928C7"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  <w:t>ATA DA 115ª REUNIÃO EXTRAORDINÁRIA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</w:pPr>
      <w:r w:rsidRPr="009928C7"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  <w:t>DO CONSELHO MUNICIPAL DE ADMINISTRAÇÃO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</w:pPr>
      <w:r w:rsidRPr="009928C7"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  <w:t>PÚBLICA – COMAP REALIZADA EM 20 DE JULHO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BlackCn"/>
          <w:b/>
          <w:bCs/>
          <w:color w:val="000000"/>
          <w:sz w:val="20"/>
          <w:szCs w:val="20"/>
          <w:lang w:eastAsia="en-US"/>
        </w:rPr>
        <w:t>DE 2015</w:t>
      </w:r>
      <w:r w:rsidRPr="009928C7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.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Aos 20 de Julho de 2015, às 14H30 horas, sob a </w:t>
      </w: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presidência</w:t>
      </w:r>
      <w:proofErr w:type="gramEnd"/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Sr. </w:t>
      </w:r>
      <w:proofErr w:type="spell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Luis</w:t>
      </w:r>
      <w:proofErr w:type="spell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Eduardo </w:t>
      </w:r>
      <w:proofErr w:type="spell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Patrone</w:t>
      </w:r>
      <w:proofErr w:type="spell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Regules, realizou-se a 115ª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reunião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Plenária Extraordinária do Conselho Municipal de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Administração Pública – COMAP, na sala de reuniões da </w:t>
      </w: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Assessoria</w:t>
      </w:r>
      <w:proofErr w:type="gramEnd"/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Técnica, da Secretaria do Governo Municipal, </w:t>
      </w: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estando</w:t>
      </w:r>
      <w:proofErr w:type="gramEnd"/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presentes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os seguintes membros: Patrícia </w:t>
      </w:r>
      <w:proofErr w:type="spell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Guilharducci</w:t>
      </w:r>
      <w:proofErr w:type="spell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de SGM/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AT; Raymundo Augusto do Nascimento Filho, Suplente de SF;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Vinicius Gomes dos Santos, Suplente de SNJ; Willian Fernandes,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Suplente de SMRG; Zilda Aparecida </w:t>
      </w:r>
      <w:proofErr w:type="spell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Petrucci</w:t>
      </w:r>
      <w:proofErr w:type="spell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Suplente de SMG.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Conselho foi instituído pelo Decreto nº. 50.514/2009 e posteriores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alterações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 os membros nomeados por meio da seguinte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portaria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: Portaria 96 de 27 de fevereiro de 2015.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Dado início a centésima décima quinta reunião extraordinária,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segue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abaixo resumo das deliberações: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1. Foram apreciadas as propostas de nomeações/designações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formalizadas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pelas diversas Secretarias e obtiveram manifestação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favorável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ao prosseguimento, uma vez examinadas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declarações apresentadas em atendimento ao Decreto n°</w:t>
      </w:r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50.898/2009, com vistas a evitar situações que possam </w:t>
      </w: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contrariar</w:t>
      </w:r>
      <w:proofErr w:type="gramEnd"/>
    </w:p>
    <w:p w:rsidR="009928C7" w:rsidRPr="009928C7" w:rsidRDefault="009928C7" w:rsidP="009928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disposto da Súmula 13 do Supremo Tribunal Federal, bem</w:t>
      </w:r>
    </w:p>
    <w:p w:rsidR="009928C7" w:rsidRDefault="009928C7" w:rsidP="009928C7">
      <w:pPr>
        <w:tabs>
          <w:tab w:val="left" w:pos="4830"/>
        </w:tabs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como</w:t>
      </w:r>
      <w:proofErr w:type="gramEnd"/>
      <w:r w:rsidRPr="009928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ao Decreto nº 53.177/2012:</w:t>
      </w:r>
    </w:p>
    <w:p w:rsidR="009928C7" w:rsidRDefault="00CE7124" w:rsidP="009928C7">
      <w:pPr>
        <w:tabs>
          <w:tab w:val="left" w:pos="4830"/>
        </w:tabs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bookmarkStart w:id="0" w:name="_GoBack"/>
      <w:bookmarkEnd w:id="0"/>
    </w:p>
    <w:p w:rsidR="009928C7" w:rsidRPr="009928C7" w:rsidRDefault="009928C7" w:rsidP="009928C7">
      <w:pPr>
        <w:tabs>
          <w:tab w:val="left" w:pos="4830"/>
        </w:tabs>
        <w:rPr>
          <w:rFonts w:ascii="Verdana" w:eastAsiaTheme="minorHAnsi" w:hAnsi="Verdana" w:cs="Vrinda"/>
          <w:b/>
          <w:sz w:val="22"/>
          <w:szCs w:val="22"/>
          <w:lang w:eastAsia="en-US"/>
        </w:rPr>
      </w:pPr>
      <w:r>
        <w:rPr>
          <w:rFonts w:ascii="Verdana" w:eastAsiaTheme="minorHAnsi" w:hAnsi="Verdana" w:cs="Vrinda"/>
          <w:b/>
          <w:noProof/>
          <w:sz w:val="22"/>
          <w:szCs w:val="22"/>
        </w:rPr>
        <w:drawing>
          <wp:inline distT="0" distB="0" distL="0" distR="0">
            <wp:extent cx="4440555" cy="3048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0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28C7" w:rsidRPr="009928C7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1E1" w:rsidRDefault="00C931E1" w:rsidP="00323B3A">
      <w:r>
        <w:separator/>
      </w:r>
    </w:p>
  </w:endnote>
  <w:endnote w:type="continuationSeparator" w:id="0">
    <w:p w:rsidR="00C931E1" w:rsidRDefault="00C931E1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C931E1" w:rsidRDefault="00C931E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5A1">
          <w:rPr>
            <w:noProof/>
          </w:rPr>
          <w:t>7</w:t>
        </w:r>
        <w:r>
          <w:fldChar w:fldCharType="end"/>
        </w:r>
      </w:p>
    </w:sdtContent>
  </w:sdt>
  <w:p w:rsidR="00C931E1" w:rsidRDefault="00C931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1E1" w:rsidRDefault="00C931E1" w:rsidP="00323B3A">
      <w:r>
        <w:separator/>
      </w:r>
    </w:p>
  </w:footnote>
  <w:footnote w:type="continuationSeparator" w:id="0">
    <w:p w:rsidR="00C931E1" w:rsidRDefault="00C931E1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E1" w:rsidRDefault="00C931E1">
    <w:pPr>
      <w:pStyle w:val="Cabealho"/>
      <w:jc w:val="right"/>
    </w:pPr>
  </w:p>
  <w:p w:rsidR="00C931E1" w:rsidRDefault="00C931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34F06"/>
    <w:rsid w:val="00044749"/>
    <w:rsid w:val="00063F67"/>
    <w:rsid w:val="000717A4"/>
    <w:rsid w:val="00084C5D"/>
    <w:rsid w:val="000B05A1"/>
    <w:rsid w:val="000B767E"/>
    <w:rsid w:val="0011758B"/>
    <w:rsid w:val="001204CC"/>
    <w:rsid w:val="00163C38"/>
    <w:rsid w:val="001B20F2"/>
    <w:rsid w:val="001C3D1F"/>
    <w:rsid w:val="001F7C29"/>
    <w:rsid w:val="00201991"/>
    <w:rsid w:val="00202107"/>
    <w:rsid w:val="00205F1B"/>
    <w:rsid w:val="0027334B"/>
    <w:rsid w:val="00290DF8"/>
    <w:rsid w:val="002B1DA2"/>
    <w:rsid w:val="002B40A8"/>
    <w:rsid w:val="002C3100"/>
    <w:rsid w:val="002E423F"/>
    <w:rsid w:val="003069AD"/>
    <w:rsid w:val="00323B3A"/>
    <w:rsid w:val="0035059E"/>
    <w:rsid w:val="00353C01"/>
    <w:rsid w:val="0035553C"/>
    <w:rsid w:val="00366608"/>
    <w:rsid w:val="003746EB"/>
    <w:rsid w:val="00375E9A"/>
    <w:rsid w:val="003765F6"/>
    <w:rsid w:val="003B0D87"/>
    <w:rsid w:val="003B5BDE"/>
    <w:rsid w:val="003B5F04"/>
    <w:rsid w:val="00404183"/>
    <w:rsid w:val="004204B3"/>
    <w:rsid w:val="00425320"/>
    <w:rsid w:val="00484D54"/>
    <w:rsid w:val="00485FF6"/>
    <w:rsid w:val="004945DF"/>
    <w:rsid w:val="004A2559"/>
    <w:rsid w:val="004A495A"/>
    <w:rsid w:val="004A7305"/>
    <w:rsid w:val="004C384A"/>
    <w:rsid w:val="004F2C96"/>
    <w:rsid w:val="004F7ACF"/>
    <w:rsid w:val="00533E3D"/>
    <w:rsid w:val="00552A3D"/>
    <w:rsid w:val="00557217"/>
    <w:rsid w:val="0056704B"/>
    <w:rsid w:val="00574F8C"/>
    <w:rsid w:val="00577878"/>
    <w:rsid w:val="005963F1"/>
    <w:rsid w:val="005A54E0"/>
    <w:rsid w:val="005C044F"/>
    <w:rsid w:val="005E78A4"/>
    <w:rsid w:val="005F054C"/>
    <w:rsid w:val="006139C2"/>
    <w:rsid w:val="006A505B"/>
    <w:rsid w:val="006B6392"/>
    <w:rsid w:val="006D6207"/>
    <w:rsid w:val="006E1A24"/>
    <w:rsid w:val="00704FE8"/>
    <w:rsid w:val="00716EE1"/>
    <w:rsid w:val="00741F30"/>
    <w:rsid w:val="007508EB"/>
    <w:rsid w:val="00766A4C"/>
    <w:rsid w:val="007D5941"/>
    <w:rsid w:val="008021C0"/>
    <w:rsid w:val="00804644"/>
    <w:rsid w:val="008215D9"/>
    <w:rsid w:val="008544E3"/>
    <w:rsid w:val="00855434"/>
    <w:rsid w:val="00865463"/>
    <w:rsid w:val="008728DC"/>
    <w:rsid w:val="008800A0"/>
    <w:rsid w:val="008B51F3"/>
    <w:rsid w:val="00917560"/>
    <w:rsid w:val="00952736"/>
    <w:rsid w:val="00991BB5"/>
    <w:rsid w:val="009928C7"/>
    <w:rsid w:val="009E2766"/>
    <w:rsid w:val="00A10746"/>
    <w:rsid w:val="00A622CD"/>
    <w:rsid w:val="00AF737E"/>
    <w:rsid w:val="00B22C60"/>
    <w:rsid w:val="00B24992"/>
    <w:rsid w:val="00B44147"/>
    <w:rsid w:val="00B96313"/>
    <w:rsid w:val="00BC1935"/>
    <w:rsid w:val="00BE2C9F"/>
    <w:rsid w:val="00BE67BD"/>
    <w:rsid w:val="00C270C9"/>
    <w:rsid w:val="00C279A6"/>
    <w:rsid w:val="00C36DD9"/>
    <w:rsid w:val="00C6478B"/>
    <w:rsid w:val="00C76F3F"/>
    <w:rsid w:val="00C931E1"/>
    <w:rsid w:val="00CC49F2"/>
    <w:rsid w:val="00CD1176"/>
    <w:rsid w:val="00CE7124"/>
    <w:rsid w:val="00D30C7E"/>
    <w:rsid w:val="00D374D3"/>
    <w:rsid w:val="00D460B5"/>
    <w:rsid w:val="00D742B6"/>
    <w:rsid w:val="00D94649"/>
    <w:rsid w:val="00DB34AF"/>
    <w:rsid w:val="00DD08FC"/>
    <w:rsid w:val="00E03A41"/>
    <w:rsid w:val="00E30BCF"/>
    <w:rsid w:val="00E72D22"/>
    <w:rsid w:val="00E90FB5"/>
    <w:rsid w:val="00EE7E42"/>
    <w:rsid w:val="00EE7E5D"/>
    <w:rsid w:val="00F06102"/>
    <w:rsid w:val="00F15763"/>
    <w:rsid w:val="00F57831"/>
    <w:rsid w:val="00F6017F"/>
    <w:rsid w:val="00F61D44"/>
    <w:rsid w:val="00F82756"/>
    <w:rsid w:val="00F92D24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2255A-E77E-4EE9-83B6-E13C9DEA0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2403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2015-07-21T11:30:00Z</cp:lastPrinted>
  <dcterms:created xsi:type="dcterms:W3CDTF">2015-07-21T11:54:00Z</dcterms:created>
  <dcterms:modified xsi:type="dcterms:W3CDTF">2015-07-21T11:54:00Z</dcterms:modified>
</cp:coreProperties>
</file>