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1E" w:rsidRPr="00380A1E" w:rsidRDefault="00380A1E" w:rsidP="00380A1E">
      <w:pPr>
        <w:pStyle w:val="NormalWeb"/>
        <w:jc w:val="both"/>
      </w:pPr>
      <w:r w:rsidRPr="00380A1E">
        <w:rPr>
          <w:rFonts w:ascii="Calibri" w:hAnsi="Calibri"/>
          <w:b/>
          <w:bCs/>
        </w:rPr>
        <w:t>Ouvidoria Geral do Município divulga balanço do terceiro trimestre de 2014</w:t>
      </w:r>
      <w:r w:rsidRPr="00380A1E">
        <w:rPr>
          <w:rFonts w:ascii="Calibri" w:hAnsi="Calibri"/>
        </w:rPr>
        <w:br/>
      </w:r>
      <w:r w:rsidRPr="00380A1E">
        <w:rPr>
          <w:rStyle w:val="Forte"/>
          <w:rFonts w:ascii="Calibri" w:hAnsi="Calibri"/>
          <w:b w:val="0"/>
          <w:bCs w:val="0"/>
          <w:i/>
          <w:iCs/>
        </w:rPr>
        <w:t>Número de reclamações relacionadas ao atendimento dos órgãos municipais aumentaram 9% em relação ao trimestre anterior  </w:t>
      </w:r>
    </w:p>
    <w:p w:rsidR="00380A1E" w:rsidRDefault="00380A1E" w:rsidP="00380A1E">
      <w:pPr>
        <w:pStyle w:val="NormalWeb"/>
        <w:jc w:val="both"/>
        <w:rPr>
          <w:rFonts w:ascii="Calibri" w:hAnsi="Calibri"/>
        </w:rPr>
      </w:pPr>
      <w:r w:rsidRPr="00380A1E">
        <w:rPr>
          <w:rFonts w:ascii="Calibri" w:hAnsi="Calibri"/>
        </w:rPr>
        <w:t xml:space="preserve">A </w:t>
      </w:r>
      <w:r w:rsidRPr="00380A1E">
        <w:rPr>
          <w:rFonts w:ascii="Calibri" w:hAnsi="Calibri"/>
          <w:b/>
          <w:bCs/>
        </w:rPr>
        <w:t>Ouvidoria Geral do Município de São Paulo (OGM)</w:t>
      </w:r>
      <w:r w:rsidRPr="00380A1E">
        <w:rPr>
          <w:rFonts w:ascii="Calibri" w:hAnsi="Calibri"/>
        </w:rPr>
        <w:t xml:space="preserve"> realizou 16.354 atendimentos no terceiro trimestre de 2014, um aumento em relação ao registrado no segundo trimestre (13.658). Do total, 3.956 </w:t>
      </w:r>
      <w:proofErr w:type="gramStart"/>
      <w:r w:rsidRPr="00380A1E">
        <w:rPr>
          <w:rFonts w:ascii="Calibri" w:hAnsi="Calibri"/>
        </w:rPr>
        <w:t>geraram</w:t>
      </w:r>
      <w:proofErr w:type="gramEnd"/>
      <w:r w:rsidRPr="00380A1E">
        <w:rPr>
          <w:rFonts w:ascii="Calibri" w:hAnsi="Calibri"/>
        </w:rPr>
        <w:t xml:space="preserve"> protocolos de reclamações, sugestões, elogios ou denúncia direcionados aos órgãos da gestão municipal, uma queda de 18,55% em relação ao trimestre anterior. Os dados fazem parte do balanço periódico realizado pela OGM</w:t>
      </w:r>
      <w:r>
        <w:rPr>
          <w:rFonts w:ascii="Calibri" w:hAnsi="Calibri"/>
        </w:rPr>
        <w:t xml:space="preserve"> (</w:t>
      </w:r>
      <w:hyperlink r:id="rId4" w:history="1">
        <w:r>
          <w:rPr>
            <w:rStyle w:val="Hyperlink"/>
            <w:rFonts w:ascii="Calibri" w:hAnsi="Calibri"/>
          </w:rPr>
          <w:t>veja a íntegra</w:t>
        </w:r>
      </w:hyperlink>
      <w:r>
        <w:rPr>
          <w:rFonts w:ascii="Calibri" w:hAnsi="Calibri"/>
        </w:rPr>
        <w:t>).</w:t>
      </w:r>
    </w:p>
    <w:p w:rsidR="00380A1E" w:rsidRPr="00380A1E" w:rsidRDefault="00380A1E" w:rsidP="00380A1E">
      <w:pPr>
        <w:pStyle w:val="NormalWeb"/>
        <w:jc w:val="both"/>
        <w:rPr>
          <w:rFonts w:ascii="Calibri" w:hAnsi="Calibri"/>
        </w:rPr>
      </w:pPr>
      <w:r w:rsidRPr="00380A1E">
        <w:rPr>
          <w:rFonts w:ascii="Calibri" w:hAnsi="Calibri"/>
        </w:rPr>
        <w:t xml:space="preserve">Problemas relacionados ao </w:t>
      </w:r>
      <w:r w:rsidRPr="00380A1E">
        <w:rPr>
          <w:rFonts w:ascii="Calibri" w:hAnsi="Calibri"/>
          <w:b/>
          <w:bCs/>
        </w:rPr>
        <w:t>atendimento</w:t>
      </w:r>
      <w:r w:rsidRPr="00380A1E">
        <w:rPr>
          <w:rFonts w:ascii="Calibri" w:hAnsi="Calibri"/>
        </w:rPr>
        <w:t xml:space="preserve"> dos órgãos municipais lideraram o ranking de registros do trimestre, com 381 protocolos - um aumento de 9% em relação ao trimestre anterior. </w:t>
      </w:r>
      <w:r w:rsidRPr="00380A1E">
        <w:rPr>
          <w:rFonts w:ascii="Calibri" w:hAnsi="Calibri"/>
          <w:b/>
          <w:bCs/>
        </w:rPr>
        <w:t>Trânsito</w:t>
      </w:r>
      <w:r w:rsidRPr="00380A1E">
        <w:rPr>
          <w:rFonts w:ascii="Calibri" w:hAnsi="Calibri"/>
        </w:rPr>
        <w:t xml:space="preserve"> (296 protocolos), </w:t>
      </w:r>
      <w:r w:rsidRPr="00380A1E">
        <w:rPr>
          <w:rFonts w:ascii="Calibri" w:hAnsi="Calibri"/>
          <w:b/>
          <w:bCs/>
        </w:rPr>
        <w:t>jardinagem</w:t>
      </w:r>
      <w:r w:rsidRPr="00380A1E">
        <w:rPr>
          <w:rFonts w:ascii="Calibri" w:hAnsi="Calibri"/>
        </w:rPr>
        <w:t xml:space="preserve"> (294 protocolos), </w:t>
      </w:r>
      <w:r w:rsidRPr="00380A1E">
        <w:rPr>
          <w:rFonts w:ascii="Calibri" w:hAnsi="Calibri"/>
          <w:b/>
          <w:bCs/>
        </w:rPr>
        <w:t>problemas nas</w:t>
      </w:r>
      <w:r w:rsidRPr="00380A1E">
        <w:rPr>
          <w:rFonts w:ascii="Calibri" w:hAnsi="Calibri"/>
        </w:rPr>
        <w:t xml:space="preserve"> </w:t>
      </w:r>
      <w:r w:rsidRPr="00380A1E">
        <w:rPr>
          <w:rFonts w:ascii="Calibri" w:hAnsi="Calibri"/>
          <w:b/>
          <w:bCs/>
        </w:rPr>
        <w:t xml:space="preserve">vias públicas </w:t>
      </w:r>
      <w:r w:rsidRPr="00380A1E">
        <w:rPr>
          <w:rFonts w:ascii="Calibri" w:hAnsi="Calibri"/>
        </w:rPr>
        <w:t xml:space="preserve">(272 protocolos), </w:t>
      </w:r>
      <w:r w:rsidRPr="00380A1E">
        <w:rPr>
          <w:rFonts w:ascii="Calibri" w:hAnsi="Calibri"/>
          <w:b/>
          <w:bCs/>
        </w:rPr>
        <w:t>perturbação de silêncio</w:t>
      </w:r>
      <w:r w:rsidRPr="00380A1E">
        <w:rPr>
          <w:rFonts w:ascii="Calibri" w:hAnsi="Calibri"/>
        </w:rPr>
        <w:t xml:space="preserve"> (216 protocolos), </w:t>
      </w:r>
      <w:r w:rsidRPr="00380A1E">
        <w:rPr>
          <w:rFonts w:ascii="Calibri" w:hAnsi="Calibri"/>
          <w:b/>
          <w:bCs/>
        </w:rPr>
        <w:t>Bilhete Único</w:t>
      </w:r>
      <w:r w:rsidRPr="00380A1E">
        <w:rPr>
          <w:rFonts w:ascii="Calibri" w:hAnsi="Calibri"/>
        </w:rPr>
        <w:t xml:space="preserve"> (178 protocolos), </w:t>
      </w:r>
      <w:r w:rsidRPr="00380A1E">
        <w:rPr>
          <w:rFonts w:ascii="Calibri" w:hAnsi="Calibri"/>
          <w:b/>
          <w:bCs/>
        </w:rPr>
        <w:t>iluminação pública</w:t>
      </w:r>
      <w:r w:rsidRPr="00380A1E">
        <w:rPr>
          <w:rFonts w:ascii="Calibri" w:hAnsi="Calibri"/>
        </w:rPr>
        <w:t xml:space="preserve"> (176 protocolos), </w:t>
      </w:r>
      <w:r w:rsidRPr="00380A1E">
        <w:rPr>
          <w:rFonts w:ascii="Calibri" w:hAnsi="Calibri"/>
          <w:b/>
          <w:bCs/>
        </w:rPr>
        <w:t>transporte público</w:t>
      </w:r>
      <w:r w:rsidRPr="00380A1E">
        <w:rPr>
          <w:rFonts w:ascii="Calibri" w:hAnsi="Calibri"/>
        </w:rPr>
        <w:t xml:space="preserve"> (175 protocolos), </w:t>
      </w:r>
      <w:r w:rsidRPr="00380A1E">
        <w:rPr>
          <w:rFonts w:ascii="Calibri" w:hAnsi="Calibri"/>
          <w:b/>
          <w:bCs/>
        </w:rPr>
        <w:t>construção irregular</w:t>
      </w:r>
      <w:r w:rsidRPr="00380A1E">
        <w:rPr>
          <w:rFonts w:ascii="Calibri" w:hAnsi="Calibri"/>
        </w:rPr>
        <w:t xml:space="preserve"> (166 protocolos) e </w:t>
      </w:r>
      <w:r w:rsidRPr="00380A1E">
        <w:rPr>
          <w:rFonts w:ascii="Calibri" w:hAnsi="Calibri"/>
          <w:b/>
          <w:bCs/>
        </w:rPr>
        <w:t>limpeza pública/lixo</w:t>
      </w:r>
      <w:r w:rsidRPr="00380A1E">
        <w:rPr>
          <w:rFonts w:ascii="Calibri" w:hAnsi="Calibri"/>
        </w:rPr>
        <w:t xml:space="preserve"> (144 protocolos) completaram o ranking dos dez assuntos mais demandados.</w:t>
      </w:r>
    </w:p>
    <w:p w:rsidR="00380A1E" w:rsidRDefault="00380A1E" w:rsidP="00380A1E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 xml:space="preserve">Dentre as empresas e órgãos municipais, o maior volume de demandas foi encaminhado à </w:t>
      </w:r>
      <w:proofErr w:type="spellStart"/>
      <w:proofErr w:type="gramStart"/>
      <w:r>
        <w:rPr>
          <w:rStyle w:val="Forte"/>
          <w:rFonts w:ascii="Calibri" w:hAnsi="Calibri"/>
        </w:rPr>
        <w:t>SPTrans</w:t>
      </w:r>
      <w:proofErr w:type="spellEnd"/>
      <w:proofErr w:type="gramEnd"/>
      <w:r>
        <w:rPr>
          <w:rFonts w:ascii="Calibri" w:hAnsi="Calibri"/>
        </w:rPr>
        <w:t xml:space="preserve"> (464 protocolos), à</w:t>
      </w:r>
      <w:r>
        <w:rPr>
          <w:rStyle w:val="Forte"/>
          <w:rFonts w:ascii="Calibri" w:hAnsi="Calibri"/>
        </w:rPr>
        <w:t xml:space="preserve"> CET </w:t>
      </w:r>
      <w:r>
        <w:rPr>
          <w:rFonts w:ascii="Calibri" w:hAnsi="Calibri"/>
        </w:rPr>
        <w:t xml:space="preserve">(324 protocolos), ao </w:t>
      </w:r>
      <w:r>
        <w:rPr>
          <w:rStyle w:val="Forte"/>
          <w:rFonts w:ascii="Calibri" w:hAnsi="Calibri"/>
        </w:rPr>
        <w:t xml:space="preserve">Programa de Silêncio Urbano – PSIU </w:t>
      </w:r>
      <w:r>
        <w:rPr>
          <w:rStyle w:val="Forte"/>
          <w:rFonts w:ascii="Calibri" w:hAnsi="Calibri"/>
          <w:b w:val="0"/>
          <w:bCs w:val="0"/>
        </w:rPr>
        <w:t xml:space="preserve">(217 protocolos), </w:t>
      </w:r>
      <w:r>
        <w:rPr>
          <w:rFonts w:ascii="Calibri" w:hAnsi="Calibri"/>
        </w:rPr>
        <w:t xml:space="preserve">à </w:t>
      </w:r>
      <w:r>
        <w:rPr>
          <w:rStyle w:val="Forte"/>
          <w:rFonts w:ascii="Calibri" w:hAnsi="Calibri"/>
        </w:rPr>
        <w:t xml:space="preserve">Secretaria Municipal de Finanças e Desenvolvimento Econômico </w:t>
      </w:r>
      <w:r>
        <w:rPr>
          <w:rFonts w:ascii="Calibri" w:hAnsi="Calibri"/>
        </w:rPr>
        <w:t xml:space="preserve">(180 protocolos), ao </w:t>
      </w:r>
      <w:r>
        <w:rPr>
          <w:rStyle w:val="Forte"/>
          <w:rFonts w:ascii="Calibri" w:hAnsi="Calibri"/>
        </w:rPr>
        <w:t xml:space="preserve">Departamento de Iluminação Pública – </w:t>
      </w:r>
      <w:proofErr w:type="spellStart"/>
      <w:r>
        <w:rPr>
          <w:rStyle w:val="Forte"/>
          <w:rFonts w:ascii="Calibri" w:hAnsi="Calibri"/>
        </w:rPr>
        <w:t>Ilume</w:t>
      </w:r>
      <w:proofErr w:type="spellEnd"/>
      <w:r>
        <w:rPr>
          <w:rStyle w:val="Forte"/>
          <w:rFonts w:ascii="Calibri" w:hAnsi="Calibri"/>
        </w:rPr>
        <w:t xml:space="preserve"> </w:t>
      </w:r>
      <w:r>
        <w:rPr>
          <w:rStyle w:val="Forte"/>
          <w:rFonts w:ascii="Calibri" w:hAnsi="Calibri"/>
          <w:b w:val="0"/>
          <w:bCs w:val="0"/>
        </w:rPr>
        <w:t>(180 protocolos</w:t>
      </w:r>
      <w:r w:rsidRPr="00380A1E">
        <w:rPr>
          <w:rStyle w:val="Forte"/>
          <w:rFonts w:ascii="Calibri" w:hAnsi="Calibri"/>
          <w:b w:val="0"/>
          <w:bCs w:val="0"/>
        </w:rPr>
        <w:t xml:space="preserve">), à </w:t>
      </w:r>
      <w:r w:rsidRPr="00380A1E">
        <w:rPr>
          <w:rStyle w:val="Forte"/>
          <w:rFonts w:ascii="Calibri" w:hAnsi="Calibri"/>
        </w:rPr>
        <w:t>Secretaria Municipal de Educação</w:t>
      </w:r>
      <w:r w:rsidRPr="00380A1E">
        <w:rPr>
          <w:rStyle w:val="Forte"/>
          <w:rFonts w:ascii="Calibri" w:hAnsi="Calibri"/>
          <w:b w:val="0"/>
          <w:bCs w:val="0"/>
        </w:rPr>
        <w:t xml:space="preserve"> (111 protocolos), à </w:t>
      </w:r>
      <w:r w:rsidRPr="00380A1E">
        <w:rPr>
          <w:rStyle w:val="Forte"/>
          <w:rFonts w:ascii="Calibri" w:hAnsi="Calibri"/>
        </w:rPr>
        <w:t>Coordenação de Vigilância em Saúde</w:t>
      </w:r>
      <w:r w:rsidRPr="00380A1E">
        <w:rPr>
          <w:rStyle w:val="Forte"/>
          <w:rFonts w:ascii="Calibri" w:hAnsi="Calibri"/>
          <w:b w:val="0"/>
          <w:bCs w:val="0"/>
        </w:rPr>
        <w:t xml:space="preserve"> </w:t>
      </w:r>
      <w:r w:rsidRPr="00380A1E">
        <w:rPr>
          <w:rStyle w:val="Forte"/>
          <w:rFonts w:ascii="Calibri" w:hAnsi="Calibri"/>
        </w:rPr>
        <w:t>- COVISA</w:t>
      </w:r>
      <w:r w:rsidRPr="00380A1E">
        <w:rPr>
          <w:rStyle w:val="Forte"/>
          <w:rFonts w:ascii="Calibri" w:hAnsi="Calibri"/>
          <w:b w:val="0"/>
          <w:bCs w:val="0"/>
        </w:rPr>
        <w:t xml:space="preserve"> (96 protocolos), à </w:t>
      </w:r>
      <w:r w:rsidRPr="00380A1E">
        <w:rPr>
          <w:rStyle w:val="Forte"/>
          <w:rFonts w:ascii="Calibri" w:hAnsi="Calibri"/>
        </w:rPr>
        <w:t>Secretaria Municipal de Assistência e Desenvolvimento Social</w:t>
      </w:r>
      <w:r w:rsidRPr="00380A1E">
        <w:rPr>
          <w:rStyle w:val="Forte"/>
          <w:rFonts w:ascii="Calibri" w:hAnsi="Calibri"/>
          <w:b w:val="0"/>
          <w:bCs w:val="0"/>
        </w:rPr>
        <w:t xml:space="preserve"> (88 protocolos), à </w:t>
      </w:r>
      <w:r w:rsidRPr="00380A1E">
        <w:rPr>
          <w:rStyle w:val="Forte"/>
          <w:rFonts w:ascii="Calibri" w:hAnsi="Calibri"/>
        </w:rPr>
        <w:t>Secretaria Municipal do Verde e do Meio Ambiente</w:t>
      </w:r>
      <w:r w:rsidRPr="00380A1E">
        <w:rPr>
          <w:rStyle w:val="Forte"/>
          <w:rFonts w:ascii="Calibri" w:hAnsi="Calibri"/>
          <w:b w:val="0"/>
          <w:bCs w:val="0"/>
        </w:rPr>
        <w:t xml:space="preserve"> (73 protocolos) e ao </w:t>
      </w:r>
      <w:r w:rsidRPr="00380A1E">
        <w:rPr>
          <w:rStyle w:val="Forte"/>
          <w:rFonts w:ascii="Calibri" w:hAnsi="Calibri"/>
        </w:rPr>
        <w:t>Departamento de Operação do Sistema Viário – DSV</w:t>
      </w:r>
      <w:r w:rsidRPr="00380A1E">
        <w:rPr>
          <w:rStyle w:val="Forte"/>
          <w:rFonts w:ascii="Calibri" w:hAnsi="Calibri"/>
          <w:b w:val="0"/>
          <w:bCs w:val="0"/>
        </w:rPr>
        <w:t xml:space="preserve"> (58 protocolos)</w:t>
      </w:r>
      <w:r w:rsidRPr="00380A1E">
        <w:rPr>
          <w:rFonts w:ascii="Calibri" w:hAnsi="Calibri"/>
        </w:rPr>
        <w:t>.</w:t>
      </w:r>
    </w:p>
    <w:p w:rsidR="00380A1E" w:rsidRDefault="00380A1E" w:rsidP="00380A1E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>As subprefeituras com maior número de registros de protocolos foram: Sé (110), Capela do Socorro (90), Santo Amaro (86) Butantã (85)</w:t>
      </w:r>
      <w:r>
        <w:rPr>
          <w:rFonts w:ascii="Calibri" w:hAnsi="Calibri"/>
          <w:color w:val="1F497D"/>
        </w:rPr>
        <w:t>,</w:t>
      </w:r>
      <w:r>
        <w:rPr>
          <w:rFonts w:ascii="Calibri" w:hAnsi="Calibri"/>
        </w:rPr>
        <w:t xml:space="preserve"> Santana/ Tucuruvi (85</w:t>
      </w:r>
      <w:r w:rsidRPr="00380A1E">
        <w:rPr>
          <w:rFonts w:ascii="Calibri" w:hAnsi="Calibri"/>
        </w:rPr>
        <w:t>), Lapa (81), Pinheiros (69), Itaquera (67), Penha (64) e Casa Verde (62).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Forte"/>
          <w:rFonts w:ascii="Calibri" w:hAnsi="Calibri"/>
        </w:rPr>
        <w:t>Veja abaixo o detalhamento dos assuntos mais demandados na Ouvidoria</w:t>
      </w:r>
      <w:r>
        <w:rPr>
          <w:rFonts w:ascii="Calibri" w:hAnsi="Calibri"/>
        </w:rPr>
        <w:t>: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1 - Atendimento </w:t>
      </w:r>
      <w:r w:rsidR="001465ED" w:rsidRPr="001465ED">
        <w:rPr>
          <w:rFonts w:ascii="Calibri" w:hAnsi="Calibri"/>
          <w:bCs/>
        </w:rPr>
        <w:t>(381 protocolos)</w:t>
      </w:r>
    </w:p>
    <w:p w:rsidR="00380A1E" w:rsidRDefault="00380A1E" w:rsidP="00380A1E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 Contato inacessível (145 registros - 38,06%)</w:t>
      </w:r>
    </w:p>
    <w:p w:rsidR="00380A1E" w:rsidRDefault="00380A1E" w:rsidP="00380A1E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 Atendimento inadequado (120 registros – 31,50%)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          Falta de atendimento (87 registros – 22,83%)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t>2 -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Trânsito</w:t>
      </w:r>
      <w:proofErr w:type="gramEnd"/>
      <w:r>
        <w:rPr>
          <w:rFonts w:ascii="Calibri" w:hAnsi="Calibri"/>
        </w:rPr>
        <w:t xml:space="preserve"> (296 protocolos)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          Sinalização (124 registros – 41,89%)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          Estacionamento irregular de veículos (81 registros – 27,36%)</w:t>
      </w:r>
    </w:p>
    <w:p w:rsidR="00380A1E" w:rsidRDefault="00380A1E" w:rsidP="00380A1E">
      <w:pPr>
        <w:jc w:val="both"/>
        <w:rPr>
          <w:rFonts w:ascii="Arial" w:hAnsi="Arial" w:cs="Arial"/>
        </w:rPr>
      </w:pPr>
      <w:r>
        <w:t xml:space="preserve">                </w:t>
      </w:r>
      <w:r>
        <w:rPr>
          <w:rFonts w:ascii="Arial" w:hAnsi="Arial" w:cs="Arial"/>
        </w:rPr>
        <w:t>Outras (40 registros – 13,51%)</w:t>
      </w:r>
    </w:p>
    <w:p w:rsidR="00380A1E" w:rsidRDefault="00380A1E" w:rsidP="00380A1E">
      <w:pPr>
        <w:jc w:val="both"/>
        <w:rPr>
          <w:rFonts w:ascii="Arial" w:hAnsi="Arial" w:cs="Arial"/>
        </w:rPr>
      </w:pP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t>3 -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Jardinagem</w:t>
      </w:r>
      <w:proofErr w:type="gramEnd"/>
      <w:r>
        <w:rPr>
          <w:rFonts w:ascii="Calibri" w:hAnsi="Calibri"/>
        </w:rPr>
        <w:t xml:space="preserve"> (294 protocolos)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          Poda (185 registros – 62,93%)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            Remoção (61 registros – 20,75%) </w:t>
      </w:r>
    </w:p>
    <w:p w:rsidR="00380A1E" w:rsidRDefault="00380A1E" w:rsidP="00380A1E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Capinação (17 registros – 5,78%)</w:t>
      </w:r>
    </w:p>
    <w:p w:rsidR="00380A1E" w:rsidRDefault="00380A1E" w:rsidP="00380A1E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/>
        </w:rPr>
      </w:pP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4 -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  <w:b/>
          <w:bCs/>
        </w:rPr>
        <w:t>Via</w:t>
      </w:r>
      <w:proofErr w:type="gramEnd"/>
      <w:r>
        <w:rPr>
          <w:rFonts w:ascii="Calibri" w:hAnsi="Calibri"/>
          <w:b/>
          <w:bCs/>
        </w:rPr>
        <w:t xml:space="preserve"> pública/ logradouro</w:t>
      </w:r>
      <w:r>
        <w:rPr>
          <w:rFonts w:ascii="Calibri" w:hAnsi="Calibri"/>
        </w:rPr>
        <w:t xml:space="preserve"> (272 protocolos) 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          Buraco (179 registros – 65,81%)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          Recapeamento (34 registros – 12,50%)</w:t>
      </w:r>
    </w:p>
    <w:p w:rsidR="00380A1E" w:rsidRDefault="00380A1E" w:rsidP="00380A1E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Pavimentação (33 registros – 12,13%)</w:t>
      </w:r>
    </w:p>
    <w:p w:rsidR="00380A1E" w:rsidRDefault="00380A1E" w:rsidP="00380A1E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/>
        </w:rPr>
      </w:pP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t>5 -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Perturbação</w:t>
      </w:r>
      <w:proofErr w:type="gramEnd"/>
      <w:r>
        <w:rPr>
          <w:rFonts w:ascii="Calibri" w:hAnsi="Calibri"/>
          <w:b/>
          <w:bCs/>
        </w:rPr>
        <w:t xml:space="preserve"> de silêncio</w:t>
      </w:r>
      <w:r>
        <w:rPr>
          <w:rFonts w:ascii="Calibri" w:hAnsi="Calibri"/>
        </w:rPr>
        <w:t xml:space="preserve"> (216 protocolos)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          Estabelecimento (196 registros – 90,74%)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          Outras (6 registros – 2,78%)</w:t>
      </w:r>
    </w:p>
    <w:p w:rsidR="00380A1E" w:rsidRDefault="00380A1E" w:rsidP="00380A1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            Veículo parado com som alto (6 registros – 2,78%)</w:t>
      </w:r>
    </w:p>
    <w:p w:rsidR="00380A1E" w:rsidRDefault="00380A1E" w:rsidP="00380A1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Saiba mais sobre a Ouvidoria Geral do Município </w:t>
      </w:r>
    </w:p>
    <w:p w:rsidR="00380A1E" w:rsidRDefault="00380A1E" w:rsidP="00380A1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A Ouvidoria Geral do Município tem como missão o aprimoramento da qualidade dos serviços prestados à população e promover a interlocução entre o munícipe e as instituições públicas.</w:t>
      </w:r>
    </w:p>
    <w:p w:rsidR="00380A1E" w:rsidRDefault="00380A1E" w:rsidP="00380A1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 munícipe pode recorrer à Ouvidoria quando não obtiver resposta ou solução satisfatória juntos aos órgãos municipais, sentir-se mal-atendido ou não tiver os seus direitos garantidos.</w:t>
      </w:r>
    </w:p>
    <w:p w:rsidR="00EA11BF" w:rsidRPr="00380A1E" w:rsidRDefault="00380A1E" w:rsidP="00380A1E">
      <w:pPr>
        <w:jc w:val="both"/>
      </w:pPr>
      <w:r>
        <w:rPr>
          <w:sz w:val="24"/>
          <w:szCs w:val="24"/>
        </w:rPr>
        <w:t>Esclarecimentos de dúvidas e as solicitações iniciais de serviços tais como poda de árvore, limpeza, fiscalização, cumprimento da lei do silêncio urbano, informações sobre a documentação necessária para regularizar imóveis e obras, entre outros, devem ser encaminhadas diretamente aos órgãos responsáveis pelo telefone 156.</w:t>
      </w:r>
    </w:p>
    <w:sectPr w:rsidR="00EA11BF" w:rsidRPr="00380A1E" w:rsidSect="00F17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11BF"/>
    <w:rsid w:val="00017F3E"/>
    <w:rsid w:val="001112A2"/>
    <w:rsid w:val="001465ED"/>
    <w:rsid w:val="00265F18"/>
    <w:rsid w:val="002E11D5"/>
    <w:rsid w:val="003216B8"/>
    <w:rsid w:val="003775B9"/>
    <w:rsid w:val="00380A1E"/>
    <w:rsid w:val="004262CA"/>
    <w:rsid w:val="00590379"/>
    <w:rsid w:val="00626272"/>
    <w:rsid w:val="00820CEA"/>
    <w:rsid w:val="008951A5"/>
    <w:rsid w:val="008E2EBF"/>
    <w:rsid w:val="009A11B7"/>
    <w:rsid w:val="009D6AA1"/>
    <w:rsid w:val="00A7629D"/>
    <w:rsid w:val="00BA777E"/>
    <w:rsid w:val="00BE71ED"/>
    <w:rsid w:val="00E310BC"/>
    <w:rsid w:val="00E51384"/>
    <w:rsid w:val="00EA11BF"/>
    <w:rsid w:val="00F1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1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11B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A11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troducao">
    <w:name w:val="introducao"/>
    <w:basedOn w:val="Normal"/>
    <w:rsid w:val="00EA11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1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A11B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A1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feitura.sp.gov.br/cidade/secretarias/ouvidoria/relatorios_trimestrais/index.php?p=4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d817435</dc:creator>
  <cp:keywords/>
  <dc:description/>
  <cp:lastModifiedBy>d817435</cp:lastModifiedBy>
  <cp:revision>2</cp:revision>
  <dcterms:created xsi:type="dcterms:W3CDTF">2014-11-05T19:51:00Z</dcterms:created>
  <dcterms:modified xsi:type="dcterms:W3CDTF">2014-11-05T19:51:00Z</dcterms:modified>
</cp:coreProperties>
</file>